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97CF" w14:textId="08F72BBA" w:rsidR="00255C6B" w:rsidRPr="00812777" w:rsidRDefault="00A03E5E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P</w:t>
      </w:r>
      <w:r w:rsidR="00744525">
        <w:rPr>
          <w:rFonts w:ascii="Verdana" w:hAnsi="Verdana"/>
          <w:color w:val="000000"/>
          <w:sz w:val="36"/>
          <w:szCs w:val="36"/>
        </w:rPr>
        <w:t xml:space="preserve">HD </w:t>
      </w:r>
      <w:r w:rsidR="00E36153">
        <w:rPr>
          <w:rFonts w:ascii="Verdana" w:hAnsi="Verdana"/>
          <w:color w:val="000000"/>
          <w:sz w:val="36"/>
          <w:szCs w:val="36"/>
        </w:rPr>
        <w:t xml:space="preserve">MED D </w:t>
      </w:r>
      <w:r w:rsidR="00744525">
        <w:rPr>
          <w:rFonts w:ascii="Verdana" w:hAnsi="Verdana"/>
          <w:color w:val="000000"/>
          <w:sz w:val="36"/>
          <w:szCs w:val="36"/>
        </w:rPr>
        <w:t>– Medicare Parts B/D Coverage Flashpoints</w:t>
      </w:r>
    </w:p>
    <w:p w14:paraId="5EA99253" w14:textId="77777777" w:rsidR="00DE78B2" w:rsidRDefault="00DE78B2" w:rsidP="00DE78B2">
      <w:pPr>
        <w:autoSpaceDE w:val="0"/>
        <w:autoSpaceDN w:val="0"/>
        <w:adjustRightInd w:val="0"/>
        <w:spacing w:before="120" w:after="120"/>
        <w:rPr>
          <w:rFonts w:ascii="Verdana" w:hAnsi="Verdana" w:cs="Arial"/>
        </w:rPr>
      </w:pPr>
    </w:p>
    <w:p w14:paraId="51C51CC8" w14:textId="2A5F6DC5" w:rsidR="00744525" w:rsidRDefault="00744525" w:rsidP="00DE78B2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r>
        <w:rPr>
          <w:rFonts w:ascii="Verdana" w:hAnsi="Verdana" w:cs="Arial"/>
        </w:rPr>
        <w:t>The</w:t>
      </w:r>
      <w:r w:rsidRPr="00744525">
        <w:rPr>
          <w:rFonts w:ascii="Verdana" w:hAnsi="Verdana" w:cs="Arial"/>
        </w:rPr>
        <w:t xml:space="preserve"> table</w:t>
      </w:r>
      <w:r>
        <w:rPr>
          <w:rFonts w:ascii="Verdana" w:hAnsi="Verdana" w:cs="Arial"/>
        </w:rPr>
        <w:t xml:space="preserve"> below</w:t>
      </w:r>
      <w:r w:rsidRPr="00744525">
        <w:rPr>
          <w:rFonts w:ascii="Verdana" w:hAnsi="Verdana" w:cs="Arial"/>
        </w:rPr>
        <w:t xml:space="preserve"> provides a quick and easy reference guide for the most frequent B/D coverage determination scenarios facing Part D plans</w:t>
      </w:r>
      <w:r>
        <w:rPr>
          <w:rFonts w:ascii="Verdana" w:hAnsi="Verdana" w:cs="Arial"/>
        </w:rPr>
        <w:t xml:space="preserve"> </w:t>
      </w:r>
      <w:r w:rsidRPr="00744525">
        <w:rPr>
          <w:rFonts w:ascii="Verdana" w:hAnsi="Verdana" w:cs="Arial"/>
        </w:rPr>
        <w:t>and Part D pharmacy providers.</w:t>
      </w:r>
      <w:r>
        <w:rPr>
          <w:rFonts w:ascii="Verdana" w:hAnsi="Verdana" w:cs="Arial"/>
        </w:rPr>
        <w:t xml:space="preserve"> </w:t>
      </w:r>
      <w:r w:rsidRPr="00744525">
        <w:rPr>
          <w:rFonts w:ascii="Verdana" w:hAnsi="Verdana" w:cs="Arial"/>
        </w:rPr>
        <w:t xml:space="preserve"> It does not address all potential situations.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015"/>
        <w:gridCol w:w="2621"/>
        <w:gridCol w:w="2617"/>
        <w:gridCol w:w="2365"/>
        <w:gridCol w:w="2332"/>
      </w:tblGrid>
      <w:tr w:rsidR="00744525" w:rsidRPr="00753A06" w14:paraId="4CD25714" w14:textId="77777777" w:rsidTr="00E36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11EE0A1D" w14:textId="77777777" w:rsidR="00744525" w:rsidRPr="00753A06" w:rsidRDefault="008D49F0" w:rsidP="00DE78B2">
            <w:pPr>
              <w:spacing w:before="120" w:after="120"/>
              <w:jc w:val="center"/>
              <w:rPr>
                <w:rFonts w:ascii="Verdana" w:hAnsi="Verdana"/>
                <w:b w:val="0"/>
              </w:rPr>
            </w:pPr>
            <w:r w:rsidRPr="00753A06">
              <w:rPr>
                <w:rFonts w:ascii="Verdana" w:hAnsi="Verdana"/>
              </w:rPr>
              <w:t>Part B Coverage Categories</w:t>
            </w:r>
          </w:p>
        </w:tc>
        <w:tc>
          <w:tcPr>
            <w:tcW w:w="982" w:type="pct"/>
          </w:tcPr>
          <w:p w14:paraId="7406ABC3" w14:textId="77777777" w:rsidR="00744525" w:rsidRPr="00753A06" w:rsidRDefault="008D49F0" w:rsidP="00DE78B2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753A06">
              <w:rPr>
                <w:rFonts w:ascii="Verdana" w:hAnsi="Verdana"/>
              </w:rPr>
              <w:t>Part B Coverage Description</w:t>
            </w:r>
          </w:p>
        </w:tc>
        <w:tc>
          <w:tcPr>
            <w:tcW w:w="1081" w:type="pct"/>
          </w:tcPr>
          <w:p w14:paraId="3EF83EA4" w14:textId="77777777" w:rsidR="00744525" w:rsidRPr="00753A06" w:rsidRDefault="008D49F0" w:rsidP="00DE78B2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753A06">
              <w:rPr>
                <w:rFonts w:ascii="Verdana" w:hAnsi="Verdana"/>
              </w:rPr>
              <w:t>Retail and Home Infusion Pharmacy Setting B/D Coverage</w:t>
            </w:r>
          </w:p>
        </w:tc>
        <w:tc>
          <w:tcPr>
            <w:tcW w:w="912" w:type="pct"/>
          </w:tcPr>
          <w:p w14:paraId="5487FB82" w14:textId="77777777" w:rsidR="00744525" w:rsidRPr="00753A06" w:rsidRDefault="008D49F0" w:rsidP="00DE78B2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753A06">
              <w:rPr>
                <w:rFonts w:ascii="Verdana" w:hAnsi="Verdana"/>
              </w:rPr>
              <w:t>LTC Pharmacy Setting B/D Coverage</w:t>
            </w:r>
          </w:p>
        </w:tc>
        <w:tc>
          <w:tcPr>
            <w:tcW w:w="973" w:type="pct"/>
          </w:tcPr>
          <w:p w14:paraId="7FC89392" w14:textId="77777777" w:rsidR="00744525" w:rsidRPr="00753A06" w:rsidRDefault="008D49F0" w:rsidP="00DE78B2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753A06">
              <w:rPr>
                <w:rFonts w:ascii="Verdana" w:hAnsi="Verdana"/>
              </w:rPr>
              <w:t>Comments</w:t>
            </w:r>
          </w:p>
        </w:tc>
      </w:tr>
      <w:tr w:rsidR="00744525" w:rsidRPr="00753A06" w14:paraId="2CACDE61" w14:textId="77777777" w:rsidTr="00E3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0D1F86DA" w14:textId="4128E765" w:rsidR="008D49F0" w:rsidRDefault="008D49F0" w:rsidP="00DE78B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Arial"/>
              </w:rPr>
            </w:pPr>
            <w:r w:rsidRPr="00753A06">
              <w:rPr>
                <w:rFonts w:ascii="Verdana" w:hAnsi="Verdana" w:cs="Arial"/>
              </w:rPr>
              <w:t>Durable Medical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753A06">
              <w:rPr>
                <w:rFonts w:ascii="Verdana" w:hAnsi="Verdana" w:cs="Arial"/>
              </w:rPr>
              <w:t>Equipment (DME)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753A06">
              <w:rPr>
                <w:rFonts w:ascii="Verdana" w:hAnsi="Verdana" w:cs="Arial"/>
              </w:rPr>
              <w:t>Supply Drugs</w:t>
            </w:r>
          </w:p>
          <w:p w14:paraId="0D851E95" w14:textId="77777777" w:rsidR="009A2F02" w:rsidRPr="00753A06" w:rsidRDefault="009A2F02" w:rsidP="00DE78B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Arial"/>
              </w:rPr>
            </w:pPr>
          </w:p>
          <w:p w14:paraId="21AFBB6C" w14:textId="7547D43B" w:rsidR="008D49F0" w:rsidRPr="00753A06" w:rsidRDefault="001052B3" w:rsidP="00DE78B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Arial"/>
                <w:b w:val="0"/>
                <w:bCs w:val="0"/>
              </w:rPr>
            </w:pPr>
            <w:r>
              <w:rPr>
                <w:rFonts w:ascii="Verdana" w:hAnsi="Verdana" w:cs="Arial"/>
              </w:rPr>
              <w:t>Note 1</w:t>
            </w:r>
            <w:r w:rsidR="008D49F0" w:rsidRPr="00753A06">
              <w:rPr>
                <w:rFonts w:ascii="Verdana" w:hAnsi="Verdana" w:cs="Arial"/>
              </w:rPr>
              <w:t>:  Only</w:t>
            </w:r>
            <w:r w:rsidR="00DE78B2">
              <w:rPr>
                <w:rFonts w:ascii="Verdana" w:hAnsi="Verdana" w:cs="Arial"/>
              </w:rPr>
              <w:t xml:space="preserve"> </w:t>
            </w:r>
            <w:r w:rsidR="008D49F0" w:rsidRPr="00753A06">
              <w:rPr>
                <w:rFonts w:ascii="Verdana" w:hAnsi="Verdana" w:cs="Arial"/>
              </w:rPr>
              <w:t>available for</w:t>
            </w:r>
            <w:r w:rsidR="00DE78B2">
              <w:rPr>
                <w:rFonts w:ascii="Verdana" w:hAnsi="Verdana" w:cs="Arial"/>
              </w:rPr>
              <w:t xml:space="preserve"> </w:t>
            </w:r>
            <w:r w:rsidR="008D49F0" w:rsidRPr="00753A06">
              <w:rPr>
                <w:rFonts w:ascii="Verdana" w:hAnsi="Verdana" w:cs="Arial"/>
              </w:rPr>
              <w:t>beneficiaries</w:t>
            </w:r>
          </w:p>
          <w:p w14:paraId="773A56BF" w14:textId="06606632" w:rsidR="009A2F02" w:rsidRPr="00DE78B2" w:rsidRDefault="008D49F0" w:rsidP="00DE78B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Arial"/>
                <w:b w:val="0"/>
                <w:bCs w:val="0"/>
              </w:rPr>
            </w:pPr>
            <w:r w:rsidRPr="00753A06">
              <w:rPr>
                <w:rFonts w:ascii="Verdana" w:hAnsi="Verdana" w:cs="Arial"/>
              </w:rPr>
              <w:t>residing in their</w:t>
            </w:r>
            <w:r w:rsidR="009A2F02">
              <w:rPr>
                <w:rFonts w:ascii="Verdana" w:hAnsi="Verdana" w:cs="Arial"/>
              </w:rPr>
              <w:t xml:space="preserve"> </w:t>
            </w:r>
            <w:r w:rsidRPr="00753A06">
              <w:rPr>
                <w:rFonts w:ascii="Verdana" w:hAnsi="Verdana" w:cs="Arial"/>
              </w:rPr>
              <w:t>home</w:t>
            </w:r>
          </w:p>
        </w:tc>
        <w:tc>
          <w:tcPr>
            <w:tcW w:w="982" w:type="pct"/>
          </w:tcPr>
          <w:p w14:paraId="5778D7A2" w14:textId="7EFFD51A" w:rsidR="00835D5D" w:rsidRPr="00753A06" w:rsidRDefault="0085110A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5110A">
              <w:rPr>
                <w:rFonts w:ascii="Verdana" w:hAnsi="Verdana" w:cs="Arial"/>
              </w:rPr>
              <w:t>Drugs that require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85110A">
              <w:rPr>
                <w:rFonts w:ascii="Verdana" w:hAnsi="Verdana" w:cs="Arial"/>
              </w:rPr>
              <w:t>administration via covered</w:t>
            </w:r>
            <w:r>
              <w:rPr>
                <w:rFonts w:ascii="Verdana" w:hAnsi="Verdana" w:cs="Arial"/>
              </w:rPr>
              <w:t xml:space="preserve"> </w:t>
            </w:r>
            <w:r w:rsidRPr="0085110A">
              <w:rPr>
                <w:rFonts w:ascii="Verdana" w:hAnsi="Verdana" w:cs="Arial"/>
              </w:rPr>
              <w:t>DME</w:t>
            </w:r>
            <w:r w:rsidR="00812751">
              <w:rPr>
                <w:rFonts w:ascii="Verdana" w:hAnsi="Verdana" w:cs="Arial"/>
              </w:rPr>
              <w:t xml:space="preserve">. </w:t>
            </w:r>
            <w:r w:rsidR="00812751" w:rsidRPr="00812751">
              <w:rPr>
                <w:rFonts w:ascii="Verdana" w:hAnsi="Verdana" w:cs="Arial"/>
                <w:b/>
                <w:bCs/>
              </w:rPr>
              <w:t>Example:</w:t>
            </w:r>
            <w:r w:rsidR="00835D5D">
              <w:rPr>
                <w:rFonts w:ascii="Verdana" w:hAnsi="Verdana" w:cs="Arial"/>
              </w:rPr>
              <w:t xml:space="preserve"> </w:t>
            </w:r>
            <w:r w:rsidRPr="0085110A">
              <w:rPr>
                <w:rFonts w:ascii="Verdana" w:hAnsi="Verdana" w:cs="Arial"/>
              </w:rPr>
              <w:t>inhalation</w:t>
            </w:r>
            <w:r w:rsidR="001052B3">
              <w:rPr>
                <w:rFonts w:ascii="Verdana" w:hAnsi="Verdana" w:cs="Arial"/>
              </w:rPr>
              <w:t xml:space="preserve"> </w:t>
            </w:r>
            <w:r w:rsidRPr="0085110A">
              <w:rPr>
                <w:rFonts w:ascii="Verdana" w:hAnsi="Verdana" w:cs="Arial"/>
              </w:rPr>
              <w:t xml:space="preserve">drugs, IV drugs </w:t>
            </w:r>
            <w:r w:rsidR="00812751">
              <w:rPr>
                <w:rFonts w:ascii="Verdana" w:hAnsi="Verdana" w:cs="Arial"/>
              </w:rPr>
              <w:t>“</w:t>
            </w:r>
            <w:r w:rsidRPr="0085110A">
              <w:rPr>
                <w:rFonts w:ascii="Verdana" w:hAnsi="Verdana" w:cs="Arial"/>
              </w:rPr>
              <w:t>requiring</w:t>
            </w:r>
            <w:r w:rsidR="00812751">
              <w:rPr>
                <w:rFonts w:ascii="Verdana" w:hAnsi="Verdana" w:cs="Arial"/>
              </w:rPr>
              <w:t>”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85110A">
              <w:rPr>
                <w:rFonts w:ascii="Verdana" w:hAnsi="Verdana" w:cs="Arial"/>
              </w:rPr>
              <w:t xml:space="preserve">a pump for </w:t>
            </w:r>
            <w:r w:rsidR="001052B3">
              <w:rPr>
                <w:rFonts w:ascii="Verdana" w:hAnsi="Verdana" w:cs="Arial"/>
              </w:rPr>
              <w:t>i</w:t>
            </w:r>
            <w:r w:rsidRPr="0085110A">
              <w:rPr>
                <w:rFonts w:ascii="Verdana" w:hAnsi="Verdana" w:cs="Arial"/>
              </w:rPr>
              <w:t>nfusion, insulin</w:t>
            </w:r>
            <w:r w:rsidR="001052B3">
              <w:rPr>
                <w:rFonts w:ascii="Verdana" w:hAnsi="Verdana" w:cs="Arial"/>
              </w:rPr>
              <w:t xml:space="preserve"> </w:t>
            </w:r>
            <w:r w:rsidRPr="0085110A">
              <w:rPr>
                <w:rFonts w:ascii="Verdana" w:hAnsi="Verdana" w:cs="Arial"/>
              </w:rPr>
              <w:t>via infusion pump</w:t>
            </w:r>
            <w:r w:rsidR="00812751">
              <w:rPr>
                <w:rFonts w:ascii="Verdana" w:hAnsi="Verdana" w:cs="Arial"/>
              </w:rPr>
              <w:t>.</w:t>
            </w:r>
            <w:r w:rsidR="00DE78B2">
              <w:rPr>
                <w:rFonts w:ascii="Verdana" w:hAnsi="Verdana" w:cs="Arial"/>
              </w:rPr>
              <w:t xml:space="preserve"> </w:t>
            </w:r>
            <w:r w:rsidR="00835D5D">
              <w:rPr>
                <w:rFonts w:ascii="Verdana" w:hAnsi="Verdana" w:cs="Arial"/>
              </w:rPr>
              <w:t>(see Note 2 and Note 3)</w:t>
            </w:r>
            <w:r w:rsidR="00DE78B2">
              <w:rPr>
                <w:rFonts w:ascii="Verdana" w:hAnsi="Verdana" w:cs="Arial"/>
              </w:rPr>
              <w:t>.</w:t>
            </w:r>
          </w:p>
        </w:tc>
        <w:tc>
          <w:tcPr>
            <w:tcW w:w="1081" w:type="pct"/>
          </w:tcPr>
          <w:p w14:paraId="51F558B0" w14:textId="77777777" w:rsidR="00744525" w:rsidRPr="00765290" w:rsidRDefault="00765290" w:rsidP="00DE78B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</w:rPr>
            </w:pPr>
            <w:r w:rsidRPr="00765290">
              <w:rPr>
                <w:rFonts w:ascii="Verdana" w:hAnsi="Verdana"/>
                <w:b/>
              </w:rPr>
              <w:t>PART B</w:t>
            </w:r>
          </w:p>
        </w:tc>
        <w:tc>
          <w:tcPr>
            <w:tcW w:w="912" w:type="pct"/>
          </w:tcPr>
          <w:p w14:paraId="4C5834EC" w14:textId="77777777" w:rsidR="00765290" w:rsidRPr="00765290" w:rsidRDefault="00765290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765290">
              <w:rPr>
                <w:rFonts w:ascii="Verdana" w:hAnsi="Verdana" w:cs="Arial"/>
                <w:b/>
                <w:bCs/>
              </w:rPr>
              <w:t>Part D</w:t>
            </w:r>
          </w:p>
          <w:p w14:paraId="2053D515" w14:textId="16D1B6D9" w:rsidR="00744525" w:rsidRPr="00753A06" w:rsidRDefault="00765290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65290">
              <w:rPr>
                <w:rFonts w:ascii="Verdana" w:hAnsi="Verdana" w:cs="Arial"/>
              </w:rPr>
              <w:t>Because most LTC</w:t>
            </w:r>
            <w:r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facilities are not</w:t>
            </w:r>
            <w:r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considered a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beneficiary’s “home”</w:t>
            </w:r>
            <w:r w:rsidR="00DE78B2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 xml:space="preserve">(see Note </w:t>
            </w:r>
            <w:r w:rsidRPr="00765290">
              <w:rPr>
                <w:rFonts w:ascii="Verdana" w:hAnsi="Verdana" w:cs="Arial"/>
              </w:rPr>
              <w:t>4</w:t>
            </w:r>
            <w:r>
              <w:rPr>
                <w:rFonts w:ascii="Verdana" w:hAnsi="Verdana" w:cs="Arial"/>
              </w:rPr>
              <w:t>)</w:t>
            </w:r>
            <w:r w:rsidR="00DE78B2">
              <w:rPr>
                <w:rFonts w:ascii="Verdana" w:hAnsi="Verdana" w:cs="Arial"/>
              </w:rPr>
              <w:t>.</w:t>
            </w:r>
          </w:p>
        </w:tc>
        <w:tc>
          <w:tcPr>
            <w:tcW w:w="973" w:type="pct"/>
          </w:tcPr>
          <w:p w14:paraId="716AE3AA" w14:textId="17539508" w:rsidR="00744525" w:rsidRPr="00753A06" w:rsidRDefault="00765290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65290">
              <w:rPr>
                <w:rFonts w:ascii="Verdana" w:hAnsi="Verdana" w:cs="Arial"/>
              </w:rPr>
              <w:t>Blood Glucose Testing</w:t>
            </w:r>
            <w:r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Strips and Lancets covered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under Part B DME benefit</w:t>
            </w:r>
            <w:r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are never available under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Part D because they are</w:t>
            </w:r>
            <w:r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not Part D drugs.</w:t>
            </w:r>
          </w:p>
        </w:tc>
      </w:tr>
      <w:tr w:rsidR="00744525" w:rsidRPr="00753A06" w14:paraId="4CEEAA06" w14:textId="77777777" w:rsidTr="00E36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30E8D829" w14:textId="0A783518" w:rsidR="00744525" w:rsidRPr="00753A06" w:rsidRDefault="008D49F0" w:rsidP="00DE78B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753A06">
              <w:rPr>
                <w:rFonts w:ascii="Verdana" w:hAnsi="Verdana" w:cs="Arial"/>
              </w:rPr>
              <w:t>Drugs furnished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FE0333">
              <w:rPr>
                <w:rFonts w:ascii="Verdana" w:hAnsi="Verdana" w:cs="Arial"/>
              </w:rPr>
              <w:t>incident to</w:t>
            </w:r>
            <w:r w:rsidRPr="00753A06">
              <w:rPr>
                <w:rFonts w:ascii="Verdana" w:hAnsi="Verdana" w:cs="Arial"/>
              </w:rPr>
              <w:t xml:space="preserve"> a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753A06">
              <w:rPr>
                <w:rFonts w:ascii="Verdana" w:hAnsi="Verdana" w:cs="Arial"/>
              </w:rPr>
              <w:t>physician service</w:t>
            </w:r>
          </w:p>
        </w:tc>
        <w:tc>
          <w:tcPr>
            <w:tcW w:w="982" w:type="pct"/>
          </w:tcPr>
          <w:p w14:paraId="37BC8B1A" w14:textId="102C34E2" w:rsidR="00744525" w:rsidRDefault="00765290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765290">
              <w:rPr>
                <w:rFonts w:ascii="Verdana" w:hAnsi="Verdana" w:cs="Arial"/>
              </w:rPr>
              <w:t>Injectable/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 xml:space="preserve">Intravenous drugs </w:t>
            </w:r>
            <w:r>
              <w:rPr>
                <w:rFonts w:ascii="Verdana" w:hAnsi="Verdana" w:cs="Arial"/>
              </w:rPr>
              <w:t xml:space="preserve">(see Note </w:t>
            </w:r>
            <w:r w:rsidRPr="00765290">
              <w:rPr>
                <w:rFonts w:ascii="Verdana" w:hAnsi="Verdana" w:cs="Arial"/>
              </w:rPr>
              <w:t>1)</w:t>
            </w:r>
            <w:r w:rsidR="00B446B3"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 xml:space="preserve">administered </w:t>
            </w:r>
            <w:r w:rsidRPr="00FE0333">
              <w:rPr>
                <w:rFonts w:ascii="Verdana" w:hAnsi="Verdana" w:cs="Arial"/>
                <w:b/>
                <w:bCs/>
              </w:rPr>
              <w:t>incident to</w:t>
            </w:r>
            <w:r w:rsidRPr="00765290">
              <w:rPr>
                <w:rFonts w:ascii="Verdana" w:hAnsi="Verdana" w:cs="Arial"/>
              </w:rPr>
              <w:t xml:space="preserve"> a</w:t>
            </w:r>
            <w:r w:rsidR="00B446B3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 xml:space="preserve">physician </w:t>
            </w:r>
            <w:r w:rsidR="00DE78B2">
              <w:rPr>
                <w:rFonts w:ascii="Verdana" w:hAnsi="Verdana" w:cs="Arial"/>
              </w:rPr>
              <w:t>s</w:t>
            </w:r>
            <w:r>
              <w:rPr>
                <w:rFonts w:ascii="Verdana" w:hAnsi="Verdana" w:cs="Arial"/>
              </w:rPr>
              <w:t>ervice (see Note</w:t>
            </w:r>
            <w:r w:rsidRPr="00765290">
              <w:rPr>
                <w:rFonts w:ascii="Verdana" w:hAnsi="Verdana" w:cs="Arial"/>
              </w:rPr>
              <w:t xml:space="preserve"> 2)</w:t>
            </w:r>
            <w:r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considered by Part B</w:t>
            </w:r>
            <w:r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 xml:space="preserve">carrier as </w:t>
            </w:r>
            <w:r w:rsidRPr="00FE0333">
              <w:rPr>
                <w:rFonts w:ascii="Verdana" w:hAnsi="Verdana" w:cs="Arial"/>
                <w:b/>
                <w:bCs/>
              </w:rPr>
              <w:t xml:space="preserve">not usually </w:t>
            </w:r>
            <w:r w:rsidR="00A87D15" w:rsidRPr="00FE0333">
              <w:rPr>
                <w:rFonts w:ascii="Verdana" w:hAnsi="Verdana" w:cs="Arial"/>
                <w:b/>
                <w:bCs/>
              </w:rPr>
              <w:t>self-</w:t>
            </w:r>
            <w:r w:rsidR="00DE78B2">
              <w:rPr>
                <w:rFonts w:ascii="Verdana" w:hAnsi="Verdana" w:cs="Arial"/>
                <w:b/>
                <w:bCs/>
              </w:rPr>
              <w:t>a</w:t>
            </w:r>
            <w:r w:rsidR="00A87D15" w:rsidRPr="00FE0333">
              <w:rPr>
                <w:rFonts w:ascii="Verdana" w:hAnsi="Verdana" w:cs="Arial"/>
                <w:b/>
                <w:bCs/>
              </w:rPr>
              <w:t>dministered</w:t>
            </w:r>
            <w:r w:rsidRPr="00765290">
              <w:rPr>
                <w:rFonts w:ascii="Verdana" w:hAnsi="Verdana" w:cs="Arial"/>
              </w:rPr>
              <w:t>.</w:t>
            </w:r>
          </w:p>
          <w:p w14:paraId="57312D59" w14:textId="77777777" w:rsidR="00FE0333" w:rsidRPr="00753A06" w:rsidRDefault="00FE0333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081" w:type="pct"/>
          </w:tcPr>
          <w:p w14:paraId="14A5A56C" w14:textId="77777777" w:rsidR="00765290" w:rsidRPr="00765290" w:rsidRDefault="00765290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765290">
              <w:rPr>
                <w:rFonts w:ascii="Verdana" w:hAnsi="Verdana" w:cs="Arial"/>
                <w:b/>
                <w:bCs/>
              </w:rPr>
              <w:t>Part D</w:t>
            </w:r>
          </w:p>
          <w:p w14:paraId="5B98AD33" w14:textId="6B7F89AE" w:rsidR="00744525" w:rsidRPr="00753A06" w:rsidRDefault="00765290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765290">
              <w:rPr>
                <w:rFonts w:ascii="Verdana" w:hAnsi="Verdana" w:cs="Arial"/>
              </w:rPr>
              <w:t xml:space="preserve">Because </w:t>
            </w:r>
            <w:r w:rsidR="00FE0333" w:rsidRPr="00765290">
              <w:rPr>
                <w:rFonts w:ascii="Verdana" w:hAnsi="Verdana" w:cs="Arial"/>
              </w:rPr>
              <w:t>a</w:t>
            </w:r>
            <w:r w:rsidR="00B446B3"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pharmacy cannot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 xml:space="preserve">provide a drug </w:t>
            </w:r>
            <w:r w:rsidRPr="00FE0333">
              <w:rPr>
                <w:rFonts w:ascii="Verdana" w:hAnsi="Verdana" w:cs="Arial"/>
                <w:b/>
                <w:bCs/>
              </w:rPr>
              <w:t>incident</w:t>
            </w:r>
            <w:r w:rsidR="00B446B3" w:rsidRPr="00FE0333">
              <w:rPr>
                <w:rFonts w:ascii="Verdana" w:hAnsi="Verdana" w:cs="Arial"/>
                <w:b/>
                <w:bCs/>
              </w:rPr>
              <w:t xml:space="preserve"> </w:t>
            </w:r>
            <w:r w:rsidRPr="00FE0333">
              <w:rPr>
                <w:rFonts w:ascii="Verdana" w:hAnsi="Verdana" w:cs="Arial"/>
                <w:b/>
                <w:bCs/>
              </w:rPr>
              <w:t>to</w:t>
            </w:r>
            <w:r w:rsidRPr="00765290">
              <w:rPr>
                <w:rFonts w:ascii="Verdana" w:hAnsi="Verdana" w:cs="Arial"/>
              </w:rPr>
              <w:t xml:space="preserve"> a physician’s service</w:t>
            </w:r>
            <w:r w:rsidR="005645F0"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(Only a physician office</w:t>
            </w:r>
            <w:r w:rsidR="00B446B3">
              <w:rPr>
                <w:rFonts w:ascii="Verdana" w:hAnsi="Verdana" w:cs="Arial"/>
              </w:rPr>
              <w:t xml:space="preserve"> </w:t>
            </w:r>
            <w:r w:rsidRPr="00765290">
              <w:rPr>
                <w:rFonts w:ascii="Verdana" w:hAnsi="Verdana" w:cs="Arial"/>
              </w:rPr>
              <w:t>would bill Part B for</w:t>
            </w:r>
            <w:r w:rsidR="00B446B3">
              <w:rPr>
                <w:rFonts w:ascii="Verdana" w:hAnsi="Verdana" w:cs="Arial"/>
              </w:rPr>
              <w:t xml:space="preserve"> </w:t>
            </w:r>
            <w:r w:rsidRPr="00FE0333">
              <w:rPr>
                <w:rFonts w:ascii="Verdana" w:hAnsi="Verdana" w:cs="Arial"/>
                <w:b/>
                <w:bCs/>
              </w:rPr>
              <w:t>incident to</w:t>
            </w:r>
            <w:r w:rsidRPr="00765290">
              <w:rPr>
                <w:rFonts w:ascii="Verdana" w:hAnsi="Verdana" w:cs="Arial"/>
              </w:rPr>
              <w:t xml:space="preserve"> drugs).</w:t>
            </w:r>
          </w:p>
        </w:tc>
        <w:tc>
          <w:tcPr>
            <w:tcW w:w="912" w:type="pct"/>
          </w:tcPr>
          <w:p w14:paraId="0B3965E8" w14:textId="77777777" w:rsidR="00B446B3" w:rsidRPr="00B446B3" w:rsidRDefault="00B446B3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B446B3">
              <w:rPr>
                <w:rFonts w:ascii="Verdana" w:hAnsi="Verdana" w:cs="Arial"/>
                <w:b/>
                <w:bCs/>
              </w:rPr>
              <w:t>Part D</w:t>
            </w:r>
          </w:p>
          <w:p w14:paraId="340729BB" w14:textId="77777777" w:rsidR="00744525" w:rsidRPr="00753A06" w:rsidRDefault="00B446B3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446B3">
              <w:rPr>
                <w:rFonts w:ascii="Verdana" w:hAnsi="Verdana" w:cs="Arial"/>
              </w:rPr>
              <w:t xml:space="preserve">Because </w:t>
            </w:r>
            <w:r w:rsidR="00B31AF7" w:rsidRPr="00B446B3">
              <w:rPr>
                <w:rFonts w:ascii="Verdana" w:hAnsi="Verdana" w:cs="Arial"/>
              </w:rPr>
              <w:t>a</w:t>
            </w:r>
            <w:r w:rsidR="00B31AF7"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>pharmacy cannot provide</w:t>
            </w:r>
            <w:r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 xml:space="preserve">a drug </w:t>
            </w:r>
            <w:r w:rsidRPr="00B31AF7">
              <w:rPr>
                <w:rFonts w:ascii="Verdana" w:hAnsi="Verdana" w:cs="Arial"/>
                <w:b/>
                <w:bCs/>
              </w:rPr>
              <w:t>incident to</w:t>
            </w:r>
            <w:r w:rsidRPr="00B446B3">
              <w:rPr>
                <w:rFonts w:ascii="Verdana" w:hAnsi="Verdana" w:cs="Arial"/>
              </w:rPr>
              <w:t xml:space="preserve"> a</w:t>
            </w:r>
            <w:r w:rsidR="005645F0"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>physician’s service (Only</w:t>
            </w:r>
            <w:r w:rsidR="005645F0"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>a physician office would</w:t>
            </w:r>
            <w:r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 xml:space="preserve">bill Part B for </w:t>
            </w:r>
            <w:r w:rsidRPr="00B31AF7">
              <w:rPr>
                <w:rFonts w:ascii="Verdana" w:hAnsi="Verdana" w:cs="Arial"/>
                <w:b/>
                <w:bCs/>
              </w:rPr>
              <w:t>incident to</w:t>
            </w:r>
            <w:r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>drugs).</w:t>
            </w:r>
          </w:p>
        </w:tc>
        <w:tc>
          <w:tcPr>
            <w:tcW w:w="973" w:type="pct"/>
          </w:tcPr>
          <w:p w14:paraId="44DC27C6" w14:textId="397154B9" w:rsidR="00744525" w:rsidRPr="00753A06" w:rsidRDefault="00B446B3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446B3">
              <w:rPr>
                <w:rFonts w:ascii="Verdana" w:hAnsi="Verdana" w:cs="Arial"/>
              </w:rPr>
              <w:t>Part D plans should not</w:t>
            </w:r>
            <w:r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>implement pharmacy edits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>to determine B vs. D</w:t>
            </w:r>
            <w:r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>coverage for injectable/IV</w:t>
            </w:r>
            <w:r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>drugs only covered under</w:t>
            </w:r>
            <w:r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>Part B when furnished</w:t>
            </w:r>
            <w:r>
              <w:rPr>
                <w:rFonts w:ascii="Verdana" w:hAnsi="Verdana" w:cs="Arial"/>
              </w:rPr>
              <w:t xml:space="preserve"> </w:t>
            </w:r>
            <w:r w:rsidRPr="00A87D15">
              <w:rPr>
                <w:rFonts w:ascii="Verdana" w:hAnsi="Verdana" w:cs="Arial"/>
                <w:b/>
                <w:bCs/>
              </w:rPr>
              <w:t>incident to</w:t>
            </w:r>
            <w:r w:rsidRPr="00B446B3">
              <w:rPr>
                <w:rFonts w:ascii="Verdana" w:hAnsi="Verdana" w:cs="Arial"/>
              </w:rPr>
              <w:t xml:space="preserve"> a physician</w:t>
            </w:r>
            <w:r>
              <w:rPr>
                <w:rFonts w:ascii="Verdana" w:hAnsi="Verdana" w:cs="Arial"/>
              </w:rPr>
              <w:t xml:space="preserve"> </w:t>
            </w:r>
            <w:r w:rsidRPr="00B446B3">
              <w:rPr>
                <w:rFonts w:ascii="Verdana" w:hAnsi="Verdana" w:cs="Arial"/>
              </w:rPr>
              <w:t>service.</w:t>
            </w:r>
          </w:p>
        </w:tc>
      </w:tr>
      <w:tr w:rsidR="00870D6D" w:rsidRPr="00A422F3" w14:paraId="03D98984" w14:textId="77777777" w:rsidTr="00E3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6CF88E63" w14:textId="5D82AC11" w:rsidR="00B446B3" w:rsidRPr="00A422F3" w:rsidRDefault="00C8533C" w:rsidP="00DE78B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</w:rPr>
              <w:t>Immunosuppressant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Drugs</w:t>
            </w:r>
          </w:p>
        </w:tc>
        <w:tc>
          <w:tcPr>
            <w:tcW w:w="982" w:type="pct"/>
          </w:tcPr>
          <w:p w14:paraId="05620B92" w14:textId="29D8157E" w:rsidR="00B446B3" w:rsidRDefault="00C8533C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Drugs used in immunosuppressive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therapy for beneficiaries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that received transplant from Medicare approved facility and were entitled to Medicare Part A at time of transplant</w:t>
            </w:r>
            <w:r w:rsidR="00812751">
              <w:rPr>
                <w:rFonts w:ascii="Verdana" w:hAnsi="Verdana" w:cs="Arial"/>
              </w:rPr>
              <w:t xml:space="preserve">.  </w:t>
            </w:r>
            <w:r w:rsidR="00812751" w:rsidRPr="00812751">
              <w:rPr>
                <w:rFonts w:ascii="Verdana" w:hAnsi="Verdana" w:cs="Arial"/>
                <w:b/>
                <w:bCs/>
              </w:rPr>
              <w:t>Example:</w:t>
            </w:r>
            <w:r w:rsidRPr="00A422F3">
              <w:rPr>
                <w:rFonts w:ascii="Verdana" w:hAnsi="Verdana" w:cs="Arial"/>
              </w:rPr>
              <w:t xml:space="preserve"> Medicare Covered </w:t>
            </w:r>
            <w:r w:rsidR="00DE78B2">
              <w:rPr>
                <w:rFonts w:ascii="Verdana" w:hAnsi="Verdana" w:cs="Arial"/>
              </w:rPr>
              <w:t>T</w:t>
            </w:r>
            <w:r w:rsidRPr="00A422F3">
              <w:rPr>
                <w:rFonts w:ascii="Verdana" w:hAnsi="Verdana" w:cs="Arial"/>
              </w:rPr>
              <w:t>ransplant.</w:t>
            </w:r>
          </w:p>
          <w:p w14:paraId="1D6287AE" w14:textId="77777777" w:rsidR="007856E4" w:rsidRPr="00A422F3" w:rsidRDefault="007856E4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081" w:type="pct"/>
          </w:tcPr>
          <w:p w14:paraId="67FBD50E" w14:textId="77777777" w:rsidR="00C8533C" w:rsidRPr="00A422F3" w:rsidRDefault="00C8533C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290BBD25" w14:textId="31AD22EB" w:rsidR="00C8533C" w:rsidRPr="00DE78B2" w:rsidRDefault="00C8533C" w:rsidP="007405C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E78B2">
              <w:rPr>
                <w:rFonts w:ascii="Verdana" w:hAnsi="Verdana" w:cs="Arial"/>
                <w:b/>
                <w:bCs/>
              </w:rPr>
              <w:t xml:space="preserve">Part B </w:t>
            </w:r>
            <w:r w:rsidRPr="00DE78B2">
              <w:rPr>
                <w:rFonts w:ascii="Verdana" w:hAnsi="Verdana" w:cs="Arial"/>
              </w:rPr>
              <w:t>for Medicare</w:t>
            </w:r>
            <w:r w:rsidR="00DE78B2" w:rsidRPr="00DE78B2">
              <w:rPr>
                <w:rFonts w:ascii="Verdana" w:hAnsi="Verdana" w:cs="Arial"/>
              </w:rPr>
              <w:t xml:space="preserve"> </w:t>
            </w:r>
            <w:r w:rsidRPr="00DE78B2">
              <w:rPr>
                <w:rFonts w:ascii="Verdana" w:hAnsi="Verdana" w:cs="Arial"/>
              </w:rPr>
              <w:t>Covered Transplant</w:t>
            </w:r>
          </w:p>
          <w:p w14:paraId="0E8E2AFE" w14:textId="77777777" w:rsidR="00B446B3" w:rsidRPr="00A422F3" w:rsidRDefault="00C8533C" w:rsidP="00DE78B2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>for all other</w:t>
            </w:r>
            <w:r w:rsidR="0081765D" w:rsidRPr="00A422F3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situations</w:t>
            </w:r>
          </w:p>
        </w:tc>
        <w:tc>
          <w:tcPr>
            <w:tcW w:w="912" w:type="pct"/>
          </w:tcPr>
          <w:p w14:paraId="7F1417BA" w14:textId="77777777" w:rsidR="00C8533C" w:rsidRPr="00A422F3" w:rsidRDefault="00C8533C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40DF4962" w14:textId="77777777" w:rsidR="00C8533C" w:rsidRDefault="00C8533C" w:rsidP="00DE78B2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B </w:t>
            </w:r>
            <w:r w:rsidRPr="00A422F3">
              <w:rPr>
                <w:rFonts w:ascii="Verdana" w:hAnsi="Verdana" w:cs="Arial"/>
              </w:rPr>
              <w:t>for Medicare Covered Transplant</w:t>
            </w:r>
          </w:p>
          <w:p w14:paraId="4AE048C1" w14:textId="77777777" w:rsidR="00B446B3" w:rsidRPr="00A422F3" w:rsidRDefault="00C8533C" w:rsidP="00DE78B2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>for all other situations</w:t>
            </w:r>
          </w:p>
        </w:tc>
        <w:tc>
          <w:tcPr>
            <w:tcW w:w="973" w:type="pct"/>
          </w:tcPr>
          <w:p w14:paraId="46E96BCE" w14:textId="4995C6DB" w:rsidR="00B446B3" w:rsidRPr="00A422F3" w:rsidRDefault="00C8533C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</w:rPr>
              <w:t>Participating Part B</w:t>
            </w:r>
            <w:r w:rsidR="009B0FAE" w:rsidRPr="00A422F3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pharmacies must bill the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DMERC in their region</w:t>
            </w:r>
            <w:r w:rsidR="009B0FAE" w:rsidRPr="00A422F3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when these drugs are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covered under Part B</w:t>
            </w:r>
            <w:r w:rsidRPr="00A422F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70D6D" w:rsidRPr="00A422F3" w14:paraId="11E9777F" w14:textId="77777777" w:rsidTr="00E36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21BE2F5F" w14:textId="753E3881" w:rsidR="00B446B3" w:rsidRPr="00A422F3" w:rsidRDefault="00B54325" w:rsidP="00DE78B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</w:rPr>
              <w:t>Oral Anti-Cancer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Drugs</w:t>
            </w:r>
          </w:p>
        </w:tc>
        <w:tc>
          <w:tcPr>
            <w:tcW w:w="982" w:type="pct"/>
          </w:tcPr>
          <w:p w14:paraId="21DE8B06" w14:textId="01A116D9" w:rsidR="00C545EC" w:rsidRPr="00DE78B2" w:rsidRDefault="00B54325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Oral drugs used for cancer treatment that contain same active ingredient (or pro-drug) as Injectable dosage forms that would</w:t>
            </w:r>
            <w:r w:rsidR="00DE78B2">
              <w:rPr>
                <w:rFonts w:ascii="Verdana" w:hAnsi="Verdana" w:cs="Arial"/>
              </w:rPr>
              <w:t xml:space="preserve"> </w:t>
            </w:r>
            <w:r w:rsidR="00F3186E" w:rsidRPr="00A422F3">
              <w:rPr>
                <w:rFonts w:ascii="Verdana" w:hAnsi="Verdana" w:cs="Arial"/>
              </w:rPr>
              <w:t xml:space="preserve">be covered (see Note </w:t>
            </w:r>
            <w:r w:rsidRPr="00A422F3">
              <w:rPr>
                <w:rFonts w:ascii="Verdana" w:hAnsi="Verdana" w:cs="Arial"/>
              </w:rPr>
              <w:t xml:space="preserve">1) not usually </w:t>
            </w:r>
            <w:r w:rsidR="00DE78B2" w:rsidRPr="00A422F3">
              <w:rPr>
                <w:rFonts w:ascii="Verdana" w:hAnsi="Verdana" w:cs="Arial"/>
              </w:rPr>
              <w:t>self-administered</w:t>
            </w:r>
            <w:r w:rsidR="00DE78B2">
              <w:rPr>
                <w:rFonts w:ascii="Verdana" w:hAnsi="Verdana" w:cs="Arial"/>
              </w:rPr>
              <w:t xml:space="preserve"> </w:t>
            </w:r>
            <w:r w:rsidR="00F3186E" w:rsidRPr="00A422F3">
              <w:rPr>
                <w:rFonts w:ascii="Verdana" w:hAnsi="Verdana" w:cs="Arial"/>
              </w:rPr>
              <w:t>(see Note</w:t>
            </w:r>
            <w:r w:rsidRPr="00A422F3">
              <w:rPr>
                <w:rFonts w:ascii="Verdana" w:hAnsi="Verdana" w:cs="Arial"/>
              </w:rPr>
              <w:t xml:space="preserve"> 2) provided incident to a physician’s service.</w:t>
            </w:r>
          </w:p>
        </w:tc>
        <w:tc>
          <w:tcPr>
            <w:tcW w:w="1081" w:type="pct"/>
          </w:tcPr>
          <w:p w14:paraId="71883700" w14:textId="77777777" w:rsidR="00B54325" w:rsidRPr="00A422F3" w:rsidRDefault="00B54325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11B2E254" w14:textId="77777777" w:rsidR="00B54325" w:rsidRDefault="00B54325" w:rsidP="00DE78B2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B </w:t>
            </w:r>
            <w:r w:rsidRPr="00A422F3">
              <w:rPr>
                <w:rFonts w:ascii="Verdana" w:hAnsi="Verdana" w:cs="Arial"/>
              </w:rPr>
              <w:t xml:space="preserve">for </w:t>
            </w:r>
            <w:r w:rsidR="0081765D" w:rsidRPr="00A422F3">
              <w:rPr>
                <w:rFonts w:ascii="Verdana" w:hAnsi="Verdana" w:cs="Arial"/>
              </w:rPr>
              <w:t>cancer treatments</w:t>
            </w:r>
          </w:p>
          <w:p w14:paraId="4B4EB8DF" w14:textId="77777777" w:rsidR="00B446B3" w:rsidRPr="00A422F3" w:rsidRDefault="00B54325" w:rsidP="00DE78B2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>for all other</w:t>
            </w:r>
            <w:r w:rsidR="0081765D" w:rsidRPr="00A422F3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situations</w:t>
            </w:r>
          </w:p>
        </w:tc>
        <w:tc>
          <w:tcPr>
            <w:tcW w:w="912" w:type="pct"/>
          </w:tcPr>
          <w:p w14:paraId="26172A31" w14:textId="77777777" w:rsidR="00B54325" w:rsidRPr="00A422F3" w:rsidRDefault="00B54325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61BA51D8" w14:textId="77777777" w:rsidR="00CB4480" w:rsidRDefault="00CB4480" w:rsidP="00DE78B2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B </w:t>
            </w:r>
            <w:r w:rsidRPr="00A422F3">
              <w:rPr>
                <w:rFonts w:ascii="Verdana" w:hAnsi="Verdana" w:cs="Arial"/>
              </w:rPr>
              <w:t>for cancer treatments</w:t>
            </w:r>
          </w:p>
          <w:p w14:paraId="6DE8DFF3" w14:textId="77777777" w:rsidR="00B446B3" w:rsidRPr="00A422F3" w:rsidRDefault="00CB4480" w:rsidP="00DE78B2">
            <w:pPr>
              <w:numPr>
                <w:ilvl w:val="0"/>
                <w:numId w:val="2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>for all other situations</w:t>
            </w:r>
          </w:p>
        </w:tc>
        <w:tc>
          <w:tcPr>
            <w:tcW w:w="973" w:type="pct"/>
          </w:tcPr>
          <w:p w14:paraId="753874E5" w14:textId="27C31248" w:rsidR="00B446B3" w:rsidRPr="00A422F3" w:rsidRDefault="00B54325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</w:rPr>
              <w:t>Participating Part B pharmacies must bill the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DMERC in their region when these drugs are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covered under Part B</w:t>
            </w:r>
            <w:r w:rsidRPr="00A422F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70D6D" w:rsidRPr="00A422F3" w14:paraId="70503BD8" w14:textId="77777777" w:rsidTr="00E3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60DEBEFB" w14:textId="4F7068AF" w:rsidR="00B446B3" w:rsidRPr="00A422F3" w:rsidRDefault="00B54325" w:rsidP="00DE78B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</w:rPr>
              <w:t>Oral Anti-emetic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Drugs</w:t>
            </w:r>
          </w:p>
        </w:tc>
        <w:tc>
          <w:tcPr>
            <w:tcW w:w="982" w:type="pct"/>
          </w:tcPr>
          <w:p w14:paraId="4629F842" w14:textId="7B77FA23" w:rsidR="00427C41" w:rsidRPr="00DE78B2" w:rsidRDefault="00B54325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Oral anti-emetic drugs used as full therapeutic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replacement for IV antiemetic drugs within 48 h</w:t>
            </w:r>
            <w:r w:rsidR="00427C41">
              <w:rPr>
                <w:rFonts w:ascii="Verdana" w:hAnsi="Verdana" w:cs="Arial"/>
              </w:rPr>
              <w:t>ou</w:t>
            </w:r>
            <w:r w:rsidRPr="00A422F3">
              <w:rPr>
                <w:rFonts w:ascii="Verdana" w:hAnsi="Verdana" w:cs="Arial"/>
              </w:rPr>
              <w:t>rs</w:t>
            </w:r>
            <w:r w:rsidR="00427C41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of chemo</w:t>
            </w:r>
            <w:r w:rsidR="00427C41">
              <w:rPr>
                <w:rFonts w:ascii="Verdana" w:hAnsi="Verdana" w:cs="Arial"/>
              </w:rPr>
              <w:t>.</w:t>
            </w:r>
          </w:p>
        </w:tc>
        <w:tc>
          <w:tcPr>
            <w:tcW w:w="1081" w:type="pct"/>
          </w:tcPr>
          <w:p w14:paraId="5325D657" w14:textId="77777777" w:rsidR="00B54325" w:rsidRPr="00A422F3" w:rsidRDefault="00B54325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6D9CA3B1" w14:textId="77777777" w:rsidR="0081765D" w:rsidRPr="00427C41" w:rsidRDefault="00B54325" w:rsidP="00DE78B2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B </w:t>
            </w:r>
            <w:r w:rsidRPr="00A422F3">
              <w:rPr>
                <w:rFonts w:ascii="Verdana" w:hAnsi="Verdana" w:cs="Arial"/>
              </w:rPr>
              <w:t xml:space="preserve">for </w:t>
            </w:r>
            <w:r w:rsidR="0081765D" w:rsidRPr="00A422F3">
              <w:rPr>
                <w:rFonts w:ascii="Verdana" w:hAnsi="Verdana" w:cs="Arial"/>
              </w:rPr>
              <w:t>within 48 h</w:t>
            </w:r>
            <w:r w:rsidR="00427C41">
              <w:rPr>
                <w:rFonts w:ascii="Verdana" w:hAnsi="Verdana" w:cs="Arial"/>
              </w:rPr>
              <w:t>ou</w:t>
            </w:r>
            <w:r w:rsidR="0081765D" w:rsidRPr="00A422F3">
              <w:rPr>
                <w:rFonts w:ascii="Verdana" w:hAnsi="Verdana" w:cs="Arial"/>
              </w:rPr>
              <w:t>rs of c</w:t>
            </w:r>
            <w:r w:rsidR="0081765D" w:rsidRPr="00A422F3">
              <w:rPr>
                <w:rFonts w:ascii="Arial" w:hAnsi="Arial" w:cs="Arial"/>
                <w:sz w:val="22"/>
                <w:szCs w:val="22"/>
              </w:rPr>
              <w:t>hemo</w:t>
            </w:r>
          </w:p>
          <w:p w14:paraId="234EE21B" w14:textId="77777777" w:rsidR="00B446B3" w:rsidRPr="00A422F3" w:rsidRDefault="00B54325" w:rsidP="00DE78B2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>for all other</w:t>
            </w:r>
            <w:r w:rsidR="0081765D" w:rsidRPr="00A422F3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situations</w:t>
            </w:r>
          </w:p>
        </w:tc>
        <w:tc>
          <w:tcPr>
            <w:tcW w:w="912" w:type="pct"/>
          </w:tcPr>
          <w:p w14:paraId="2444D8E9" w14:textId="77777777" w:rsidR="00B54325" w:rsidRPr="00A422F3" w:rsidRDefault="00B54325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004237D8" w14:textId="77777777" w:rsidR="00CB4480" w:rsidRPr="00427C41" w:rsidRDefault="00CB4480" w:rsidP="00DE78B2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B </w:t>
            </w:r>
            <w:r w:rsidRPr="00A422F3">
              <w:rPr>
                <w:rFonts w:ascii="Verdana" w:hAnsi="Verdana" w:cs="Arial"/>
              </w:rPr>
              <w:t>for within 48 h</w:t>
            </w:r>
            <w:r w:rsidR="00427C41">
              <w:rPr>
                <w:rFonts w:ascii="Verdana" w:hAnsi="Verdana" w:cs="Arial"/>
              </w:rPr>
              <w:t>ou</w:t>
            </w:r>
            <w:r w:rsidRPr="00A422F3">
              <w:rPr>
                <w:rFonts w:ascii="Verdana" w:hAnsi="Verdana" w:cs="Arial"/>
              </w:rPr>
              <w:t>rs of c</w:t>
            </w:r>
            <w:r w:rsidRPr="00A422F3">
              <w:rPr>
                <w:rFonts w:ascii="Arial" w:hAnsi="Arial" w:cs="Arial"/>
                <w:sz w:val="22"/>
                <w:szCs w:val="22"/>
              </w:rPr>
              <w:t>hemo</w:t>
            </w:r>
          </w:p>
          <w:p w14:paraId="47F3F103" w14:textId="77777777" w:rsidR="00B446B3" w:rsidRPr="00A422F3" w:rsidRDefault="00CB4480" w:rsidP="00DE78B2">
            <w:pPr>
              <w:numPr>
                <w:ilvl w:val="0"/>
                <w:numId w:val="26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>for all other situations</w:t>
            </w:r>
          </w:p>
        </w:tc>
        <w:tc>
          <w:tcPr>
            <w:tcW w:w="973" w:type="pct"/>
          </w:tcPr>
          <w:p w14:paraId="75A2597E" w14:textId="7761BC0B" w:rsidR="00B446B3" w:rsidRPr="00A422F3" w:rsidRDefault="00B54325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422F3">
              <w:rPr>
                <w:rFonts w:ascii="Verdana" w:hAnsi="Verdana" w:cs="Arial"/>
              </w:rPr>
              <w:t>Participating Part B pharmacies must bill the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DMERC in their region when these drugs are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covered under Part B</w:t>
            </w:r>
            <w:r w:rsidRPr="00A422F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1765D" w:rsidRPr="00A422F3" w14:paraId="5A747CE5" w14:textId="77777777" w:rsidTr="00E36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5114BE16" w14:textId="77777777" w:rsidR="0081765D" w:rsidRPr="00A422F3" w:rsidRDefault="0081765D" w:rsidP="00DE78B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Erythropoietin (EPO)</w:t>
            </w:r>
          </w:p>
        </w:tc>
        <w:tc>
          <w:tcPr>
            <w:tcW w:w="982" w:type="pct"/>
          </w:tcPr>
          <w:p w14:paraId="1122DB89" w14:textId="3F2C71BC" w:rsidR="0081765D" w:rsidRPr="00A422F3" w:rsidRDefault="0081765D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Treatment of anemia for person with chronic renal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failure who are undergoing dialysis</w:t>
            </w:r>
            <w:r w:rsidR="00DE78B2">
              <w:rPr>
                <w:rFonts w:ascii="Verdana" w:hAnsi="Verdana" w:cs="Arial"/>
              </w:rPr>
              <w:t>.</w:t>
            </w:r>
          </w:p>
        </w:tc>
        <w:tc>
          <w:tcPr>
            <w:tcW w:w="1081" w:type="pct"/>
          </w:tcPr>
          <w:p w14:paraId="014CDFAE" w14:textId="77777777" w:rsidR="0081765D" w:rsidRPr="00A422F3" w:rsidRDefault="0081765D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7D2DBF91" w14:textId="77777777" w:rsidR="0081765D" w:rsidRDefault="0081765D" w:rsidP="00DE78B2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B </w:t>
            </w:r>
            <w:r w:rsidRPr="00A422F3">
              <w:rPr>
                <w:rFonts w:ascii="Verdana" w:hAnsi="Verdana" w:cs="Arial"/>
              </w:rPr>
              <w:t>for treatment of</w:t>
            </w:r>
            <w:r w:rsidR="00CB4480" w:rsidRPr="00A422F3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anemia for beneficiaries</w:t>
            </w:r>
            <w:r w:rsidR="00CB4480" w:rsidRPr="00A422F3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undergoing dialysis</w:t>
            </w:r>
          </w:p>
          <w:p w14:paraId="2FDD0C70" w14:textId="77777777" w:rsidR="0081765D" w:rsidRPr="00A422F3" w:rsidRDefault="0081765D" w:rsidP="00DE78B2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>all other</w:t>
            </w:r>
            <w:r w:rsidR="00CB4480" w:rsidRPr="00A422F3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situations</w:t>
            </w:r>
          </w:p>
        </w:tc>
        <w:tc>
          <w:tcPr>
            <w:tcW w:w="912" w:type="pct"/>
          </w:tcPr>
          <w:p w14:paraId="4E32EC9E" w14:textId="77777777" w:rsidR="00CB4480" w:rsidRPr="00A422F3" w:rsidRDefault="00CB4480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12AC51A0" w14:textId="77777777" w:rsidR="00CB4480" w:rsidRDefault="00CB4480" w:rsidP="00DE78B2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B </w:t>
            </w:r>
            <w:r w:rsidRPr="00A422F3">
              <w:rPr>
                <w:rFonts w:ascii="Verdana" w:hAnsi="Verdana" w:cs="Arial"/>
              </w:rPr>
              <w:t>for treatment of anemia for beneficiaries undergoing dialysis</w:t>
            </w:r>
          </w:p>
          <w:p w14:paraId="08955ACD" w14:textId="43A7DC4D" w:rsidR="005645F0" w:rsidRPr="00DE78B2" w:rsidRDefault="00CB4480" w:rsidP="00DE78B2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>all other situations</w:t>
            </w:r>
          </w:p>
        </w:tc>
        <w:tc>
          <w:tcPr>
            <w:tcW w:w="973" w:type="pct"/>
          </w:tcPr>
          <w:p w14:paraId="40B40D04" w14:textId="6D70C9DF" w:rsidR="00CB4480" w:rsidRPr="00A422F3" w:rsidRDefault="00CB4480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EPO may be covered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under Part B “incident to”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physician’s service for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other indications but a pharmacy would not be</w:t>
            </w:r>
          </w:p>
          <w:p w14:paraId="566421E0" w14:textId="77777777" w:rsidR="0081765D" w:rsidRPr="00A422F3" w:rsidRDefault="00CB4480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billing for “incident to” drugs</w:t>
            </w:r>
            <w:r w:rsidR="000A358A">
              <w:rPr>
                <w:rFonts w:ascii="Verdana" w:hAnsi="Verdana" w:cs="Arial"/>
              </w:rPr>
              <w:t>.</w:t>
            </w:r>
          </w:p>
        </w:tc>
      </w:tr>
      <w:tr w:rsidR="0081765D" w:rsidRPr="00A422F3" w14:paraId="29D293A5" w14:textId="77777777" w:rsidTr="00E3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041E24E2" w14:textId="37FF50A1" w:rsidR="0081765D" w:rsidRPr="00A422F3" w:rsidRDefault="00870D6D" w:rsidP="00DE78B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Prophylactic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Vaccines</w:t>
            </w:r>
          </w:p>
        </w:tc>
        <w:tc>
          <w:tcPr>
            <w:tcW w:w="982" w:type="pct"/>
          </w:tcPr>
          <w:p w14:paraId="1379B4A4" w14:textId="45DED207" w:rsidR="0081765D" w:rsidRPr="00A422F3" w:rsidRDefault="00870D6D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Influenza;</w:t>
            </w:r>
            <w:r w:rsidR="005645F0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Pneumococcal; and</w:t>
            </w:r>
            <w:r w:rsidR="005645F0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 xml:space="preserve">Hepatitis B (for intermediate to high risk </w:t>
            </w:r>
            <w:r w:rsidR="00DE78B2">
              <w:rPr>
                <w:rFonts w:ascii="Verdana" w:hAnsi="Verdana" w:cs="Arial"/>
              </w:rPr>
              <w:t>b</w:t>
            </w:r>
            <w:r w:rsidRPr="00A422F3">
              <w:rPr>
                <w:rFonts w:ascii="Verdana" w:hAnsi="Verdana" w:cs="Arial"/>
              </w:rPr>
              <w:t>eneficiaries).</w:t>
            </w:r>
          </w:p>
        </w:tc>
        <w:tc>
          <w:tcPr>
            <w:tcW w:w="1081" w:type="pct"/>
          </w:tcPr>
          <w:p w14:paraId="3F13B671" w14:textId="77777777" w:rsidR="00870D6D" w:rsidRPr="00A422F3" w:rsidRDefault="00870D6D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724AF619" w14:textId="77777777" w:rsidR="00870D6D" w:rsidRDefault="00870D6D" w:rsidP="00DE78B2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B </w:t>
            </w:r>
            <w:r w:rsidRPr="00A422F3">
              <w:rPr>
                <w:rFonts w:ascii="Verdana" w:hAnsi="Verdana" w:cs="Arial"/>
              </w:rPr>
              <w:t>for Influenza, Pneumococcal, &amp; Hepatitis B (for intermediate to high risk)</w:t>
            </w:r>
          </w:p>
          <w:p w14:paraId="31785716" w14:textId="2F3D7C8D" w:rsidR="005645F0" w:rsidRPr="00DE78B2" w:rsidRDefault="00870D6D" w:rsidP="00DE78B2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>for all others</w:t>
            </w:r>
          </w:p>
        </w:tc>
        <w:tc>
          <w:tcPr>
            <w:tcW w:w="912" w:type="pct"/>
          </w:tcPr>
          <w:p w14:paraId="70B1BCA2" w14:textId="77777777" w:rsidR="00870D6D" w:rsidRPr="00A422F3" w:rsidRDefault="00870D6D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6D9E844A" w14:textId="77777777" w:rsidR="00870D6D" w:rsidRDefault="00870D6D" w:rsidP="00DE78B2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B </w:t>
            </w:r>
            <w:r w:rsidRPr="00A422F3">
              <w:rPr>
                <w:rFonts w:ascii="Verdana" w:hAnsi="Verdana" w:cs="Arial"/>
              </w:rPr>
              <w:t>for Influenza, Pneumococcal, &amp; Hepatitis B (for intermediate to high risk)</w:t>
            </w:r>
          </w:p>
          <w:p w14:paraId="0C8906A9" w14:textId="476BCE57" w:rsidR="005645F0" w:rsidRPr="00DE78B2" w:rsidRDefault="00870D6D" w:rsidP="00DE78B2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>for all others</w:t>
            </w:r>
          </w:p>
        </w:tc>
        <w:tc>
          <w:tcPr>
            <w:tcW w:w="973" w:type="pct"/>
          </w:tcPr>
          <w:p w14:paraId="16CF4D3B" w14:textId="4319C2EA" w:rsidR="0081765D" w:rsidRPr="00A422F3" w:rsidRDefault="00870D6D" w:rsidP="00DE78B2">
            <w:pPr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Vaccines given directly related to the treatment of</w:t>
            </w:r>
            <w:r w:rsidR="00DE78B2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an injury or direct exposure to a disease or condition are always covered under Part B</w:t>
            </w:r>
            <w:r w:rsidR="000A358A">
              <w:rPr>
                <w:rFonts w:ascii="Verdana" w:hAnsi="Verdana" w:cs="Arial"/>
              </w:rPr>
              <w:t>.</w:t>
            </w:r>
          </w:p>
        </w:tc>
      </w:tr>
      <w:tr w:rsidR="0081765D" w:rsidRPr="00A422F3" w14:paraId="7E79CC88" w14:textId="77777777" w:rsidTr="00E36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0E76F829" w14:textId="77777777" w:rsidR="0081765D" w:rsidRPr="00A422F3" w:rsidRDefault="006E6435" w:rsidP="00DE78B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Parenteral Nutrition</w:t>
            </w:r>
          </w:p>
        </w:tc>
        <w:tc>
          <w:tcPr>
            <w:tcW w:w="982" w:type="pct"/>
          </w:tcPr>
          <w:p w14:paraId="77FCA1BB" w14:textId="19D3E3FB" w:rsidR="005645F0" w:rsidRPr="00A422F3" w:rsidRDefault="006E6435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 xml:space="preserve">Prosthetic benefit for individuals with </w:t>
            </w:r>
            <w:r w:rsidRPr="005645F0">
              <w:rPr>
                <w:rFonts w:ascii="Verdana" w:hAnsi="Verdana" w:cs="Arial"/>
                <w:b/>
                <w:bCs/>
              </w:rPr>
              <w:t>permanent</w:t>
            </w:r>
            <w:r w:rsidRPr="00A422F3">
              <w:rPr>
                <w:rFonts w:ascii="Verdana" w:hAnsi="Verdana" w:cs="Arial"/>
              </w:rPr>
              <w:t xml:space="preserve"> dysfunction of the digestive tract.  If</w:t>
            </w:r>
            <w:r w:rsidR="00A27D5F" w:rsidRPr="00A422F3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medical record, including the judgment or the attending physician, indicates that the impairment will be long and indefinite duration, the test of permanence is met.</w:t>
            </w:r>
          </w:p>
        </w:tc>
        <w:tc>
          <w:tcPr>
            <w:tcW w:w="1081" w:type="pct"/>
          </w:tcPr>
          <w:p w14:paraId="31D56A69" w14:textId="77777777" w:rsidR="00AD1410" w:rsidRPr="00A422F3" w:rsidRDefault="00AD1410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63601223" w14:textId="77777777" w:rsidR="00AD1410" w:rsidRDefault="00AD1410" w:rsidP="00DE78B2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B </w:t>
            </w:r>
            <w:r w:rsidRPr="00A422F3">
              <w:rPr>
                <w:rFonts w:ascii="Verdana" w:hAnsi="Verdana" w:cs="Arial"/>
              </w:rPr>
              <w:t>if “permanent” dysfunction of digestive tract</w:t>
            </w:r>
          </w:p>
          <w:p w14:paraId="058C2A44" w14:textId="77777777" w:rsidR="0081765D" w:rsidRPr="00A422F3" w:rsidRDefault="00AD1410" w:rsidP="00DE78B2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>for all other situations</w:t>
            </w:r>
          </w:p>
        </w:tc>
        <w:tc>
          <w:tcPr>
            <w:tcW w:w="912" w:type="pct"/>
          </w:tcPr>
          <w:p w14:paraId="6D3E23C7" w14:textId="77777777" w:rsidR="00AD1410" w:rsidRPr="00A422F3" w:rsidRDefault="00AD1410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>B or D:</w:t>
            </w:r>
          </w:p>
          <w:p w14:paraId="03EF8886" w14:textId="77777777" w:rsidR="00AD1410" w:rsidRDefault="00AD1410" w:rsidP="00DE78B2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B </w:t>
            </w:r>
            <w:r w:rsidRPr="00A422F3">
              <w:rPr>
                <w:rFonts w:ascii="Verdana" w:hAnsi="Verdana" w:cs="Arial"/>
              </w:rPr>
              <w:t>if “permanent” dysfunction of digestive tract</w:t>
            </w:r>
          </w:p>
          <w:p w14:paraId="3C9DA3C0" w14:textId="77777777" w:rsidR="0081765D" w:rsidRPr="00A422F3" w:rsidRDefault="00AD1410" w:rsidP="00DE78B2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/>
                <w:bCs/>
              </w:rPr>
            </w:pPr>
            <w:r w:rsidRPr="00A422F3">
              <w:rPr>
                <w:rFonts w:ascii="Verdana" w:hAnsi="Verdana" w:cs="Arial"/>
                <w:b/>
                <w:bCs/>
              </w:rPr>
              <w:t xml:space="preserve">Part D </w:t>
            </w:r>
            <w:r w:rsidRPr="00A422F3">
              <w:rPr>
                <w:rFonts w:ascii="Verdana" w:hAnsi="Verdana" w:cs="Arial"/>
              </w:rPr>
              <w:t xml:space="preserve">for all other </w:t>
            </w:r>
            <w:r w:rsidR="00A27D5F" w:rsidRPr="00A422F3">
              <w:rPr>
                <w:rFonts w:ascii="Verdana" w:hAnsi="Verdana" w:cs="Arial"/>
              </w:rPr>
              <w:t>s</w:t>
            </w:r>
            <w:r w:rsidRPr="00A422F3">
              <w:rPr>
                <w:rFonts w:ascii="Verdana" w:hAnsi="Verdana" w:cs="Arial"/>
              </w:rPr>
              <w:t>ituations</w:t>
            </w:r>
          </w:p>
        </w:tc>
        <w:tc>
          <w:tcPr>
            <w:tcW w:w="973" w:type="pct"/>
          </w:tcPr>
          <w:p w14:paraId="3F0358FE" w14:textId="28E950F7" w:rsidR="0081765D" w:rsidRPr="00A422F3" w:rsidRDefault="00AD1410" w:rsidP="00DE78B2">
            <w:pPr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A422F3">
              <w:rPr>
                <w:rFonts w:ascii="Verdana" w:hAnsi="Verdana" w:cs="Arial"/>
              </w:rPr>
              <w:t>Part D does not pay for the</w:t>
            </w:r>
            <w:r w:rsidR="00DE78B2">
              <w:rPr>
                <w:rFonts w:ascii="Verdana" w:hAnsi="Verdana" w:cs="Arial"/>
              </w:rPr>
              <w:t xml:space="preserve"> </w:t>
            </w:r>
            <w:r w:rsidR="002B4B29" w:rsidRPr="00A422F3">
              <w:rPr>
                <w:rFonts w:ascii="Verdana" w:hAnsi="Verdana" w:cs="Arial"/>
              </w:rPr>
              <w:t>E</w:t>
            </w:r>
            <w:r w:rsidRPr="00A422F3">
              <w:rPr>
                <w:rFonts w:ascii="Verdana" w:hAnsi="Verdana" w:cs="Arial"/>
              </w:rPr>
              <w:t>quipment</w:t>
            </w:r>
            <w:r w:rsidR="002B4B29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/</w:t>
            </w:r>
            <w:r w:rsidR="002B4B29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supplies and professional services associated with the provision of parenteral nutrition or other Part D</w:t>
            </w:r>
            <w:r w:rsidR="00A27D5F" w:rsidRPr="00A422F3">
              <w:rPr>
                <w:rFonts w:ascii="Verdana" w:hAnsi="Verdana" w:cs="Arial"/>
              </w:rPr>
              <w:t xml:space="preserve"> </w:t>
            </w:r>
            <w:r w:rsidRPr="00A422F3">
              <w:rPr>
                <w:rFonts w:ascii="Verdana" w:hAnsi="Verdana" w:cs="Arial"/>
              </w:rPr>
              <w:t>covered infusion therapy.</w:t>
            </w:r>
          </w:p>
        </w:tc>
      </w:tr>
    </w:tbl>
    <w:p w14:paraId="21A86974" w14:textId="77777777" w:rsidR="00F3186E" w:rsidRDefault="00F3186E" w:rsidP="00DE78B2">
      <w:pPr>
        <w:spacing w:before="120" w:after="120"/>
        <w:rPr>
          <w:rFonts w:ascii="Verdana" w:hAnsi="Verdana"/>
        </w:rPr>
      </w:pPr>
    </w:p>
    <w:p w14:paraId="54E25E48" w14:textId="77777777" w:rsidR="00F3186E" w:rsidRPr="001052B3" w:rsidRDefault="00F3186E" w:rsidP="00DE78B2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1052B3">
        <w:rPr>
          <w:rFonts w:ascii="Verdana" w:hAnsi="Verdana"/>
          <w:b/>
        </w:rPr>
        <w:t>Note 1</w:t>
      </w:r>
      <w:r>
        <w:rPr>
          <w:rFonts w:ascii="Verdana" w:hAnsi="Verdana"/>
        </w:rPr>
        <w:t xml:space="preserve">: </w:t>
      </w:r>
      <w:r w:rsidRPr="001052B3">
        <w:rPr>
          <w:rFonts w:ascii="Verdana" w:hAnsi="Verdana"/>
        </w:rPr>
        <w:t xml:space="preserve"> In addition to a hospital, a SNF or a distinct part SNF, the following LTC facilities cannot be considered a home for purposes of receiving the Medicare Part B</w:t>
      </w:r>
      <w:r w:rsidR="000A358A">
        <w:rPr>
          <w:rFonts w:ascii="Verdana" w:hAnsi="Verdana"/>
        </w:rPr>
        <w:t>.</w:t>
      </w:r>
      <w:r w:rsidRPr="001052B3">
        <w:rPr>
          <w:rFonts w:ascii="Verdana" w:hAnsi="Verdana"/>
        </w:rPr>
        <w:t xml:space="preserve"> </w:t>
      </w:r>
    </w:p>
    <w:p w14:paraId="5D8A1CE2" w14:textId="77777777" w:rsidR="00F3186E" w:rsidRPr="001052B3" w:rsidRDefault="00F3186E" w:rsidP="00DE78B2">
      <w:pPr>
        <w:autoSpaceDE w:val="0"/>
        <w:autoSpaceDN w:val="0"/>
        <w:adjustRightInd w:val="0"/>
        <w:spacing w:before="120" w:after="120"/>
        <w:ind w:left="1080"/>
        <w:rPr>
          <w:rFonts w:ascii="Verdana" w:hAnsi="Verdana"/>
        </w:rPr>
      </w:pPr>
      <w:r w:rsidRPr="001052B3">
        <w:rPr>
          <w:rFonts w:ascii="Verdana" w:hAnsi="Verdana"/>
        </w:rPr>
        <w:t>DME benefit:</w:t>
      </w:r>
      <w:r>
        <w:rPr>
          <w:rFonts w:ascii="Verdana" w:hAnsi="Verdana"/>
        </w:rPr>
        <w:t xml:space="preserve">  </w:t>
      </w:r>
    </w:p>
    <w:p w14:paraId="1682F135" w14:textId="77777777" w:rsidR="00F3186E" w:rsidRDefault="00F3186E" w:rsidP="00DE78B2">
      <w:pPr>
        <w:numPr>
          <w:ilvl w:val="0"/>
          <w:numId w:val="25"/>
        </w:numPr>
        <w:autoSpaceDE w:val="0"/>
        <w:autoSpaceDN w:val="0"/>
        <w:adjustRightInd w:val="0"/>
        <w:spacing w:before="120" w:after="120"/>
        <w:ind w:left="1800"/>
        <w:rPr>
          <w:rFonts w:ascii="Verdana" w:hAnsi="Verdana"/>
        </w:rPr>
      </w:pPr>
      <w:r w:rsidRPr="001052B3">
        <w:rPr>
          <w:rFonts w:ascii="Verdana" w:hAnsi="Verdana"/>
        </w:rPr>
        <w:t xml:space="preserve">A nursing home that is </w:t>
      </w:r>
      <w:r w:rsidR="005645F0" w:rsidRPr="001052B3">
        <w:rPr>
          <w:rFonts w:ascii="Verdana" w:hAnsi="Verdana"/>
        </w:rPr>
        <w:t>dually certified</w:t>
      </w:r>
      <w:r w:rsidRPr="001052B3">
        <w:rPr>
          <w:rFonts w:ascii="Verdana" w:hAnsi="Verdana"/>
        </w:rPr>
        <w:t xml:space="preserve"> as both a Medicare SNF and a Medicaid nursing facility (NF)</w:t>
      </w:r>
      <w:r>
        <w:rPr>
          <w:rFonts w:ascii="Verdana" w:hAnsi="Verdana"/>
        </w:rPr>
        <w:t>.</w:t>
      </w:r>
    </w:p>
    <w:p w14:paraId="2960A8BF" w14:textId="77777777" w:rsidR="00F3186E" w:rsidRDefault="00F3186E" w:rsidP="00DE78B2">
      <w:pPr>
        <w:numPr>
          <w:ilvl w:val="0"/>
          <w:numId w:val="25"/>
        </w:numPr>
        <w:autoSpaceDE w:val="0"/>
        <w:autoSpaceDN w:val="0"/>
        <w:adjustRightInd w:val="0"/>
        <w:spacing w:before="120" w:after="120"/>
        <w:ind w:left="1800"/>
        <w:rPr>
          <w:rFonts w:ascii="Verdana" w:hAnsi="Verdana"/>
        </w:rPr>
      </w:pPr>
      <w:r w:rsidRPr="001052B3">
        <w:rPr>
          <w:rFonts w:ascii="Verdana" w:hAnsi="Verdana"/>
        </w:rPr>
        <w:t>A Medicaid-only NF that p</w:t>
      </w:r>
      <w:r>
        <w:rPr>
          <w:rFonts w:ascii="Verdana" w:hAnsi="Verdana"/>
        </w:rPr>
        <w:t>rimarily furnishes skilled care.</w:t>
      </w:r>
    </w:p>
    <w:p w14:paraId="4EBB45C3" w14:textId="02C49E7E" w:rsidR="00F3186E" w:rsidRDefault="00F3186E" w:rsidP="00DE78B2">
      <w:pPr>
        <w:numPr>
          <w:ilvl w:val="0"/>
          <w:numId w:val="25"/>
        </w:numPr>
        <w:autoSpaceDE w:val="0"/>
        <w:autoSpaceDN w:val="0"/>
        <w:adjustRightInd w:val="0"/>
        <w:spacing w:before="120" w:after="120"/>
        <w:ind w:left="1800"/>
        <w:rPr>
          <w:rFonts w:ascii="Verdana" w:hAnsi="Verdana"/>
        </w:rPr>
      </w:pPr>
      <w:r w:rsidRPr="001052B3">
        <w:rPr>
          <w:rFonts w:ascii="Verdana" w:hAnsi="Verdana"/>
        </w:rPr>
        <w:t>A non-participating nursing home</w:t>
      </w:r>
      <w:r w:rsidR="00812751">
        <w:rPr>
          <w:rFonts w:ascii="Verdana" w:hAnsi="Verdana"/>
        </w:rPr>
        <w:t xml:space="preserve">.  </w:t>
      </w:r>
      <w:r w:rsidR="00812751" w:rsidRPr="00812751">
        <w:rPr>
          <w:rFonts w:ascii="Verdana" w:hAnsi="Verdana"/>
          <w:b/>
          <w:bCs/>
        </w:rPr>
        <w:t>Example:</w:t>
      </w:r>
      <w:r w:rsidRPr="001052B3">
        <w:rPr>
          <w:rFonts w:ascii="Verdana" w:hAnsi="Verdana"/>
        </w:rPr>
        <w:t xml:space="preserve"> neither Medicare nor Medicaid) that prov</w:t>
      </w:r>
      <w:r>
        <w:rPr>
          <w:rFonts w:ascii="Verdana" w:hAnsi="Verdana"/>
        </w:rPr>
        <w:t xml:space="preserve">ides primarily skilled care. </w:t>
      </w:r>
    </w:p>
    <w:p w14:paraId="495CF61F" w14:textId="77777777" w:rsidR="00F3186E" w:rsidRDefault="00F3186E" w:rsidP="00DE78B2">
      <w:pPr>
        <w:numPr>
          <w:ilvl w:val="0"/>
          <w:numId w:val="25"/>
        </w:numPr>
        <w:autoSpaceDE w:val="0"/>
        <w:autoSpaceDN w:val="0"/>
        <w:adjustRightInd w:val="0"/>
        <w:spacing w:before="120" w:after="120"/>
        <w:ind w:left="1800"/>
        <w:rPr>
          <w:rFonts w:ascii="Verdana" w:hAnsi="Verdana"/>
        </w:rPr>
      </w:pPr>
      <w:r w:rsidRPr="001052B3">
        <w:rPr>
          <w:rFonts w:ascii="Verdana" w:hAnsi="Verdana"/>
        </w:rPr>
        <w:t xml:space="preserve">An institution which has a distinct part </w:t>
      </w:r>
      <w:proofErr w:type="gramStart"/>
      <w:r w:rsidRPr="001052B3">
        <w:rPr>
          <w:rFonts w:ascii="Verdana" w:hAnsi="Verdana"/>
        </w:rPr>
        <w:t>SNF</w:t>
      </w:r>
      <w:proofErr w:type="gramEnd"/>
      <w:r w:rsidRPr="001052B3">
        <w:rPr>
          <w:rFonts w:ascii="Verdana" w:hAnsi="Verdana"/>
        </w:rPr>
        <w:t xml:space="preserve"> and which also primarily furnishes skilled care.</w:t>
      </w:r>
    </w:p>
    <w:p w14:paraId="0E5ACE92" w14:textId="77777777" w:rsidR="005645F0" w:rsidRPr="001052B3" w:rsidRDefault="005645F0" w:rsidP="00DE78B2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</w:p>
    <w:p w14:paraId="4CB364AC" w14:textId="77777777" w:rsidR="00F3186E" w:rsidRPr="001052B3" w:rsidRDefault="00F3186E" w:rsidP="00DE78B2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C711A3">
        <w:rPr>
          <w:rFonts w:ascii="Verdana" w:hAnsi="Verdana"/>
          <w:b/>
        </w:rPr>
        <w:t>Note 2</w:t>
      </w:r>
      <w:r>
        <w:rPr>
          <w:rFonts w:ascii="Verdana" w:hAnsi="Verdana"/>
        </w:rPr>
        <w:t xml:space="preserve">: </w:t>
      </w:r>
      <w:r w:rsidRPr="001052B3">
        <w:rPr>
          <w:rFonts w:ascii="Verdana" w:hAnsi="Verdana"/>
        </w:rPr>
        <w:t xml:space="preserve"> The DMERCs determines whether or not an IV drug requires a pump for infusion.</w:t>
      </w:r>
    </w:p>
    <w:p w14:paraId="1929E5B7" w14:textId="77777777" w:rsidR="00F3186E" w:rsidRPr="001052B3" w:rsidRDefault="00F3186E" w:rsidP="00DE78B2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765290">
        <w:rPr>
          <w:rFonts w:ascii="Verdana" w:hAnsi="Verdana"/>
          <w:b/>
        </w:rPr>
        <w:t>Note 3</w:t>
      </w:r>
      <w:r>
        <w:rPr>
          <w:rFonts w:ascii="Verdana" w:hAnsi="Verdana"/>
        </w:rPr>
        <w:t xml:space="preserve">: </w:t>
      </w:r>
      <w:r w:rsidRPr="001052B3">
        <w:rPr>
          <w:rFonts w:ascii="Verdana" w:hAnsi="Verdana"/>
        </w:rPr>
        <w:t xml:space="preserve"> The DMERCs do a medically necessity determination </w:t>
      </w:r>
      <w:r w:rsidR="005645F0" w:rsidRPr="001052B3">
        <w:rPr>
          <w:rFonts w:ascii="Verdana" w:hAnsi="Verdana"/>
        </w:rPr>
        <w:t>regarding</w:t>
      </w:r>
      <w:r w:rsidRPr="001052B3">
        <w:rPr>
          <w:rFonts w:ascii="Verdana" w:hAnsi="Verdana"/>
        </w:rPr>
        <w:t xml:space="preserve"> whether a nebulizer or infusion pump is medically necessary for a specific drug/condition.</w:t>
      </w:r>
    </w:p>
    <w:p w14:paraId="775E5F0A" w14:textId="77777777" w:rsidR="00F3186E" w:rsidRPr="001052B3" w:rsidRDefault="00F3186E" w:rsidP="00DE78B2">
      <w:pPr>
        <w:spacing w:before="120" w:after="120"/>
        <w:rPr>
          <w:rFonts w:ascii="Verdana" w:hAnsi="Verdana"/>
        </w:rPr>
      </w:pPr>
      <w:r w:rsidRPr="00765290">
        <w:rPr>
          <w:rFonts w:ascii="Verdana" w:hAnsi="Verdana"/>
          <w:b/>
        </w:rPr>
        <w:t>Note 4</w:t>
      </w:r>
      <w:r>
        <w:rPr>
          <w:rFonts w:ascii="Verdana" w:hAnsi="Verdana"/>
        </w:rPr>
        <w:t xml:space="preserve">: </w:t>
      </w:r>
      <w:r w:rsidRPr="001052B3">
        <w:rPr>
          <w:rFonts w:ascii="Verdana" w:hAnsi="Verdana"/>
        </w:rPr>
        <w:t xml:space="preserve"> If a facility does n</w:t>
      </w:r>
      <w:r>
        <w:rPr>
          <w:rFonts w:ascii="Verdana" w:hAnsi="Verdana"/>
        </w:rPr>
        <w:t>ot meet the criteria in Note</w:t>
      </w:r>
      <w:r w:rsidRPr="001052B3">
        <w:rPr>
          <w:rFonts w:ascii="Verdana" w:hAnsi="Verdana"/>
        </w:rPr>
        <w:t xml:space="preserve"> 1, it would be considered a home, and Part B could cover the drugs.</w:t>
      </w:r>
    </w:p>
    <w:p w14:paraId="7A71005C" w14:textId="77777777" w:rsidR="00F3186E" w:rsidRPr="00EB1F94" w:rsidRDefault="00F3186E" w:rsidP="00DE78B2">
      <w:pPr>
        <w:spacing w:before="120" w:after="120"/>
        <w:rPr>
          <w:rFonts w:ascii="Verdana" w:hAnsi="Verdana"/>
        </w:rPr>
      </w:pPr>
    </w:p>
    <w:p w14:paraId="5C27C1D5" w14:textId="77777777" w:rsidR="007A403E" w:rsidRPr="000A358A" w:rsidRDefault="000A358A" w:rsidP="007A403E">
      <w:pPr>
        <w:jc w:val="right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2D3FB0" w:rsidRPr="000A358A">
        <w:rPr>
          <w:rStyle w:val="Hyperlink"/>
          <w:rFonts w:ascii="Verdana" w:hAnsi="Verdana"/>
        </w:rPr>
        <w:t>Top of the Document</w:t>
      </w:r>
    </w:p>
    <w:p w14:paraId="7C43DE51" w14:textId="77777777" w:rsidR="00710E68" w:rsidRPr="00C247CB" w:rsidRDefault="000A358A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</w:rPr>
        <w:fldChar w:fldCharType="end"/>
      </w:r>
      <w:r w:rsidR="00710E68" w:rsidRPr="00C247C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="00710E68" w:rsidRPr="00C247CB">
        <w:rPr>
          <w:rFonts w:ascii="Verdana" w:hAnsi="Verdana"/>
          <w:sz w:val="16"/>
          <w:szCs w:val="16"/>
        </w:rPr>
        <w:t>Or</w:t>
      </w:r>
      <w:proofErr w:type="gramEnd"/>
      <w:r w:rsidR="00710E68"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52B4D6BD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BE3E9E">
        <w:rPr>
          <w:rFonts w:ascii="Verdana" w:hAnsi="Verdana"/>
          <w:b/>
          <w:color w:val="000000"/>
          <w:sz w:val="16"/>
          <w:szCs w:val="16"/>
        </w:rPr>
        <w:t xml:space="preserve">TRONIC DATA = OFFICIAL VERSION </w:t>
      </w:r>
      <w:r w:rsidR="00B51AA3">
        <w:rPr>
          <w:rFonts w:ascii="Verdana" w:hAnsi="Verdana"/>
          <w:b/>
          <w:color w:val="000000"/>
          <w:sz w:val="16"/>
          <w:szCs w:val="16"/>
        </w:rPr>
        <w:t>/</w:t>
      </w:r>
      <w:r w:rsidR="00850F71">
        <w:rPr>
          <w:rFonts w:ascii="Verdana" w:hAnsi="Verdana"/>
          <w:b/>
          <w:color w:val="000000"/>
          <w:sz w:val="16"/>
          <w:szCs w:val="16"/>
        </w:rPr>
        <w:t xml:space="preserve">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E9F00AD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EB1F9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E369" w14:textId="77777777" w:rsidR="00BF6966" w:rsidRDefault="00BF6966">
      <w:r>
        <w:separator/>
      </w:r>
    </w:p>
  </w:endnote>
  <w:endnote w:type="continuationSeparator" w:id="0">
    <w:p w14:paraId="7AEC1041" w14:textId="77777777" w:rsidR="00BF6966" w:rsidRDefault="00BF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319D" w14:textId="77777777" w:rsidR="00BF6966" w:rsidRDefault="00BF6966">
      <w:r>
        <w:separator/>
      </w:r>
    </w:p>
  </w:footnote>
  <w:footnote w:type="continuationSeparator" w:id="0">
    <w:p w14:paraId="14993A7F" w14:textId="77777777" w:rsidR="00BF6966" w:rsidRDefault="00BF6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0D216B"/>
    <w:multiLevelType w:val="hybridMultilevel"/>
    <w:tmpl w:val="972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C679A"/>
    <w:multiLevelType w:val="hybridMultilevel"/>
    <w:tmpl w:val="6D12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2135"/>
    <w:multiLevelType w:val="hybridMultilevel"/>
    <w:tmpl w:val="35A68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A54961"/>
    <w:multiLevelType w:val="hybridMultilevel"/>
    <w:tmpl w:val="A18C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80F70D8"/>
    <w:multiLevelType w:val="hybridMultilevel"/>
    <w:tmpl w:val="BAA28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EE56E8"/>
    <w:multiLevelType w:val="hybridMultilevel"/>
    <w:tmpl w:val="A9408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A116E4"/>
    <w:multiLevelType w:val="hybridMultilevel"/>
    <w:tmpl w:val="91B0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1746EF"/>
    <w:multiLevelType w:val="hybridMultilevel"/>
    <w:tmpl w:val="F866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634A18"/>
    <w:multiLevelType w:val="hybridMultilevel"/>
    <w:tmpl w:val="8C065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0C4C0E"/>
    <w:multiLevelType w:val="hybridMultilevel"/>
    <w:tmpl w:val="F3EA0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056703"/>
    <w:multiLevelType w:val="hybridMultilevel"/>
    <w:tmpl w:val="5990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4257C4"/>
    <w:multiLevelType w:val="hybridMultilevel"/>
    <w:tmpl w:val="9A38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143D"/>
    <w:multiLevelType w:val="hybridMultilevel"/>
    <w:tmpl w:val="569ADF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3F5140"/>
    <w:multiLevelType w:val="hybridMultilevel"/>
    <w:tmpl w:val="AC585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C039C8"/>
    <w:multiLevelType w:val="hybridMultilevel"/>
    <w:tmpl w:val="F754F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1235987">
    <w:abstractNumId w:val="21"/>
  </w:num>
  <w:num w:numId="2" w16cid:durableId="553976285">
    <w:abstractNumId w:val="7"/>
  </w:num>
  <w:num w:numId="3" w16cid:durableId="700517914">
    <w:abstractNumId w:val="24"/>
  </w:num>
  <w:num w:numId="4" w16cid:durableId="843935818">
    <w:abstractNumId w:val="26"/>
  </w:num>
  <w:num w:numId="5" w16cid:durableId="974603125">
    <w:abstractNumId w:val="1"/>
  </w:num>
  <w:num w:numId="6" w16cid:durableId="1222592736">
    <w:abstractNumId w:val="27"/>
  </w:num>
  <w:num w:numId="7" w16cid:durableId="887914360">
    <w:abstractNumId w:val="18"/>
  </w:num>
  <w:num w:numId="8" w16cid:durableId="2568645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9712475">
    <w:abstractNumId w:val="9"/>
  </w:num>
  <w:num w:numId="10" w16cid:durableId="1391614075">
    <w:abstractNumId w:val="0"/>
  </w:num>
  <w:num w:numId="11" w16cid:durableId="343358097">
    <w:abstractNumId w:val="8"/>
  </w:num>
  <w:num w:numId="12" w16cid:durableId="569972523">
    <w:abstractNumId w:val="3"/>
  </w:num>
  <w:num w:numId="13" w16cid:durableId="1514415567">
    <w:abstractNumId w:val="13"/>
  </w:num>
  <w:num w:numId="14" w16cid:durableId="1036347916">
    <w:abstractNumId w:val="10"/>
  </w:num>
  <w:num w:numId="15" w16cid:durableId="717516251">
    <w:abstractNumId w:val="23"/>
  </w:num>
  <w:num w:numId="16" w16cid:durableId="1356421014">
    <w:abstractNumId w:val="14"/>
  </w:num>
  <w:num w:numId="17" w16cid:durableId="1651902288">
    <w:abstractNumId w:val="19"/>
  </w:num>
  <w:num w:numId="18" w16cid:durableId="764962476">
    <w:abstractNumId w:val="22"/>
  </w:num>
  <w:num w:numId="19" w16cid:durableId="780150624">
    <w:abstractNumId w:val="4"/>
  </w:num>
  <w:num w:numId="20" w16cid:durableId="1143233540">
    <w:abstractNumId w:val="28"/>
  </w:num>
  <w:num w:numId="21" w16cid:durableId="315958507">
    <w:abstractNumId w:val="15"/>
  </w:num>
  <w:num w:numId="22" w16cid:durableId="661202061">
    <w:abstractNumId w:val="6"/>
  </w:num>
  <w:num w:numId="23" w16cid:durableId="126747596">
    <w:abstractNumId w:val="17"/>
  </w:num>
  <w:num w:numId="24" w16cid:durableId="771559762">
    <w:abstractNumId w:val="2"/>
  </w:num>
  <w:num w:numId="25" w16cid:durableId="1054620615">
    <w:abstractNumId w:val="20"/>
  </w:num>
  <w:num w:numId="26" w16cid:durableId="1429547375">
    <w:abstractNumId w:val="5"/>
  </w:num>
  <w:num w:numId="27" w16cid:durableId="1233156126">
    <w:abstractNumId w:val="25"/>
  </w:num>
  <w:num w:numId="28" w16cid:durableId="887298586">
    <w:abstractNumId w:val="16"/>
  </w:num>
  <w:num w:numId="29" w16cid:durableId="1042898365">
    <w:abstractNumId w:val="11"/>
  </w:num>
  <w:num w:numId="30" w16cid:durableId="3819526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61AD2"/>
    <w:rsid w:val="000863D4"/>
    <w:rsid w:val="0008665F"/>
    <w:rsid w:val="00095AB5"/>
    <w:rsid w:val="000A358A"/>
    <w:rsid w:val="000A6B88"/>
    <w:rsid w:val="000B3C4C"/>
    <w:rsid w:val="000B656F"/>
    <w:rsid w:val="000B72DF"/>
    <w:rsid w:val="000D1870"/>
    <w:rsid w:val="000D4BA2"/>
    <w:rsid w:val="000D6714"/>
    <w:rsid w:val="000D7B67"/>
    <w:rsid w:val="000F0D1B"/>
    <w:rsid w:val="000F54AF"/>
    <w:rsid w:val="00104CDE"/>
    <w:rsid w:val="001052B3"/>
    <w:rsid w:val="00115944"/>
    <w:rsid w:val="0012373E"/>
    <w:rsid w:val="001360A5"/>
    <w:rsid w:val="00154573"/>
    <w:rsid w:val="0016273A"/>
    <w:rsid w:val="00181B1A"/>
    <w:rsid w:val="0019130B"/>
    <w:rsid w:val="001A4E09"/>
    <w:rsid w:val="001A5256"/>
    <w:rsid w:val="001B3879"/>
    <w:rsid w:val="001D438E"/>
    <w:rsid w:val="001E7746"/>
    <w:rsid w:val="001F0774"/>
    <w:rsid w:val="001F1218"/>
    <w:rsid w:val="001F38D6"/>
    <w:rsid w:val="001F5947"/>
    <w:rsid w:val="002016B4"/>
    <w:rsid w:val="002055CF"/>
    <w:rsid w:val="0022184C"/>
    <w:rsid w:val="00243EBB"/>
    <w:rsid w:val="00245BBB"/>
    <w:rsid w:val="002528E5"/>
    <w:rsid w:val="00255C6B"/>
    <w:rsid w:val="00265D86"/>
    <w:rsid w:val="002750DC"/>
    <w:rsid w:val="00291CE8"/>
    <w:rsid w:val="00296127"/>
    <w:rsid w:val="00296765"/>
    <w:rsid w:val="002A1DE0"/>
    <w:rsid w:val="002B4B29"/>
    <w:rsid w:val="002B593E"/>
    <w:rsid w:val="002D3FB0"/>
    <w:rsid w:val="002E3408"/>
    <w:rsid w:val="002E6E58"/>
    <w:rsid w:val="002F1F92"/>
    <w:rsid w:val="002F6F9E"/>
    <w:rsid w:val="0033143E"/>
    <w:rsid w:val="0034318F"/>
    <w:rsid w:val="0034552B"/>
    <w:rsid w:val="003641BE"/>
    <w:rsid w:val="003725A1"/>
    <w:rsid w:val="003831E6"/>
    <w:rsid w:val="003868A2"/>
    <w:rsid w:val="00387043"/>
    <w:rsid w:val="00390950"/>
    <w:rsid w:val="00392A5B"/>
    <w:rsid w:val="0039371D"/>
    <w:rsid w:val="003A6D70"/>
    <w:rsid w:val="003B1F86"/>
    <w:rsid w:val="003C4627"/>
    <w:rsid w:val="003D1A7F"/>
    <w:rsid w:val="003E6C1A"/>
    <w:rsid w:val="003F778E"/>
    <w:rsid w:val="0040640A"/>
    <w:rsid w:val="00406DB5"/>
    <w:rsid w:val="0042336D"/>
    <w:rsid w:val="00424660"/>
    <w:rsid w:val="00427C41"/>
    <w:rsid w:val="00457EAE"/>
    <w:rsid w:val="004768BE"/>
    <w:rsid w:val="00477F73"/>
    <w:rsid w:val="0048355A"/>
    <w:rsid w:val="00484781"/>
    <w:rsid w:val="00486108"/>
    <w:rsid w:val="004911A6"/>
    <w:rsid w:val="004D0AF2"/>
    <w:rsid w:val="004D19A5"/>
    <w:rsid w:val="004D3C53"/>
    <w:rsid w:val="004F7F34"/>
    <w:rsid w:val="00505588"/>
    <w:rsid w:val="00512486"/>
    <w:rsid w:val="00515614"/>
    <w:rsid w:val="00516B66"/>
    <w:rsid w:val="0052465B"/>
    <w:rsid w:val="00524CDD"/>
    <w:rsid w:val="00547C68"/>
    <w:rsid w:val="005645F0"/>
    <w:rsid w:val="00565A58"/>
    <w:rsid w:val="005667C4"/>
    <w:rsid w:val="00577909"/>
    <w:rsid w:val="00582E85"/>
    <w:rsid w:val="00587EE4"/>
    <w:rsid w:val="00590CCB"/>
    <w:rsid w:val="005910B5"/>
    <w:rsid w:val="005A6118"/>
    <w:rsid w:val="005A64DA"/>
    <w:rsid w:val="005B446E"/>
    <w:rsid w:val="005C1D83"/>
    <w:rsid w:val="005C48FA"/>
    <w:rsid w:val="005E650E"/>
    <w:rsid w:val="00607224"/>
    <w:rsid w:val="00622D77"/>
    <w:rsid w:val="00627F34"/>
    <w:rsid w:val="00636B18"/>
    <w:rsid w:val="00637CA1"/>
    <w:rsid w:val="00647CDD"/>
    <w:rsid w:val="00662334"/>
    <w:rsid w:val="0066617F"/>
    <w:rsid w:val="00674A16"/>
    <w:rsid w:val="00691E10"/>
    <w:rsid w:val="006A0481"/>
    <w:rsid w:val="006B4114"/>
    <w:rsid w:val="006C653F"/>
    <w:rsid w:val="006E6435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43967"/>
    <w:rsid w:val="00744525"/>
    <w:rsid w:val="00745AC9"/>
    <w:rsid w:val="00752801"/>
    <w:rsid w:val="00753A06"/>
    <w:rsid w:val="007642C2"/>
    <w:rsid w:val="00765290"/>
    <w:rsid w:val="00785118"/>
    <w:rsid w:val="007856E4"/>
    <w:rsid w:val="00785C47"/>
    <w:rsid w:val="00786BEB"/>
    <w:rsid w:val="00787AB0"/>
    <w:rsid w:val="007A403E"/>
    <w:rsid w:val="007A75EA"/>
    <w:rsid w:val="007C77DD"/>
    <w:rsid w:val="007E3EA6"/>
    <w:rsid w:val="007F04AB"/>
    <w:rsid w:val="00803AE3"/>
    <w:rsid w:val="008042E1"/>
    <w:rsid w:val="00804D63"/>
    <w:rsid w:val="00806B9D"/>
    <w:rsid w:val="00812751"/>
    <w:rsid w:val="00812777"/>
    <w:rsid w:val="0081765D"/>
    <w:rsid w:val="008230FA"/>
    <w:rsid w:val="00835D5D"/>
    <w:rsid w:val="00836B9D"/>
    <w:rsid w:val="0084129E"/>
    <w:rsid w:val="00843390"/>
    <w:rsid w:val="00846373"/>
    <w:rsid w:val="00846ECB"/>
    <w:rsid w:val="00850019"/>
    <w:rsid w:val="00850F71"/>
    <w:rsid w:val="0085110A"/>
    <w:rsid w:val="008568AE"/>
    <w:rsid w:val="00860590"/>
    <w:rsid w:val="00861316"/>
    <w:rsid w:val="008614E8"/>
    <w:rsid w:val="00867EDF"/>
    <w:rsid w:val="00870D6D"/>
    <w:rsid w:val="008734D7"/>
    <w:rsid w:val="00875610"/>
    <w:rsid w:val="00875F0D"/>
    <w:rsid w:val="00877414"/>
    <w:rsid w:val="008825E7"/>
    <w:rsid w:val="008A03B7"/>
    <w:rsid w:val="008C2197"/>
    <w:rsid w:val="008C3493"/>
    <w:rsid w:val="008D0762"/>
    <w:rsid w:val="008D11A6"/>
    <w:rsid w:val="008D1F7B"/>
    <w:rsid w:val="008D2D64"/>
    <w:rsid w:val="008D49F0"/>
    <w:rsid w:val="008E21BE"/>
    <w:rsid w:val="008E3B5C"/>
    <w:rsid w:val="00902E07"/>
    <w:rsid w:val="00913B1B"/>
    <w:rsid w:val="00922835"/>
    <w:rsid w:val="00927861"/>
    <w:rsid w:val="0094148C"/>
    <w:rsid w:val="00944556"/>
    <w:rsid w:val="00947783"/>
    <w:rsid w:val="00954FE8"/>
    <w:rsid w:val="009726E0"/>
    <w:rsid w:val="00985B60"/>
    <w:rsid w:val="00990822"/>
    <w:rsid w:val="009A2F02"/>
    <w:rsid w:val="009B0FAE"/>
    <w:rsid w:val="009B7B68"/>
    <w:rsid w:val="009C4A31"/>
    <w:rsid w:val="009E00C2"/>
    <w:rsid w:val="009F6FD2"/>
    <w:rsid w:val="009F7259"/>
    <w:rsid w:val="009F78D3"/>
    <w:rsid w:val="00A03E5E"/>
    <w:rsid w:val="00A27D5F"/>
    <w:rsid w:val="00A422F3"/>
    <w:rsid w:val="00A4732A"/>
    <w:rsid w:val="00A57D26"/>
    <w:rsid w:val="00A7166B"/>
    <w:rsid w:val="00A72DEB"/>
    <w:rsid w:val="00A816B8"/>
    <w:rsid w:val="00A83BA0"/>
    <w:rsid w:val="00A84F18"/>
    <w:rsid w:val="00A85045"/>
    <w:rsid w:val="00A87D15"/>
    <w:rsid w:val="00A95738"/>
    <w:rsid w:val="00A97B7D"/>
    <w:rsid w:val="00AA09DA"/>
    <w:rsid w:val="00AA2252"/>
    <w:rsid w:val="00AA4825"/>
    <w:rsid w:val="00AB33E1"/>
    <w:rsid w:val="00AC4214"/>
    <w:rsid w:val="00AC6E70"/>
    <w:rsid w:val="00AD1410"/>
    <w:rsid w:val="00AD1646"/>
    <w:rsid w:val="00AD7AB4"/>
    <w:rsid w:val="00AE40C2"/>
    <w:rsid w:val="00AF038B"/>
    <w:rsid w:val="00AF4F38"/>
    <w:rsid w:val="00AF78FA"/>
    <w:rsid w:val="00B078F6"/>
    <w:rsid w:val="00B26045"/>
    <w:rsid w:val="00B31AF7"/>
    <w:rsid w:val="00B446B3"/>
    <w:rsid w:val="00B44C55"/>
    <w:rsid w:val="00B46A95"/>
    <w:rsid w:val="00B5114C"/>
    <w:rsid w:val="00B5123C"/>
    <w:rsid w:val="00B51AA3"/>
    <w:rsid w:val="00B521CC"/>
    <w:rsid w:val="00B54325"/>
    <w:rsid w:val="00B544C2"/>
    <w:rsid w:val="00B5566F"/>
    <w:rsid w:val="00B630A6"/>
    <w:rsid w:val="00B70CC4"/>
    <w:rsid w:val="00BB02DE"/>
    <w:rsid w:val="00BB371A"/>
    <w:rsid w:val="00BC574A"/>
    <w:rsid w:val="00BD5E06"/>
    <w:rsid w:val="00BD7B25"/>
    <w:rsid w:val="00BE1AFF"/>
    <w:rsid w:val="00BE3E9E"/>
    <w:rsid w:val="00BF6966"/>
    <w:rsid w:val="00BF74E9"/>
    <w:rsid w:val="00C04472"/>
    <w:rsid w:val="00C247CB"/>
    <w:rsid w:val="00C32D18"/>
    <w:rsid w:val="00C360BD"/>
    <w:rsid w:val="00C476E1"/>
    <w:rsid w:val="00C52E77"/>
    <w:rsid w:val="00C545EC"/>
    <w:rsid w:val="00C566B3"/>
    <w:rsid w:val="00C65249"/>
    <w:rsid w:val="00C67B32"/>
    <w:rsid w:val="00C711A3"/>
    <w:rsid w:val="00C72007"/>
    <w:rsid w:val="00C75C83"/>
    <w:rsid w:val="00C837BA"/>
    <w:rsid w:val="00C8533C"/>
    <w:rsid w:val="00C95346"/>
    <w:rsid w:val="00CA3B23"/>
    <w:rsid w:val="00CA3D5A"/>
    <w:rsid w:val="00CA62F6"/>
    <w:rsid w:val="00CB0C1D"/>
    <w:rsid w:val="00CB4480"/>
    <w:rsid w:val="00CC5AA2"/>
    <w:rsid w:val="00CC721A"/>
    <w:rsid w:val="00CD0963"/>
    <w:rsid w:val="00CD5C71"/>
    <w:rsid w:val="00CE3D42"/>
    <w:rsid w:val="00CE53E6"/>
    <w:rsid w:val="00CE66B6"/>
    <w:rsid w:val="00CE7382"/>
    <w:rsid w:val="00CF1691"/>
    <w:rsid w:val="00CF32C6"/>
    <w:rsid w:val="00CF539A"/>
    <w:rsid w:val="00CF6131"/>
    <w:rsid w:val="00D06EAA"/>
    <w:rsid w:val="00D36733"/>
    <w:rsid w:val="00D471B5"/>
    <w:rsid w:val="00D571DB"/>
    <w:rsid w:val="00D61970"/>
    <w:rsid w:val="00D6774D"/>
    <w:rsid w:val="00D75191"/>
    <w:rsid w:val="00D80929"/>
    <w:rsid w:val="00D85254"/>
    <w:rsid w:val="00D92FCF"/>
    <w:rsid w:val="00DC4FFC"/>
    <w:rsid w:val="00DD3529"/>
    <w:rsid w:val="00DE78B2"/>
    <w:rsid w:val="00DE79F7"/>
    <w:rsid w:val="00DF6BE4"/>
    <w:rsid w:val="00E157BC"/>
    <w:rsid w:val="00E36153"/>
    <w:rsid w:val="00E414EC"/>
    <w:rsid w:val="00E50E4A"/>
    <w:rsid w:val="00E62DF7"/>
    <w:rsid w:val="00E650D0"/>
    <w:rsid w:val="00E76C13"/>
    <w:rsid w:val="00E91F5F"/>
    <w:rsid w:val="00EB12DD"/>
    <w:rsid w:val="00EB153E"/>
    <w:rsid w:val="00EB1F94"/>
    <w:rsid w:val="00EB57EB"/>
    <w:rsid w:val="00ED50CF"/>
    <w:rsid w:val="00EF7B70"/>
    <w:rsid w:val="00F1152F"/>
    <w:rsid w:val="00F207B3"/>
    <w:rsid w:val="00F3186E"/>
    <w:rsid w:val="00F45940"/>
    <w:rsid w:val="00F5486B"/>
    <w:rsid w:val="00F62BC4"/>
    <w:rsid w:val="00F658E0"/>
    <w:rsid w:val="00F81783"/>
    <w:rsid w:val="00F859B7"/>
    <w:rsid w:val="00F877B4"/>
    <w:rsid w:val="00FB0924"/>
    <w:rsid w:val="00FB2D67"/>
    <w:rsid w:val="00FB3DBC"/>
    <w:rsid w:val="00FB5FA7"/>
    <w:rsid w:val="00FC1C44"/>
    <w:rsid w:val="00FE0333"/>
    <w:rsid w:val="00FE340A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DD6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GridTable4-Accent5">
    <w:name w:val="Grid Table 4 Accent 5"/>
    <w:basedOn w:val="TableNormal"/>
    <w:uiPriority w:val="49"/>
    <w:rsid w:val="00E3615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935</Words>
  <Characters>4784</Characters>
  <Application>Microsoft Office Word</Application>
  <DocSecurity>0</DocSecurity>
  <Lines>350</Lines>
  <Paragraphs>89</Paragraphs>
  <ScaleCrop>false</ScaleCrop>
  <Company/>
  <LinksUpToDate>false</LinksUpToDate>
  <CharactersWithSpaces>5672</CharactersWithSpaces>
  <SharedDoc>false</SharedDoc>
  <HLinks>
    <vt:vector size="6" baseType="variant"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2022-09-28T18:10:00Z</dcterms:created>
  <dcterms:modified xsi:type="dcterms:W3CDTF">2023-11-20T18:23:00Z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2022-09-28T18:10:48Z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56257f22-5b86-4bff-ab8c-6b34fe7ef551</vt:lpwstr>
  </property>
  <property fmtid="{D5CDD505-2E9C-101B-9397-08002B2CF9AE}" pid="8" name="MSIP_Label_67599526-06ca-49cc-9fa9-5307800a949a_ContentBits">
    <vt:lpwstr>0</vt:lpwstr>
  </property>
</Properties>
</file>