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E3A58" w14:textId="6C3339ED" w:rsidR="00722C1D" w:rsidRPr="00AA0013" w:rsidRDefault="00941EE0" w:rsidP="00722C1D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396226857"/>
      <w:bookmarkStart w:id="2" w:name="_Toc396282332"/>
      <w:bookmarkStart w:id="3" w:name="_Toc404261393"/>
      <w:bookmarkStart w:id="4" w:name="_Toc427595264"/>
      <w:bookmarkStart w:id="5" w:name="OLE_LINK3"/>
      <w:bookmarkEnd w:id="0"/>
      <w:r>
        <w:rPr>
          <w:rFonts w:ascii="Verdana" w:hAnsi="Verdana"/>
          <w:noProof/>
          <w:color w:val="auto"/>
          <w:sz w:val="36"/>
          <w:szCs w:val="36"/>
        </w:rPr>
        <w:drawing>
          <wp:inline distT="0" distB="0" distL="0" distR="0" wp14:anchorId="32FA4CE6" wp14:editId="552C5271">
            <wp:extent cx="304762" cy="304762"/>
            <wp:effectExtent l="0" t="0" r="635" b="635"/>
            <wp:docPr id="60316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63297" name="Picture 6031632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auto"/>
          <w:sz w:val="36"/>
          <w:szCs w:val="36"/>
        </w:rPr>
        <w:t xml:space="preserve"> </w:t>
      </w:r>
      <w:r w:rsidR="00722C1D" w:rsidRPr="00AA0013">
        <w:rPr>
          <w:rFonts w:ascii="Verdana" w:hAnsi="Verdana"/>
          <w:color w:val="auto"/>
          <w:sz w:val="36"/>
          <w:szCs w:val="36"/>
        </w:rPr>
        <w:t xml:space="preserve">Caremark.com </w:t>
      </w:r>
      <w:r w:rsidR="00722C1D">
        <w:rPr>
          <w:rFonts w:ascii="Verdana" w:hAnsi="Verdana"/>
          <w:color w:val="auto"/>
          <w:sz w:val="36"/>
          <w:szCs w:val="36"/>
        </w:rPr>
        <w:t xml:space="preserve">- </w:t>
      </w:r>
      <w:r w:rsidR="00722C1D" w:rsidRPr="00F253E5">
        <w:rPr>
          <w:rFonts w:ascii="Verdana" w:hAnsi="Verdana"/>
          <w:color w:val="auto"/>
          <w:sz w:val="36"/>
          <w:szCs w:val="36"/>
        </w:rPr>
        <w:t>Financial Summary</w:t>
      </w:r>
      <w:bookmarkEnd w:id="1"/>
      <w:bookmarkEnd w:id="2"/>
      <w:bookmarkEnd w:id="3"/>
      <w:bookmarkEnd w:id="4"/>
    </w:p>
    <w:bookmarkEnd w:id="5"/>
    <w:p w14:paraId="66A1015B" w14:textId="77777777" w:rsidR="00722C1D" w:rsidRDefault="00722C1D" w:rsidP="00434C25">
      <w:pPr>
        <w:pStyle w:val="TOC2"/>
      </w:pPr>
    </w:p>
    <w:p w14:paraId="59D2183F" w14:textId="51A1B0EB" w:rsidR="000A6EE5" w:rsidRDefault="00B13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09308771" w:history="1">
        <w:r w:rsidR="000A6EE5" w:rsidRPr="00CC412E">
          <w:rPr>
            <w:rStyle w:val="Hyperlink"/>
            <w:rFonts w:ascii="Verdana" w:hAnsi="Verdana"/>
            <w:noProof/>
          </w:rPr>
          <w:t>Important Notes</w:t>
        </w:r>
      </w:hyperlink>
    </w:p>
    <w:p w14:paraId="6BF91C6D" w14:textId="672A8CCF" w:rsidR="000A6EE5" w:rsidRDefault="000A6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08772" w:history="1">
        <w:r w:rsidRPr="00CC412E">
          <w:rPr>
            <w:rStyle w:val="Hyperlink"/>
            <w:rFonts w:ascii="Verdana" w:hAnsi="Verdana"/>
            <w:noProof/>
          </w:rPr>
          <w:t>Accessing the Financial Summary Report</w:t>
        </w:r>
      </w:hyperlink>
    </w:p>
    <w:p w14:paraId="4EC46A59" w14:textId="5F9C2999" w:rsidR="000A6EE5" w:rsidRDefault="000A6E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308773" w:history="1">
        <w:r w:rsidRPr="00CC412E">
          <w:rPr>
            <w:rStyle w:val="Hyperlink"/>
            <w:rFonts w:ascii="Verdana" w:hAnsi="Verdana"/>
            <w:noProof/>
          </w:rPr>
          <w:t>Related Documents</w:t>
        </w:r>
      </w:hyperlink>
    </w:p>
    <w:p w14:paraId="61A35270" w14:textId="6030AFC6" w:rsidR="00722C1D" w:rsidRDefault="00B13B31" w:rsidP="00434C25">
      <w:pPr>
        <w:pStyle w:val="TOC2"/>
      </w:pPr>
      <w:r>
        <w:fldChar w:fldCharType="end"/>
      </w:r>
    </w:p>
    <w:p w14:paraId="2F91ED86" w14:textId="1E7900D5" w:rsidR="009833D0" w:rsidRDefault="009833D0" w:rsidP="009833D0"/>
    <w:p w14:paraId="2321A321" w14:textId="0B25C240" w:rsidR="009833D0" w:rsidRDefault="009833D0" w:rsidP="009833D0">
      <w:r w:rsidRPr="009833D0">
        <w:rPr>
          <w:rFonts w:ascii="Verdana" w:hAnsi="Verdana"/>
          <w:b/>
          <w:bCs/>
        </w:rPr>
        <w:t>Description:</w:t>
      </w:r>
      <w:r w:rsidRPr="009833D0">
        <w:rPr>
          <w:rFonts w:ascii="Verdana" w:hAnsi="Verdana"/>
        </w:rPr>
        <w:t xml:space="preserve"> This document provides information</w:t>
      </w:r>
      <w:r>
        <w:rPr>
          <w:rFonts w:ascii="Verdana" w:hAnsi="Verdana"/>
        </w:rPr>
        <w:t xml:space="preserve"> on how to assist members with </w:t>
      </w:r>
      <w:r>
        <w:rPr>
          <w:rFonts w:ascii="Verdana" w:hAnsi="Verdana" w:cs="Microsoft Sans Serif"/>
        </w:rPr>
        <w:t>viewing their Financial Summary (Prescription History)</w:t>
      </w:r>
      <w:r>
        <w:rPr>
          <w:rFonts w:ascii="Verdana" w:hAnsi="Verdana" w:cs="Microsoft Sans Serif"/>
          <w:b/>
        </w:rPr>
        <w:t xml:space="preserve"> </w:t>
      </w:r>
      <w:r>
        <w:rPr>
          <w:rFonts w:ascii="Verdana" w:hAnsi="Verdana" w:cs="Microsoft Sans Serif"/>
        </w:rPr>
        <w:t xml:space="preserve">on Caremark.com.  </w:t>
      </w:r>
    </w:p>
    <w:p w14:paraId="2DA908B6" w14:textId="48C001A9" w:rsidR="009833D0" w:rsidRDefault="009833D0" w:rsidP="009833D0"/>
    <w:p w14:paraId="090C9E8B" w14:textId="77777777" w:rsidR="009833D0" w:rsidRPr="009833D0" w:rsidRDefault="009833D0" w:rsidP="009833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4714F8F0" w14:textId="77777777" w:rsidTr="00722C1D">
        <w:tc>
          <w:tcPr>
            <w:tcW w:w="5000" w:type="pct"/>
            <w:shd w:val="clear" w:color="auto" w:fill="C0C0C0"/>
          </w:tcPr>
          <w:p w14:paraId="519E75AB" w14:textId="2F943D88" w:rsidR="005A64DA" w:rsidRPr="0064267B" w:rsidRDefault="009833D0" w:rsidP="00114A42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6" w:name="_Overview"/>
            <w:bookmarkStart w:id="7" w:name="_Toc109308771"/>
            <w:bookmarkEnd w:id="6"/>
            <w:r>
              <w:rPr>
                <w:rFonts w:ascii="Verdana" w:hAnsi="Verdana"/>
                <w:i w:val="0"/>
                <w:iCs w:val="0"/>
              </w:rPr>
              <w:t>Important Notes</w:t>
            </w:r>
            <w:bookmarkEnd w:id="7"/>
          </w:p>
        </w:tc>
      </w:tr>
    </w:tbl>
    <w:p w14:paraId="0CB20AFA" w14:textId="3DA4B6E9" w:rsidR="00722C1D" w:rsidRDefault="00722C1D" w:rsidP="00F17653">
      <w:pPr>
        <w:spacing w:before="240" w:after="240"/>
        <w:rPr>
          <w:rFonts w:ascii="Verdana" w:hAnsi="Verdana" w:cs="Microsoft Sans Serif"/>
          <w:color w:val="000000"/>
        </w:rPr>
      </w:pPr>
      <w:r w:rsidRPr="00961501">
        <w:rPr>
          <w:rFonts w:ascii="Verdana" w:hAnsi="Verdana" w:cs="Microsoft Sans Serif"/>
        </w:rPr>
        <w:t>Member</w:t>
      </w:r>
      <w:r>
        <w:rPr>
          <w:rFonts w:ascii="Verdana" w:hAnsi="Verdana" w:cs="Microsoft Sans Serif"/>
        </w:rPr>
        <w:t>s</w:t>
      </w:r>
      <w:r w:rsidRPr="00961501">
        <w:rPr>
          <w:rFonts w:ascii="Verdana" w:hAnsi="Verdana" w:cs="Microsoft Sans Serif"/>
        </w:rPr>
        <w:t xml:space="preserve"> have the option to print a report or download </w:t>
      </w:r>
      <w:r>
        <w:rPr>
          <w:rFonts w:ascii="Verdana" w:hAnsi="Verdana" w:cs="Microsoft Sans Serif"/>
        </w:rPr>
        <w:t>their prescription</w:t>
      </w:r>
      <w:r w:rsidR="00B348B3">
        <w:rPr>
          <w:rFonts w:ascii="Verdana" w:hAnsi="Verdana" w:cs="Microsoft Sans Serif"/>
        </w:rPr>
        <w:t xml:space="preserve"> (Rx)</w:t>
      </w:r>
      <w:r>
        <w:rPr>
          <w:rFonts w:ascii="Verdana" w:hAnsi="Verdana" w:cs="Microsoft Sans Serif"/>
        </w:rPr>
        <w:t xml:space="preserve"> history </w:t>
      </w:r>
      <w:r w:rsidRPr="00961501">
        <w:rPr>
          <w:rFonts w:ascii="Verdana" w:hAnsi="Verdana" w:cs="Microsoft Sans Serif"/>
        </w:rPr>
        <w:t xml:space="preserve">to a spreadsheet. </w:t>
      </w:r>
      <w:r w:rsidRPr="00961501">
        <w:rPr>
          <w:rFonts w:ascii="Verdana" w:hAnsi="Verdana" w:cs="Microsoft Sans Serif"/>
          <w:color w:val="000000"/>
        </w:rPr>
        <w:t xml:space="preserve">The </w:t>
      </w:r>
      <w:r>
        <w:rPr>
          <w:rFonts w:ascii="Verdana" w:hAnsi="Verdana" w:cs="Microsoft Sans Serif"/>
          <w:color w:val="000000"/>
        </w:rPr>
        <w:t>date range default</w:t>
      </w:r>
      <w:r w:rsidR="00DC77AC">
        <w:rPr>
          <w:rFonts w:ascii="Verdana" w:hAnsi="Verdana" w:cs="Microsoft Sans Serif"/>
          <w:color w:val="000000"/>
        </w:rPr>
        <w:t>s</w:t>
      </w:r>
      <w:r>
        <w:rPr>
          <w:rFonts w:ascii="Verdana" w:hAnsi="Verdana" w:cs="Microsoft Sans Serif"/>
          <w:color w:val="000000"/>
        </w:rPr>
        <w:t xml:space="preserve"> to </w:t>
      </w:r>
      <w:r w:rsidRPr="00D53955">
        <w:rPr>
          <w:rFonts w:ascii="Verdana" w:hAnsi="Verdana" w:cs="Microsoft Sans Serif"/>
          <w:b/>
          <w:color w:val="000000"/>
        </w:rPr>
        <w:t>past 6 months</w:t>
      </w:r>
      <w:r>
        <w:rPr>
          <w:rFonts w:ascii="Verdana" w:hAnsi="Verdana" w:cs="Microsoft Sans Serif"/>
          <w:b/>
          <w:color w:val="000000"/>
        </w:rPr>
        <w:t xml:space="preserve"> </w:t>
      </w:r>
      <w:r w:rsidRPr="009B4A4F">
        <w:rPr>
          <w:rFonts w:ascii="Verdana" w:hAnsi="Verdana" w:cs="Microsoft Sans Serif"/>
          <w:color w:val="000000"/>
        </w:rPr>
        <w:t xml:space="preserve">with the option to view, print, or download their prescription history up to 36 months. </w:t>
      </w:r>
    </w:p>
    <w:p w14:paraId="50377492" w14:textId="7D5F0B3D" w:rsidR="00E16E64" w:rsidRDefault="00722C1D" w:rsidP="00F17653">
      <w:pPr>
        <w:spacing w:before="240" w:after="2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member </w:t>
      </w:r>
      <w:r w:rsidR="00D3179A">
        <w:rPr>
          <w:rFonts w:ascii="Verdana" w:hAnsi="Verdana"/>
          <w:color w:val="000000"/>
        </w:rPr>
        <w:t>is</w:t>
      </w:r>
      <w:r>
        <w:rPr>
          <w:rFonts w:ascii="Verdana" w:hAnsi="Verdana"/>
          <w:color w:val="000000"/>
        </w:rPr>
        <w:t xml:space="preserve"> able to view prescription history for their spouse and adult dependents if </w:t>
      </w:r>
      <w:hyperlink r:id="rId12" w:anchor="!/view?docid=d6408838-7a13-4751-a95d-b9b36a931b68" w:history="1">
        <w:r w:rsidR="00306AD9">
          <w:rPr>
            <w:rStyle w:val="Hyperlink"/>
            <w:rFonts w:ascii="Verdana" w:hAnsi="Verdana"/>
          </w:rPr>
          <w:t>Family Access (038380)</w:t>
        </w:r>
      </w:hyperlink>
      <w:r>
        <w:rPr>
          <w:rFonts w:ascii="Verdana" w:hAnsi="Verdana"/>
          <w:color w:val="000000"/>
        </w:rPr>
        <w:t xml:space="preserve"> has been granted.</w:t>
      </w:r>
    </w:p>
    <w:p w14:paraId="09662A96" w14:textId="77777777" w:rsidR="009833D0" w:rsidRDefault="00E16E64" w:rsidP="00F17653">
      <w:pPr>
        <w:spacing w:before="240" w:after="240"/>
        <w:rPr>
          <w:rFonts w:ascii="Verdana" w:hAnsi="Verdana"/>
          <w:color w:val="000000"/>
        </w:rPr>
      </w:pPr>
      <w:r w:rsidRPr="00E16E64">
        <w:rPr>
          <w:rFonts w:ascii="Verdana" w:hAnsi="Verdana"/>
          <w:b/>
          <w:bCs/>
          <w:color w:val="000000"/>
        </w:rPr>
        <w:t>Note</w:t>
      </w:r>
      <w:r w:rsidR="009833D0">
        <w:rPr>
          <w:rFonts w:ascii="Verdana" w:hAnsi="Verdana"/>
          <w:b/>
          <w:bCs/>
          <w:color w:val="000000"/>
        </w:rPr>
        <w:t>s</w:t>
      </w:r>
      <w:r w:rsidRPr="00E16E64">
        <w:rPr>
          <w:rFonts w:ascii="Verdana" w:hAnsi="Verdana"/>
          <w:b/>
          <w:bCs/>
          <w:color w:val="000000"/>
        </w:rPr>
        <w:t>:</w:t>
      </w:r>
      <w:r w:rsidRPr="00E16E64">
        <w:rPr>
          <w:rFonts w:ascii="Verdana" w:hAnsi="Verdana"/>
          <w:color w:val="000000"/>
        </w:rPr>
        <w:t> </w:t>
      </w:r>
    </w:p>
    <w:p w14:paraId="34AD8539" w14:textId="47C719CF" w:rsidR="009833D0" w:rsidRDefault="00E16E64" w:rsidP="00F17653">
      <w:pPr>
        <w:pStyle w:val="ListParagraph"/>
        <w:numPr>
          <w:ilvl w:val="0"/>
          <w:numId w:val="11"/>
        </w:numPr>
        <w:spacing w:after="240"/>
        <w:rPr>
          <w:rFonts w:ascii="Verdana" w:hAnsi="Verdana"/>
          <w:color w:val="000000"/>
        </w:rPr>
      </w:pPr>
      <w:r w:rsidRPr="009833D0">
        <w:rPr>
          <w:rFonts w:ascii="Verdana" w:hAnsi="Verdana"/>
          <w:color w:val="000000"/>
        </w:rPr>
        <w:t xml:space="preserve">Screen capture </w:t>
      </w:r>
      <w:r w:rsidR="00114A42">
        <w:rPr>
          <w:rFonts w:ascii="Verdana" w:hAnsi="Verdana"/>
          <w:color w:val="000000"/>
        </w:rPr>
        <w:t>might</w:t>
      </w:r>
      <w:r w:rsidRPr="009833D0">
        <w:rPr>
          <w:rFonts w:ascii="Verdana" w:hAnsi="Verdana"/>
          <w:color w:val="000000"/>
        </w:rPr>
        <w:t xml:space="preserve"> not match </w:t>
      </w:r>
      <w:proofErr w:type="gramStart"/>
      <w:r w:rsidRPr="009833D0">
        <w:rPr>
          <w:rFonts w:ascii="Verdana" w:hAnsi="Verdana"/>
          <w:color w:val="000000"/>
        </w:rPr>
        <w:t>actual</w:t>
      </w:r>
      <w:proofErr w:type="gramEnd"/>
      <w:r w:rsidRPr="009833D0">
        <w:rPr>
          <w:rFonts w:ascii="Verdana" w:hAnsi="Verdana"/>
          <w:color w:val="000000"/>
        </w:rPr>
        <w:t xml:space="preserve"> scenario for this process. Some clients may not enlist in specific web features. This work instruction/job aid is intended as a guide only.</w:t>
      </w:r>
      <w:r w:rsidR="00913649" w:rsidRPr="009833D0">
        <w:rPr>
          <w:rFonts w:ascii="Verdana" w:hAnsi="Verdana"/>
          <w:color w:val="000000"/>
        </w:rPr>
        <w:t xml:space="preserve"> </w:t>
      </w:r>
    </w:p>
    <w:p w14:paraId="3C7DD8CA" w14:textId="77777777" w:rsidR="00F17653" w:rsidRDefault="00F17653" w:rsidP="00F17653">
      <w:pPr>
        <w:pStyle w:val="ListParagraph"/>
        <w:spacing w:after="240"/>
        <w:rPr>
          <w:rFonts w:ascii="Verdana" w:hAnsi="Verdana"/>
          <w:color w:val="000000"/>
        </w:rPr>
      </w:pPr>
    </w:p>
    <w:p w14:paraId="427DE3AD" w14:textId="71F08F11" w:rsidR="00A44D85" w:rsidRPr="009833D0" w:rsidRDefault="00A44D85" w:rsidP="00F17653">
      <w:pPr>
        <w:pStyle w:val="ListParagraph"/>
        <w:numPr>
          <w:ilvl w:val="0"/>
          <w:numId w:val="11"/>
        </w:numPr>
        <w:spacing w:after="240"/>
        <w:rPr>
          <w:rFonts w:ascii="Verdana" w:hAnsi="Verdana"/>
          <w:color w:val="000000"/>
        </w:rPr>
      </w:pPr>
      <w:r w:rsidRPr="009833D0">
        <w:rPr>
          <w:rFonts w:ascii="Verdana" w:eastAsia="Calibri" w:hAnsi="Verdana"/>
          <w:bCs/>
          <w:color w:val="000000"/>
        </w:rPr>
        <w:t xml:space="preserve">The clients listed below have </w:t>
      </w:r>
      <w:r w:rsidRPr="009833D0">
        <w:rPr>
          <w:rFonts w:ascii="Verdana" w:eastAsia="Calibri" w:hAnsi="Verdana"/>
          <w:b/>
          <w:color w:val="000000"/>
        </w:rPr>
        <w:t xml:space="preserve">sensitive medication restrictions. </w:t>
      </w:r>
    </w:p>
    <w:p w14:paraId="55546FF0" w14:textId="23573064" w:rsidR="00A44D85" w:rsidRDefault="00A44D85" w:rsidP="00E16E64">
      <w:pPr>
        <w:rPr>
          <w:rFonts w:ascii="Verdana" w:eastAsia="Calibri" w:hAnsi="Verdana"/>
          <w:b/>
          <w:color w:val="000000"/>
        </w:rPr>
      </w:pPr>
    </w:p>
    <w:p w14:paraId="05829639" w14:textId="64F7FAB7" w:rsidR="00A44D85" w:rsidRPr="00A44D85" w:rsidRDefault="006A2225" w:rsidP="006A2225">
      <w:pPr>
        <w:spacing w:after="160" w:line="259" w:lineRule="auto"/>
        <w:rPr>
          <w:rFonts w:ascii="Verdana" w:eastAsia="Calibri" w:hAnsi="Verdana"/>
          <w:b/>
          <w:bCs/>
          <w:color w:val="000000"/>
        </w:rPr>
      </w:pPr>
      <w:r>
        <w:rPr>
          <w:rFonts w:ascii="Verdana" w:eastAsia="Calibri" w:hAnsi="Verdana"/>
          <w:b/>
          <w:noProof/>
          <w:color w:val="000000"/>
        </w:rPr>
        <w:drawing>
          <wp:inline distT="0" distB="0" distL="0" distR="0" wp14:anchorId="1EA0E60D" wp14:editId="384FB5A3">
            <wp:extent cx="238095" cy="2095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Calibri" w:hAnsi="Verdana"/>
          <w:b/>
          <w:color w:val="000000"/>
        </w:rPr>
        <w:t xml:space="preserve"> </w:t>
      </w:r>
      <w:r w:rsidR="00A44D85" w:rsidRPr="00A44D85">
        <w:rPr>
          <w:rFonts w:ascii="Verdana" w:eastAsia="Calibri" w:hAnsi="Verdana"/>
          <w:b/>
          <w:color w:val="000000"/>
        </w:rPr>
        <w:t>Sensitive Medication/Family Access Note:</w:t>
      </w:r>
    </w:p>
    <w:p w14:paraId="3F0BAB55" w14:textId="38F835A7" w:rsidR="00A44D85" w:rsidRDefault="00A44D85" w:rsidP="00F17653">
      <w:pPr>
        <w:spacing w:after="160" w:line="259" w:lineRule="auto"/>
        <w:ind w:left="360"/>
        <w:contextualSpacing/>
        <w:rPr>
          <w:rFonts w:ascii="Verdana" w:eastAsia="Calibri" w:hAnsi="Verdana"/>
          <w:b/>
          <w:bCs/>
          <w:color w:val="000000"/>
        </w:rPr>
      </w:pPr>
      <w:r w:rsidRPr="00CA1528">
        <w:rPr>
          <w:rFonts w:ascii="Verdana" w:eastAsia="Calibri" w:hAnsi="Verdana"/>
          <w:bCs/>
          <w:color w:val="000000"/>
        </w:rPr>
        <w:t>Sensitive medication</w:t>
      </w:r>
      <w:r w:rsidR="00CA1528" w:rsidRPr="00CA1528">
        <w:rPr>
          <w:rFonts w:ascii="Verdana" w:eastAsia="Calibri" w:hAnsi="Verdana"/>
          <w:bCs/>
          <w:color w:val="000000"/>
        </w:rPr>
        <w:t xml:space="preserve"> drug names</w:t>
      </w:r>
      <w:r w:rsidR="008E12F5">
        <w:rPr>
          <w:rFonts w:ascii="Verdana" w:eastAsia="Calibri" w:hAnsi="Verdana"/>
          <w:bCs/>
          <w:color w:val="000000"/>
        </w:rPr>
        <w:t xml:space="preserve"> </w:t>
      </w:r>
      <w:r w:rsidR="008E12F5" w:rsidRPr="008E12F5">
        <w:rPr>
          <w:rFonts w:ascii="Verdana" w:eastAsia="Calibri" w:hAnsi="Verdana"/>
          <w:b/>
          <w:color w:val="000000"/>
        </w:rPr>
        <w:t>are</w:t>
      </w:r>
      <w:r w:rsidR="00CA1528" w:rsidRPr="008E12F5">
        <w:rPr>
          <w:rFonts w:ascii="Verdana" w:eastAsia="Calibri" w:hAnsi="Verdana"/>
          <w:b/>
          <w:color w:val="000000"/>
        </w:rPr>
        <w:t xml:space="preserve"> </w:t>
      </w:r>
      <w:r w:rsidR="00CA1528" w:rsidRPr="00CA1528">
        <w:rPr>
          <w:rFonts w:ascii="Verdana" w:eastAsia="Calibri" w:hAnsi="Verdana"/>
          <w:bCs/>
          <w:color w:val="000000"/>
        </w:rPr>
        <w:t xml:space="preserve">listed from the Financial Summary and </w:t>
      </w:r>
      <w:r w:rsidR="00CA1528" w:rsidRPr="006A2225">
        <w:rPr>
          <w:rFonts w:ascii="Verdana" w:eastAsia="Calibri" w:hAnsi="Verdana"/>
          <w:bCs/>
          <w:color w:val="000000"/>
        </w:rPr>
        <w:t xml:space="preserve">show as </w:t>
      </w:r>
      <w:r w:rsidR="00CA1528" w:rsidRPr="006A2225">
        <w:rPr>
          <w:rFonts w:ascii="Verdana" w:eastAsia="Calibri" w:hAnsi="Verdana"/>
          <w:b/>
          <w:color w:val="000000"/>
        </w:rPr>
        <w:t>“Private Drug”</w:t>
      </w:r>
      <w:r w:rsidR="00CA1528" w:rsidRPr="006A2225">
        <w:rPr>
          <w:rFonts w:ascii="Verdana" w:eastAsia="Calibri" w:hAnsi="Verdana"/>
          <w:bCs/>
          <w:color w:val="000000"/>
        </w:rPr>
        <w:t xml:space="preserve"> </w:t>
      </w:r>
      <w:r w:rsidRPr="00CA1528">
        <w:rPr>
          <w:rFonts w:ascii="Verdana" w:eastAsia="Calibri" w:hAnsi="Verdana"/>
          <w:bCs/>
          <w:color w:val="000000"/>
        </w:rPr>
        <w:t xml:space="preserve">to other adult family members when Family Access is granted. </w:t>
      </w:r>
      <w:r w:rsidRPr="00CA1528">
        <w:rPr>
          <w:rFonts w:ascii="Verdana" w:eastAsia="Calibri" w:hAnsi="Verdana"/>
          <w:b/>
          <w:bCs/>
          <w:color w:val="000000"/>
        </w:rPr>
        <w:t>Members need to Sign in with their own username and password to view their sensitive medication</w:t>
      </w:r>
      <w:r w:rsidR="00CA1528">
        <w:rPr>
          <w:rFonts w:ascii="Verdana" w:eastAsia="Calibri" w:hAnsi="Verdana"/>
          <w:b/>
          <w:bCs/>
          <w:color w:val="000000"/>
        </w:rPr>
        <w:t xml:space="preserve"> drug names</w:t>
      </w:r>
      <w:r w:rsidRPr="00CA1528">
        <w:rPr>
          <w:rFonts w:ascii="Verdana" w:eastAsia="Calibri" w:hAnsi="Verdana"/>
          <w:b/>
          <w:bCs/>
          <w:color w:val="000000"/>
        </w:rPr>
        <w:t xml:space="preserve">. </w:t>
      </w:r>
    </w:p>
    <w:p w14:paraId="6C4E3E2D" w14:textId="77777777" w:rsidR="00F17653" w:rsidRPr="00F17653" w:rsidRDefault="00F17653" w:rsidP="00F17653">
      <w:pPr>
        <w:spacing w:after="160" w:line="259" w:lineRule="auto"/>
        <w:ind w:left="360"/>
        <w:contextualSpacing/>
        <w:rPr>
          <w:rFonts w:ascii="Verdana" w:eastAsia="Calibri" w:hAnsi="Verdana"/>
          <w:b/>
          <w:bCs/>
          <w:color w:val="000000"/>
        </w:rPr>
      </w:pPr>
    </w:p>
    <w:p w14:paraId="27C20CB7" w14:textId="30375176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bCs/>
          <w:color w:val="000000"/>
        </w:rPr>
        <w:t>X0647</w:t>
      </w:r>
      <w:r w:rsidRPr="006A2225">
        <w:rPr>
          <w:rFonts w:ascii="Verdana" w:eastAsia="Calibri" w:hAnsi="Verdana"/>
          <w:bCs/>
          <w:color w:val="000000"/>
        </w:rPr>
        <w:tab/>
        <w:t>A</w:t>
      </w:r>
      <w:r w:rsidRPr="006A2225">
        <w:rPr>
          <w:rFonts w:ascii="Verdana" w:eastAsia="Calibri" w:hAnsi="Verdana"/>
          <w:color w:val="000000"/>
        </w:rPr>
        <w:t xml:space="preserve">SO                           </w:t>
      </w:r>
    </w:p>
    <w:p w14:paraId="5A6E804D" w14:textId="553CF21C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X6341</w:t>
      </w:r>
      <w:r w:rsidRPr="006A2225">
        <w:rPr>
          <w:rFonts w:ascii="Verdana" w:eastAsia="Calibri" w:hAnsi="Verdana"/>
          <w:color w:val="000000"/>
        </w:rPr>
        <w:tab/>
        <w:t xml:space="preserve">BCRI F CHIP NONASO            </w:t>
      </w:r>
    </w:p>
    <w:p w14:paraId="5C3CF02C" w14:textId="1E20F8A3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X6321</w:t>
      </w:r>
      <w:r w:rsidRPr="006A2225">
        <w:rPr>
          <w:rFonts w:ascii="Verdana" w:eastAsia="Calibri" w:hAnsi="Verdana"/>
          <w:color w:val="000000"/>
        </w:rPr>
        <w:tab/>
        <w:t xml:space="preserve">BCRI F MEDICARE ADVANTAGE     </w:t>
      </w:r>
    </w:p>
    <w:p w14:paraId="28D6BEE6" w14:textId="71EF3E3C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X0315</w:t>
      </w:r>
      <w:r w:rsidRPr="006A2225">
        <w:rPr>
          <w:rFonts w:ascii="Verdana" w:eastAsia="Calibri" w:hAnsi="Verdana"/>
          <w:color w:val="000000"/>
        </w:rPr>
        <w:tab/>
        <w:t xml:space="preserve">HMO ON EXCHANGE               </w:t>
      </w:r>
    </w:p>
    <w:p w14:paraId="51663B25" w14:textId="02336668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X0845</w:t>
      </w:r>
      <w:r w:rsidRPr="006A2225">
        <w:rPr>
          <w:rFonts w:ascii="Verdana" w:eastAsia="Calibri" w:hAnsi="Verdana"/>
          <w:color w:val="000000"/>
        </w:rPr>
        <w:tab/>
        <w:t xml:space="preserve">MOLINA MARKETPLACE CA         </w:t>
      </w:r>
    </w:p>
    <w:p w14:paraId="59F7E01E" w14:textId="08EC58C2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X0846</w:t>
      </w:r>
      <w:r w:rsidRPr="006A2225">
        <w:rPr>
          <w:rFonts w:ascii="Verdana" w:eastAsia="Calibri" w:hAnsi="Verdana"/>
          <w:color w:val="000000"/>
        </w:rPr>
        <w:tab/>
        <w:t xml:space="preserve">MOLINA MARKETPLACE FL         </w:t>
      </w:r>
    </w:p>
    <w:p w14:paraId="155DCB66" w14:textId="6E15CE10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X0847</w:t>
      </w:r>
      <w:r w:rsidRPr="006A2225">
        <w:rPr>
          <w:rFonts w:ascii="Verdana" w:eastAsia="Calibri" w:hAnsi="Verdana"/>
          <w:color w:val="000000"/>
        </w:rPr>
        <w:tab/>
        <w:t xml:space="preserve">MOLINA MARKETPLACE MI         </w:t>
      </w:r>
    </w:p>
    <w:p w14:paraId="4A50BC21" w14:textId="558F2680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X0848</w:t>
      </w:r>
      <w:r w:rsidRPr="006A2225">
        <w:rPr>
          <w:rFonts w:ascii="Verdana" w:eastAsia="Calibri" w:hAnsi="Verdana"/>
          <w:color w:val="000000"/>
        </w:rPr>
        <w:tab/>
        <w:t xml:space="preserve">MOLINA MARKETPLACE NM         </w:t>
      </w:r>
    </w:p>
    <w:p w14:paraId="164E210C" w14:textId="6FC4E060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X0849</w:t>
      </w:r>
      <w:r w:rsidRPr="006A2225">
        <w:rPr>
          <w:rFonts w:ascii="Verdana" w:eastAsia="Calibri" w:hAnsi="Verdana"/>
          <w:color w:val="000000"/>
        </w:rPr>
        <w:tab/>
        <w:t xml:space="preserve">MOLINA MARKETPLACE OH         </w:t>
      </w:r>
    </w:p>
    <w:p w14:paraId="4E5681C8" w14:textId="6EE0C7F2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X0850</w:t>
      </w:r>
      <w:r w:rsidRPr="006A2225">
        <w:rPr>
          <w:rFonts w:ascii="Verdana" w:eastAsia="Calibri" w:hAnsi="Verdana"/>
          <w:color w:val="000000"/>
        </w:rPr>
        <w:tab/>
        <w:t xml:space="preserve">MOLINA MARKETPLACE TX         </w:t>
      </w:r>
    </w:p>
    <w:p w14:paraId="67BDA6E0" w14:textId="40637F88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X0851</w:t>
      </w:r>
      <w:r w:rsidRPr="006A2225">
        <w:rPr>
          <w:rFonts w:ascii="Verdana" w:eastAsia="Calibri" w:hAnsi="Verdana"/>
          <w:color w:val="000000"/>
        </w:rPr>
        <w:tab/>
        <w:t xml:space="preserve">MOLINA MARKETPLACE UT         </w:t>
      </w:r>
    </w:p>
    <w:p w14:paraId="71B7DBAE" w14:textId="44205E8C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X0852</w:t>
      </w:r>
      <w:r w:rsidRPr="006A2225">
        <w:rPr>
          <w:rFonts w:ascii="Verdana" w:eastAsia="Calibri" w:hAnsi="Verdana"/>
          <w:color w:val="000000"/>
        </w:rPr>
        <w:tab/>
        <w:t xml:space="preserve">MOLINA MARKETPLACE WA         </w:t>
      </w:r>
    </w:p>
    <w:p w14:paraId="3573892A" w14:textId="28D7E80B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X0853</w:t>
      </w:r>
      <w:r w:rsidRPr="006A2225">
        <w:rPr>
          <w:rFonts w:ascii="Verdana" w:eastAsia="Calibri" w:hAnsi="Verdana"/>
          <w:color w:val="000000"/>
        </w:rPr>
        <w:tab/>
        <w:t xml:space="preserve">MOLINA MARKETPLACE WI         </w:t>
      </w:r>
    </w:p>
    <w:p w14:paraId="2C61D9EA" w14:textId="7DEDB6E6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X0857</w:t>
      </w:r>
      <w:r w:rsidRPr="006A2225">
        <w:rPr>
          <w:rFonts w:ascii="Verdana" w:eastAsia="Calibri" w:hAnsi="Verdana"/>
          <w:color w:val="000000"/>
        </w:rPr>
        <w:tab/>
        <w:t xml:space="preserve">MOLINA MKT IL EXCHANGE        </w:t>
      </w:r>
    </w:p>
    <w:p w14:paraId="40F1AEB0" w14:textId="238E8BA5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X0856</w:t>
      </w:r>
      <w:r w:rsidRPr="006A2225">
        <w:rPr>
          <w:rFonts w:ascii="Verdana" w:eastAsia="Calibri" w:hAnsi="Verdana"/>
          <w:color w:val="000000"/>
        </w:rPr>
        <w:tab/>
        <w:t xml:space="preserve">MOLINA MKT SC EXCHANGE        </w:t>
      </w:r>
    </w:p>
    <w:p w14:paraId="12C7771F" w14:textId="2E8FF69C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X1662</w:t>
      </w:r>
      <w:r w:rsidRPr="006A2225">
        <w:rPr>
          <w:rFonts w:ascii="Verdana" w:eastAsia="Calibri" w:hAnsi="Verdana"/>
          <w:color w:val="000000"/>
        </w:rPr>
        <w:tab/>
        <w:t xml:space="preserve">OSCAR HEALTH SELF INSURED     </w:t>
      </w:r>
    </w:p>
    <w:p w14:paraId="0931AA4B" w14:textId="63F484F4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X1093</w:t>
      </w:r>
      <w:r w:rsidRPr="006A2225">
        <w:rPr>
          <w:rFonts w:ascii="Verdana" w:eastAsia="Calibri" w:hAnsi="Verdana"/>
          <w:color w:val="000000"/>
        </w:rPr>
        <w:tab/>
        <w:t xml:space="preserve">OSCAR HEALTHCARE              </w:t>
      </w:r>
    </w:p>
    <w:p w14:paraId="515EC467" w14:textId="369D6D04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X0549</w:t>
      </w:r>
      <w:r w:rsidRPr="006A2225">
        <w:rPr>
          <w:rFonts w:ascii="Verdana" w:eastAsia="Calibri" w:hAnsi="Verdana"/>
          <w:color w:val="000000"/>
        </w:rPr>
        <w:tab/>
        <w:t xml:space="preserve">OSCAR SMALL GROUP NY          </w:t>
      </w:r>
    </w:p>
    <w:p w14:paraId="3BA1965C" w14:textId="506C0D44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X1191</w:t>
      </w:r>
      <w:r w:rsidRPr="006A2225">
        <w:rPr>
          <w:rFonts w:ascii="Verdana" w:eastAsia="Calibri" w:hAnsi="Verdana"/>
          <w:color w:val="000000"/>
        </w:rPr>
        <w:tab/>
        <w:t xml:space="preserve">PHP HMO SOM                   </w:t>
      </w:r>
    </w:p>
    <w:p w14:paraId="41121353" w14:textId="5C45C93C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X1190</w:t>
      </w:r>
      <w:r w:rsidRPr="006A2225">
        <w:rPr>
          <w:rFonts w:ascii="Verdana" w:eastAsia="Calibri" w:hAnsi="Verdana"/>
          <w:color w:val="000000"/>
        </w:rPr>
        <w:tab/>
        <w:t xml:space="preserve">PHP INSURANCE COMPANY         </w:t>
      </w:r>
    </w:p>
    <w:p w14:paraId="6D7C3110" w14:textId="7C45F356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X1192</w:t>
      </w:r>
      <w:r w:rsidRPr="006A2225">
        <w:rPr>
          <w:rFonts w:ascii="Verdana" w:eastAsia="Calibri" w:hAnsi="Verdana"/>
          <w:color w:val="000000"/>
        </w:rPr>
        <w:tab/>
        <w:t xml:space="preserve">PHP SERVICE COMPANY           </w:t>
      </w:r>
    </w:p>
    <w:p w14:paraId="507331D1" w14:textId="229523B4" w:rsidR="00A44D85" w:rsidRPr="006A2225" w:rsidRDefault="00A44D85" w:rsidP="006A2225">
      <w:pPr>
        <w:ind w:left="360"/>
        <w:rPr>
          <w:rFonts w:ascii="Verdana" w:eastAsia="Calibri" w:hAnsi="Verdana"/>
          <w:color w:val="000000"/>
        </w:rPr>
      </w:pPr>
      <w:r w:rsidRPr="006A2225">
        <w:rPr>
          <w:rFonts w:ascii="Verdana" w:eastAsia="Calibri" w:hAnsi="Verdana"/>
          <w:color w:val="000000"/>
        </w:rPr>
        <w:t>X1193</w:t>
      </w:r>
      <w:r w:rsidRPr="006A2225">
        <w:rPr>
          <w:rFonts w:ascii="Verdana" w:eastAsia="Calibri" w:hAnsi="Verdana"/>
          <w:color w:val="000000"/>
        </w:rPr>
        <w:tab/>
        <w:t xml:space="preserve">PHYSICIANS HEALTH PLAN        </w:t>
      </w:r>
    </w:p>
    <w:p w14:paraId="5CA2CFA9" w14:textId="0EBCB46C" w:rsidR="00A44D85" w:rsidRDefault="00A44D85" w:rsidP="006A2225">
      <w:pPr>
        <w:ind w:left="360"/>
        <w:rPr>
          <w:rFonts w:ascii="Verdana" w:eastAsia="Calibri" w:hAnsi="Verdana"/>
          <w:bCs/>
          <w:color w:val="000000"/>
        </w:rPr>
      </w:pPr>
      <w:r w:rsidRPr="006A2225">
        <w:rPr>
          <w:rFonts w:ascii="Verdana" w:eastAsia="Calibri" w:hAnsi="Verdana"/>
          <w:color w:val="000000"/>
        </w:rPr>
        <w:t>X33HA</w:t>
      </w:r>
      <w:r w:rsidRPr="006A2225">
        <w:rPr>
          <w:rFonts w:ascii="Verdana" w:eastAsia="Calibri" w:hAnsi="Verdana"/>
          <w:color w:val="000000"/>
        </w:rPr>
        <w:tab/>
        <w:t>STUDENT</w:t>
      </w:r>
      <w:r w:rsidRPr="006A2225">
        <w:rPr>
          <w:rFonts w:ascii="Verdana" w:eastAsia="Calibri" w:hAnsi="Verdana"/>
          <w:bCs/>
          <w:color w:val="000000"/>
        </w:rPr>
        <w:t xml:space="preserve"> HEALTH</w:t>
      </w:r>
    </w:p>
    <w:p w14:paraId="786243DC" w14:textId="77777777" w:rsidR="00234673" w:rsidRDefault="00234673" w:rsidP="006A2225">
      <w:pPr>
        <w:ind w:left="1440"/>
        <w:rPr>
          <w:rFonts w:ascii="Verdana" w:eastAsia="Calibri" w:hAnsi="Verdana"/>
          <w:bCs/>
          <w:color w:val="000000"/>
        </w:rPr>
      </w:pPr>
    </w:p>
    <w:p w14:paraId="584706D4" w14:textId="423F2EFA" w:rsidR="00234673" w:rsidRPr="00234673" w:rsidRDefault="006A2225" w:rsidP="006A2225">
      <w:pPr>
        <w:spacing w:after="160" w:line="259" w:lineRule="auto"/>
        <w:contextualSpacing/>
        <w:rPr>
          <w:rFonts w:ascii="Verdana" w:eastAsia="Calibri" w:hAnsi="Verdana"/>
          <w:color w:val="000000"/>
        </w:rPr>
      </w:pPr>
      <w:r>
        <w:rPr>
          <w:rFonts w:ascii="Verdana" w:eastAsia="Calibri" w:hAnsi="Verdana"/>
          <w:b/>
          <w:bCs/>
          <w:noProof/>
          <w:color w:val="000000"/>
        </w:rPr>
        <w:drawing>
          <wp:inline distT="0" distB="0" distL="0" distR="0" wp14:anchorId="06AFE374" wp14:editId="6BD4EC57">
            <wp:extent cx="238095" cy="20952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Calibri" w:hAnsi="Verdana"/>
          <w:bCs/>
          <w:color w:val="000000"/>
        </w:rPr>
        <w:t xml:space="preserve"> </w:t>
      </w:r>
      <w:r w:rsidR="00234673" w:rsidRPr="00234673">
        <w:rPr>
          <w:rFonts w:ascii="Verdana" w:eastAsia="Calibri" w:hAnsi="Verdana"/>
          <w:b/>
          <w:bCs/>
          <w:color w:val="000000"/>
        </w:rPr>
        <w:t xml:space="preserve">Note: </w:t>
      </w:r>
      <w:r w:rsidR="00234673" w:rsidRPr="00234673">
        <w:rPr>
          <w:rFonts w:ascii="Verdana" w:eastAsia="Calibri" w:hAnsi="Verdana"/>
          <w:color w:val="000000"/>
        </w:rPr>
        <w:t xml:space="preserve">The following subset of clients </w:t>
      </w:r>
      <w:proofErr w:type="gramStart"/>
      <w:r w:rsidR="00234673" w:rsidRPr="00234673">
        <w:rPr>
          <w:rFonts w:ascii="Verdana" w:eastAsia="Calibri" w:hAnsi="Verdana"/>
          <w:color w:val="000000"/>
        </w:rPr>
        <w:t>have</w:t>
      </w:r>
      <w:proofErr w:type="gramEnd"/>
      <w:r w:rsidR="00234673" w:rsidRPr="00234673">
        <w:rPr>
          <w:rFonts w:ascii="Verdana" w:eastAsia="Calibri" w:hAnsi="Verdana"/>
          <w:color w:val="000000"/>
        </w:rPr>
        <w:t xml:space="preserve"> the checkbox available from Family Access to allow sensitive medicines when granting family access.</w:t>
      </w:r>
    </w:p>
    <w:p w14:paraId="37DDD3C0" w14:textId="77777777" w:rsidR="00234673" w:rsidRPr="00234673" w:rsidRDefault="00234673" w:rsidP="00234673">
      <w:pPr>
        <w:rPr>
          <w:rFonts w:ascii="Verdana" w:eastAsia="Calibri" w:hAnsi="Verdana"/>
          <w:b/>
          <w:bCs/>
          <w:color w:val="000000"/>
        </w:rPr>
      </w:pPr>
    </w:p>
    <w:p w14:paraId="54113355" w14:textId="77777777" w:rsidR="00234673" w:rsidRPr="00234673" w:rsidRDefault="00234673" w:rsidP="00234673">
      <w:pPr>
        <w:ind w:left="360"/>
        <w:rPr>
          <w:rFonts w:ascii="Verdana" w:eastAsia="Calibri" w:hAnsi="Verdana"/>
          <w:color w:val="000000"/>
        </w:rPr>
      </w:pPr>
      <w:r w:rsidRPr="00234673">
        <w:rPr>
          <w:rFonts w:ascii="Verdana" w:eastAsia="Calibri" w:hAnsi="Verdana"/>
          <w:color w:val="000000"/>
        </w:rPr>
        <w:t>X1193</w:t>
      </w:r>
      <w:r w:rsidRPr="00234673">
        <w:rPr>
          <w:rFonts w:ascii="Verdana" w:eastAsia="Calibri" w:hAnsi="Verdana"/>
          <w:color w:val="000000"/>
        </w:rPr>
        <w:tab/>
        <w:t>PHYSICIANS HEALTH PLAN</w:t>
      </w:r>
    </w:p>
    <w:p w14:paraId="32EB21C4" w14:textId="77777777" w:rsidR="00234673" w:rsidRPr="00234673" w:rsidRDefault="00234673" w:rsidP="00234673">
      <w:pPr>
        <w:ind w:left="360"/>
        <w:rPr>
          <w:rFonts w:ascii="Verdana" w:eastAsia="Calibri" w:hAnsi="Verdana"/>
          <w:color w:val="000000"/>
        </w:rPr>
      </w:pPr>
      <w:r w:rsidRPr="00234673">
        <w:rPr>
          <w:rFonts w:ascii="Verdana" w:eastAsia="Calibri" w:hAnsi="Verdana"/>
          <w:color w:val="000000"/>
        </w:rPr>
        <w:t>X1190</w:t>
      </w:r>
      <w:r w:rsidRPr="00234673">
        <w:rPr>
          <w:rFonts w:ascii="Verdana" w:eastAsia="Calibri" w:hAnsi="Verdana"/>
          <w:color w:val="000000"/>
        </w:rPr>
        <w:tab/>
        <w:t>PHP INSURANCE COMPANY</w:t>
      </w:r>
    </w:p>
    <w:p w14:paraId="017B2689" w14:textId="77777777" w:rsidR="00234673" w:rsidRPr="00234673" w:rsidRDefault="00234673" w:rsidP="00234673">
      <w:pPr>
        <w:ind w:left="360"/>
        <w:rPr>
          <w:rFonts w:ascii="Verdana" w:eastAsia="Calibri" w:hAnsi="Verdana"/>
          <w:color w:val="000000"/>
        </w:rPr>
      </w:pPr>
      <w:r w:rsidRPr="00234673">
        <w:rPr>
          <w:rFonts w:ascii="Verdana" w:eastAsia="Calibri" w:hAnsi="Verdana"/>
          <w:color w:val="000000"/>
        </w:rPr>
        <w:t>X1191</w:t>
      </w:r>
      <w:r w:rsidRPr="00234673">
        <w:rPr>
          <w:rFonts w:ascii="Verdana" w:eastAsia="Calibri" w:hAnsi="Verdana"/>
          <w:color w:val="000000"/>
        </w:rPr>
        <w:tab/>
        <w:t>PHP HMO SOM</w:t>
      </w:r>
    </w:p>
    <w:p w14:paraId="6C821070" w14:textId="77777777" w:rsidR="00234673" w:rsidRPr="00234673" w:rsidRDefault="00234673" w:rsidP="00234673">
      <w:pPr>
        <w:ind w:left="360"/>
        <w:rPr>
          <w:rFonts w:ascii="Verdana" w:eastAsia="Calibri" w:hAnsi="Verdana"/>
          <w:color w:val="000000"/>
        </w:rPr>
      </w:pPr>
      <w:r w:rsidRPr="00234673">
        <w:rPr>
          <w:rFonts w:ascii="Verdana" w:eastAsia="Calibri" w:hAnsi="Verdana"/>
          <w:color w:val="000000"/>
        </w:rPr>
        <w:t xml:space="preserve">X6321 </w:t>
      </w:r>
      <w:r w:rsidRPr="00234673">
        <w:rPr>
          <w:rFonts w:ascii="Verdana" w:eastAsia="Calibri" w:hAnsi="Verdana"/>
          <w:color w:val="000000"/>
        </w:rPr>
        <w:tab/>
        <w:t xml:space="preserve">BCRI F MEDICARE ADVANTAGE </w:t>
      </w:r>
    </w:p>
    <w:p w14:paraId="54BD7B25" w14:textId="77777777" w:rsidR="00234673" w:rsidRPr="00234673" w:rsidRDefault="00234673" w:rsidP="00234673">
      <w:pPr>
        <w:ind w:left="360"/>
        <w:rPr>
          <w:rFonts w:ascii="Verdana" w:eastAsia="Calibri" w:hAnsi="Verdana"/>
          <w:color w:val="000000"/>
        </w:rPr>
      </w:pPr>
      <w:r w:rsidRPr="00234673">
        <w:rPr>
          <w:rFonts w:ascii="Verdana" w:eastAsia="Calibri" w:hAnsi="Verdana"/>
          <w:color w:val="000000"/>
        </w:rPr>
        <w:t xml:space="preserve">X6341 </w:t>
      </w:r>
      <w:r w:rsidRPr="00234673">
        <w:rPr>
          <w:rFonts w:ascii="Verdana" w:eastAsia="Calibri" w:hAnsi="Verdana"/>
          <w:color w:val="000000"/>
        </w:rPr>
        <w:tab/>
        <w:t xml:space="preserve">BCRI F CHIP NONASO </w:t>
      </w:r>
    </w:p>
    <w:p w14:paraId="042A1363" w14:textId="77777777" w:rsidR="00234673" w:rsidRPr="00234673" w:rsidRDefault="00234673" w:rsidP="00234673">
      <w:pPr>
        <w:ind w:left="360"/>
        <w:rPr>
          <w:rFonts w:ascii="Verdana" w:eastAsia="Calibri" w:hAnsi="Verdana"/>
          <w:color w:val="000000"/>
        </w:rPr>
      </w:pPr>
      <w:r w:rsidRPr="00234673">
        <w:rPr>
          <w:rFonts w:ascii="Verdana" w:eastAsia="Calibri" w:hAnsi="Verdana"/>
          <w:color w:val="000000"/>
        </w:rPr>
        <w:t>X0315</w:t>
      </w:r>
      <w:r w:rsidRPr="00234673">
        <w:rPr>
          <w:rFonts w:ascii="Verdana" w:eastAsia="Calibri" w:hAnsi="Verdana"/>
          <w:color w:val="000000"/>
        </w:rPr>
        <w:tab/>
        <w:t>HMO ON EXCHANGE</w:t>
      </w:r>
    </w:p>
    <w:p w14:paraId="5D366161" w14:textId="77777777" w:rsidR="00234673" w:rsidRPr="00234673" w:rsidRDefault="00234673" w:rsidP="00234673">
      <w:pPr>
        <w:ind w:left="360"/>
        <w:rPr>
          <w:rFonts w:ascii="Verdana" w:eastAsia="Calibri" w:hAnsi="Verdana"/>
          <w:color w:val="000000"/>
        </w:rPr>
      </w:pPr>
      <w:r w:rsidRPr="00234673">
        <w:rPr>
          <w:rFonts w:ascii="Verdana" w:eastAsia="Calibri" w:hAnsi="Verdana"/>
          <w:color w:val="000000"/>
        </w:rPr>
        <w:t>X1192</w:t>
      </w:r>
      <w:r w:rsidRPr="00234673">
        <w:rPr>
          <w:rFonts w:ascii="Verdana" w:eastAsia="Calibri" w:hAnsi="Verdana"/>
          <w:color w:val="000000"/>
        </w:rPr>
        <w:tab/>
        <w:t>PHP SERVICE COMPANY</w:t>
      </w:r>
    </w:p>
    <w:p w14:paraId="0A42AAB9" w14:textId="77777777" w:rsidR="00234673" w:rsidRPr="00234673" w:rsidRDefault="00234673" w:rsidP="00234673">
      <w:pPr>
        <w:ind w:left="360"/>
        <w:rPr>
          <w:rFonts w:ascii="Verdana" w:eastAsia="Calibri" w:hAnsi="Verdana"/>
          <w:b/>
          <w:bCs/>
          <w:color w:val="000000"/>
        </w:rPr>
      </w:pPr>
      <w:r w:rsidRPr="00234673">
        <w:rPr>
          <w:rFonts w:ascii="Verdana" w:eastAsia="Calibri" w:hAnsi="Verdana"/>
          <w:color w:val="000000"/>
        </w:rPr>
        <w:t>X0647</w:t>
      </w:r>
      <w:r w:rsidRPr="00234673">
        <w:rPr>
          <w:rFonts w:ascii="Verdana" w:eastAsia="Calibri" w:hAnsi="Verdana"/>
          <w:color w:val="000000"/>
        </w:rPr>
        <w:tab/>
        <w:t>ASO</w:t>
      </w:r>
    </w:p>
    <w:p w14:paraId="3A9C1E93" w14:textId="77777777" w:rsidR="00234673" w:rsidRPr="00234673" w:rsidRDefault="00234673" w:rsidP="00234673">
      <w:pPr>
        <w:jc w:val="center"/>
        <w:rPr>
          <w:rFonts w:ascii="Verdana" w:eastAsia="Calibri" w:hAnsi="Verdana"/>
          <w:bCs/>
          <w:color w:val="000000"/>
        </w:rPr>
      </w:pPr>
    </w:p>
    <w:p w14:paraId="65AB7073" w14:textId="25D97410" w:rsidR="00846373" w:rsidRPr="00E17D39" w:rsidRDefault="001D388E" w:rsidP="00BA1EA6">
      <w:pPr>
        <w:spacing w:before="120" w:after="120" w:line="259" w:lineRule="auto"/>
        <w:jc w:val="center"/>
        <w:rPr>
          <w:rFonts w:ascii="Verdana" w:eastAsia="Calibri" w:hAnsi="Verdana"/>
          <w:bCs/>
          <w:color w:val="000000"/>
        </w:rPr>
      </w:pPr>
      <w:r>
        <w:rPr>
          <w:noProof/>
        </w:rPr>
        <w:drawing>
          <wp:inline distT="0" distB="0" distL="0" distR="0" wp14:anchorId="224642D6" wp14:editId="158E02C5">
            <wp:extent cx="5486400" cy="3027644"/>
            <wp:effectExtent l="0" t="0" r="0" b="1905"/>
            <wp:docPr id="563050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03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82A" w14:textId="3955373F" w:rsidR="00E17D39" w:rsidRPr="009833D0" w:rsidRDefault="008B69C1" w:rsidP="009833D0">
      <w:pPr>
        <w:jc w:val="right"/>
        <w:rPr>
          <w:rFonts w:ascii="Verdana" w:hAnsi="Verdana"/>
          <w:color w:val="0000FF"/>
          <w:u w:val="single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  <w:bookmarkStart w:id="8" w:name="_Rationale"/>
      <w:bookmarkStart w:id="9" w:name="_Definitions"/>
      <w:bookmarkStart w:id="10" w:name="_Definitions/Abbreviations"/>
      <w:bookmarkEnd w:id="8"/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30DC4E08" w14:textId="77777777" w:rsidTr="0064267B">
        <w:tc>
          <w:tcPr>
            <w:tcW w:w="5000" w:type="pct"/>
            <w:shd w:val="clear" w:color="auto" w:fill="C0C0C0"/>
          </w:tcPr>
          <w:p w14:paraId="65636310" w14:textId="259E6960" w:rsidR="005A64DA" w:rsidRPr="0064267B" w:rsidRDefault="00A3736C" w:rsidP="001D388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Process_for_Handling"/>
            <w:bookmarkStart w:id="12" w:name="_Toc109308772"/>
            <w:bookmarkEnd w:id="11"/>
            <w:r>
              <w:rPr>
                <w:rFonts w:ascii="Verdana" w:hAnsi="Verdana"/>
                <w:i w:val="0"/>
                <w:iCs w:val="0"/>
                <w:noProof/>
              </w:rPr>
              <w:drawing>
                <wp:inline distT="0" distB="0" distL="0" distR="0" wp14:anchorId="58587F36" wp14:editId="43C7895D">
                  <wp:extent cx="304762" cy="304762"/>
                  <wp:effectExtent l="0" t="0" r="635" b="635"/>
                  <wp:docPr id="4159438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943835" name="Picture 41594383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722C1D">
              <w:rPr>
                <w:rFonts w:ascii="Verdana" w:hAnsi="Verdana"/>
                <w:i w:val="0"/>
                <w:iCs w:val="0"/>
              </w:rPr>
              <w:t>Accessing the Financial Summary Report</w:t>
            </w:r>
            <w:bookmarkEnd w:id="12"/>
          </w:p>
        </w:tc>
      </w:tr>
    </w:tbl>
    <w:p w14:paraId="367ECEE2" w14:textId="77777777" w:rsidR="00245B90" w:rsidRDefault="00722C1D" w:rsidP="00F17653">
      <w:pPr>
        <w:spacing w:before="240" w:after="240"/>
        <w:rPr>
          <w:rFonts w:ascii="Verdana" w:hAnsi="Verdana"/>
        </w:rPr>
      </w:pPr>
      <w:r>
        <w:rPr>
          <w:rFonts w:ascii="Verdana" w:hAnsi="Verdana"/>
        </w:rPr>
        <w:t>Ask the member to perform these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12194"/>
      </w:tblGrid>
      <w:tr w:rsidR="00722C1D" w14:paraId="1A80BC6C" w14:textId="77777777" w:rsidTr="00B54F39">
        <w:tc>
          <w:tcPr>
            <w:tcW w:w="292" w:type="pct"/>
            <w:shd w:val="clear" w:color="auto" w:fill="F2F2F2"/>
          </w:tcPr>
          <w:p w14:paraId="39D38420" w14:textId="77777777" w:rsidR="00722C1D" w:rsidRPr="00C678A0" w:rsidRDefault="00722C1D" w:rsidP="001D388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678A0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shd w:val="clear" w:color="auto" w:fill="F2F2F2"/>
          </w:tcPr>
          <w:p w14:paraId="0280992B" w14:textId="77777777" w:rsidR="00722C1D" w:rsidRPr="00C678A0" w:rsidRDefault="00722C1D" w:rsidP="001D388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678A0">
              <w:rPr>
                <w:rFonts w:ascii="Verdana" w:hAnsi="Verdana"/>
                <w:b/>
              </w:rPr>
              <w:t>Action</w:t>
            </w:r>
          </w:p>
        </w:tc>
      </w:tr>
      <w:tr w:rsidR="00722C1D" w14:paraId="41D75CFB" w14:textId="77777777" w:rsidTr="00B54F39">
        <w:tc>
          <w:tcPr>
            <w:tcW w:w="292" w:type="pct"/>
          </w:tcPr>
          <w:p w14:paraId="57C93EBF" w14:textId="77777777" w:rsidR="00722C1D" w:rsidRPr="00C678A0" w:rsidRDefault="00722C1D" w:rsidP="00D47BD2">
            <w:pPr>
              <w:jc w:val="center"/>
              <w:rPr>
                <w:rFonts w:ascii="Verdana" w:hAnsi="Verdana"/>
                <w:b/>
              </w:rPr>
            </w:pPr>
            <w:r w:rsidRPr="00C678A0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</w:tcPr>
          <w:p w14:paraId="5E79091D" w14:textId="355A24A0" w:rsidR="00722C1D" w:rsidRDefault="00722C1D" w:rsidP="00D47B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C678A0">
              <w:rPr>
                <w:rFonts w:ascii="Verdana" w:hAnsi="Verdana"/>
              </w:rPr>
              <w:t>ccess</w:t>
            </w:r>
            <w:r>
              <w:rPr>
                <w:rFonts w:ascii="Verdana" w:hAnsi="Verdana"/>
              </w:rPr>
              <w:t xml:space="preserve"> </w:t>
            </w:r>
            <w:hyperlink r:id="rId15" w:history="1">
              <w:r w:rsidRPr="00D1692C">
                <w:rPr>
                  <w:rStyle w:val="Hyperlink"/>
                  <w:rFonts w:ascii="Verdana" w:hAnsi="Verdana"/>
                </w:rPr>
                <w:t>www.caremark.com</w:t>
              </w:r>
            </w:hyperlink>
            <w:r w:rsidR="00890DDB">
              <w:rPr>
                <w:rStyle w:val="Hyperlink"/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</w:t>
            </w:r>
            <w:r w:rsidRPr="00C678A0">
              <w:rPr>
                <w:rFonts w:ascii="Verdana" w:hAnsi="Verdana"/>
              </w:rPr>
              <w:t xml:space="preserve">and sign </w:t>
            </w:r>
            <w:r w:rsidR="00890DDB">
              <w:rPr>
                <w:rFonts w:ascii="Verdana" w:hAnsi="Verdana"/>
              </w:rPr>
              <w:t>i</w:t>
            </w:r>
            <w:r w:rsidRPr="00C678A0"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.</w:t>
            </w:r>
          </w:p>
          <w:p w14:paraId="645F94AB" w14:textId="77777777" w:rsidR="00722C1D" w:rsidRPr="00C678A0" w:rsidRDefault="00722C1D" w:rsidP="00D47BD2">
            <w:pPr>
              <w:rPr>
                <w:rFonts w:ascii="Verdana" w:hAnsi="Verdana"/>
                <w:b/>
                <w:color w:val="0000FF"/>
              </w:rPr>
            </w:pPr>
          </w:p>
        </w:tc>
      </w:tr>
      <w:tr w:rsidR="00722C1D" w14:paraId="2DB52FE4" w14:textId="77777777" w:rsidTr="00B54F39">
        <w:tc>
          <w:tcPr>
            <w:tcW w:w="292" w:type="pct"/>
          </w:tcPr>
          <w:p w14:paraId="7E16E27F" w14:textId="77777777" w:rsidR="00722C1D" w:rsidRPr="00C678A0" w:rsidRDefault="00722C1D" w:rsidP="00D47BD2">
            <w:pPr>
              <w:jc w:val="center"/>
              <w:rPr>
                <w:rFonts w:ascii="Verdana" w:hAnsi="Verdana"/>
                <w:b/>
              </w:rPr>
            </w:pPr>
            <w:r w:rsidRPr="00C678A0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</w:tcPr>
          <w:p w14:paraId="4EFC0FC2" w14:textId="6E8DD6AF" w:rsidR="00722C1D" w:rsidRDefault="00722C1D" w:rsidP="00D47B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Hover over the </w:t>
            </w:r>
            <w:r w:rsidR="00397B41">
              <w:rPr>
                <w:rFonts w:ascii="Verdana" w:hAnsi="Verdana"/>
                <w:b/>
              </w:rPr>
              <w:t xml:space="preserve">Pharmacy </w:t>
            </w:r>
            <w:proofErr w:type="gramStart"/>
            <w:r w:rsidR="00397B41">
              <w:rPr>
                <w:rFonts w:ascii="Verdana" w:hAnsi="Verdana"/>
                <w:b/>
              </w:rPr>
              <w:t>Benefits</w:t>
            </w:r>
            <w:r w:rsidR="00397B4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tab</w:t>
            </w:r>
            <w:r w:rsidR="00890DDB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and</w:t>
            </w:r>
            <w:proofErr w:type="gramEnd"/>
            <w:r>
              <w:rPr>
                <w:rFonts w:ascii="Verdana" w:hAnsi="Verdana"/>
              </w:rPr>
              <w:t xml:space="preserve"> click </w:t>
            </w:r>
            <w:r w:rsidRPr="009B4A4F">
              <w:rPr>
                <w:rFonts w:ascii="Verdana" w:hAnsi="Verdana"/>
                <w:b/>
              </w:rPr>
              <w:t>Financial Summary</w:t>
            </w:r>
            <w:r>
              <w:rPr>
                <w:rFonts w:ascii="Verdana" w:hAnsi="Verdana"/>
              </w:rPr>
              <w:t xml:space="preserve"> from the options in the drop</w:t>
            </w:r>
            <w:r w:rsidR="00FC31B7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down list</w:t>
            </w:r>
            <w:r w:rsidR="00746F8B">
              <w:rPr>
                <w:rFonts w:ascii="Verdana" w:hAnsi="Verdana"/>
              </w:rPr>
              <w:t xml:space="preserve"> or on the Dashboard.</w:t>
            </w:r>
          </w:p>
          <w:p w14:paraId="3FFD0999" w14:textId="4E6BA5F8" w:rsidR="00AD3BBF" w:rsidRDefault="006D6924" w:rsidP="00BA1EA6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2CAF935" wp14:editId="3931D2A7">
                  <wp:extent cx="6143530" cy="3963568"/>
                  <wp:effectExtent l="0" t="0" r="0" b="0"/>
                  <wp:docPr id="758726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26901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530" cy="396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31E1E" w14:textId="77777777" w:rsidR="00746F8B" w:rsidRDefault="00746F8B" w:rsidP="00D47BD2">
            <w:pPr>
              <w:rPr>
                <w:rFonts w:ascii="Verdana" w:hAnsi="Verdana"/>
              </w:rPr>
            </w:pPr>
          </w:p>
          <w:p w14:paraId="7CDB092A" w14:textId="447B4AA1" w:rsidR="00722C1D" w:rsidRPr="00AA0013" w:rsidRDefault="00722C1D" w:rsidP="00DC77AC">
            <w:pPr>
              <w:jc w:val="center"/>
              <w:rPr>
                <w:rFonts w:ascii="Verdana" w:hAnsi="Verdana"/>
              </w:rPr>
            </w:pPr>
          </w:p>
          <w:p w14:paraId="79FB96E7" w14:textId="735BAE87" w:rsidR="00722C1D" w:rsidRDefault="00AD3BBF" w:rsidP="00BA1EA6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AD3BBF">
              <w:rPr>
                <w:rFonts w:ascii="Verdana" w:hAnsi="Verdana"/>
                <w:noProof/>
              </w:rPr>
              <w:drawing>
                <wp:inline distT="0" distB="0" distL="0" distR="0" wp14:anchorId="1F4374B2" wp14:editId="023D5DF2">
                  <wp:extent cx="6662363" cy="4148620"/>
                  <wp:effectExtent l="0" t="0" r="5715" b="4445"/>
                  <wp:docPr id="1375334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334032" name="Picture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363" cy="414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48A10" w14:textId="77777777" w:rsidR="00722C1D" w:rsidRDefault="00722C1D" w:rsidP="009833D0">
            <w:pPr>
              <w:rPr>
                <w:rFonts w:ascii="Verdana" w:hAnsi="Verdana"/>
                <w:noProof/>
              </w:rPr>
            </w:pPr>
          </w:p>
          <w:p w14:paraId="732FCCDC" w14:textId="0051DB72" w:rsidR="00722C1D" w:rsidRDefault="00722C1D" w:rsidP="00F17653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Result: </w:t>
            </w:r>
            <w:r w:rsidR="00C101B2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The </w:t>
            </w:r>
            <w:r w:rsidRPr="009B4A4F">
              <w:rPr>
                <w:rFonts w:ascii="Verdana" w:hAnsi="Verdana"/>
                <w:b/>
              </w:rPr>
              <w:t>Financial Summary</w:t>
            </w:r>
            <w:r>
              <w:rPr>
                <w:rFonts w:ascii="Verdana" w:hAnsi="Verdana"/>
              </w:rPr>
              <w:t xml:space="preserve"> page displays:</w:t>
            </w:r>
          </w:p>
          <w:p w14:paraId="206AC762" w14:textId="12E2E559" w:rsidR="000D5022" w:rsidRDefault="00722C1D" w:rsidP="00F17653">
            <w:pPr>
              <w:numPr>
                <w:ilvl w:val="0"/>
                <w:numId w:val="6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Prescription claims </w:t>
            </w:r>
            <w:r w:rsidRPr="00E11F27">
              <w:rPr>
                <w:rFonts w:ascii="Verdana" w:hAnsi="Verdana"/>
              </w:rPr>
              <w:t xml:space="preserve">filled through </w:t>
            </w:r>
            <w:r w:rsidRPr="00E11F27">
              <w:rPr>
                <w:rFonts w:ascii="Verdana" w:hAnsi="Verdana"/>
                <w:b/>
              </w:rPr>
              <w:t>Mail Order</w:t>
            </w:r>
            <w:r w:rsidRPr="00E11F27">
              <w:rPr>
                <w:rFonts w:ascii="Verdana" w:hAnsi="Verdana"/>
              </w:rPr>
              <w:t xml:space="preserve">, </w:t>
            </w:r>
            <w:r w:rsidRPr="00E11F27">
              <w:rPr>
                <w:rFonts w:ascii="Verdana" w:hAnsi="Verdana"/>
                <w:b/>
              </w:rPr>
              <w:t>CVS Pharmacy</w:t>
            </w:r>
            <w:r w:rsidRPr="00E11F27">
              <w:rPr>
                <w:rFonts w:ascii="Verdana" w:hAnsi="Verdana"/>
              </w:rPr>
              <w:t xml:space="preserve">, </w:t>
            </w:r>
            <w:r w:rsidRPr="00E11F27">
              <w:rPr>
                <w:rFonts w:ascii="Verdana" w:hAnsi="Verdana"/>
                <w:b/>
              </w:rPr>
              <w:t>CVS</w:t>
            </w:r>
            <w:r w:rsidRPr="00E11F27">
              <w:rPr>
                <w:rFonts w:ascii="Verdana" w:hAnsi="Verdana"/>
              </w:rPr>
              <w:t xml:space="preserve"> </w:t>
            </w:r>
            <w:r w:rsidRPr="00E11F27">
              <w:rPr>
                <w:rFonts w:ascii="Verdana" w:hAnsi="Verdana"/>
                <w:b/>
              </w:rPr>
              <w:t>Specialty</w:t>
            </w:r>
            <w:r>
              <w:rPr>
                <w:rFonts w:ascii="Verdana" w:hAnsi="Verdana"/>
                <w:b/>
              </w:rPr>
              <w:t>,</w:t>
            </w:r>
            <w:r w:rsidRPr="00E11F27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and </w:t>
            </w:r>
            <w:r w:rsidRPr="008B2D6D">
              <w:rPr>
                <w:rFonts w:ascii="Verdana" w:hAnsi="Verdana"/>
                <w:b/>
              </w:rPr>
              <w:t>non-CVS retail pharmacies</w:t>
            </w:r>
            <w:r>
              <w:rPr>
                <w:rFonts w:ascii="Verdana" w:hAnsi="Verdana"/>
              </w:rPr>
              <w:t xml:space="preserve"> </w:t>
            </w:r>
            <w:r w:rsidR="00105ED8">
              <w:rPr>
                <w:rFonts w:ascii="Verdana" w:hAnsi="Verdana"/>
              </w:rPr>
              <w:t>display</w:t>
            </w:r>
            <w:r>
              <w:rPr>
                <w:rFonts w:ascii="Verdana" w:hAnsi="Verdana"/>
              </w:rPr>
              <w:t>.</w:t>
            </w:r>
            <w:r w:rsidR="00000726">
              <w:rPr>
                <w:rFonts w:ascii="Verdana" w:hAnsi="Verdana"/>
              </w:rPr>
              <w:t xml:space="preserve"> </w:t>
            </w:r>
          </w:p>
          <w:p w14:paraId="0BD2FBC7" w14:textId="34B237C6" w:rsidR="00722C1D" w:rsidRPr="00E11F27" w:rsidRDefault="00000726" w:rsidP="000D5022">
            <w:pPr>
              <w:spacing w:after="240"/>
              <w:ind w:left="720"/>
              <w:rPr>
                <w:rFonts w:ascii="Verdana" w:hAnsi="Verdana"/>
              </w:rPr>
            </w:pPr>
            <w:r w:rsidRPr="000660F7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Re</w:t>
            </w:r>
            <w:r w:rsidRPr="00000726">
              <w:rPr>
                <w:rFonts w:ascii="Verdana" w:hAnsi="Verdana"/>
              </w:rPr>
              <w:t xml:space="preserve">jected or </w:t>
            </w:r>
            <w:r>
              <w:rPr>
                <w:rFonts w:ascii="Verdana" w:hAnsi="Verdana"/>
              </w:rPr>
              <w:t>R</w:t>
            </w:r>
            <w:r w:rsidRPr="00000726">
              <w:rPr>
                <w:rFonts w:ascii="Verdana" w:hAnsi="Verdana"/>
              </w:rPr>
              <w:t xml:space="preserve">eversed claims processed through </w:t>
            </w:r>
            <w:r>
              <w:rPr>
                <w:rFonts w:ascii="Verdana" w:hAnsi="Verdana"/>
              </w:rPr>
              <w:t xml:space="preserve">non-CVS retail </w:t>
            </w:r>
            <w:r w:rsidRPr="00000726">
              <w:rPr>
                <w:rFonts w:ascii="Verdana" w:hAnsi="Verdana"/>
              </w:rPr>
              <w:t>pharmacies</w:t>
            </w:r>
            <w:r>
              <w:rPr>
                <w:rFonts w:ascii="Verdana" w:hAnsi="Verdana"/>
              </w:rPr>
              <w:t xml:space="preserve"> </w:t>
            </w:r>
            <w:r w:rsidR="00105ED8">
              <w:rPr>
                <w:rFonts w:ascii="Verdana" w:hAnsi="Verdana"/>
              </w:rPr>
              <w:t xml:space="preserve">do not </w:t>
            </w:r>
            <w:r>
              <w:rPr>
                <w:rFonts w:ascii="Verdana" w:hAnsi="Verdana"/>
              </w:rPr>
              <w:t>displa</w:t>
            </w:r>
            <w:r w:rsidR="00105ED8">
              <w:rPr>
                <w:rFonts w:ascii="Verdana" w:hAnsi="Verdana"/>
              </w:rPr>
              <w:t>y</w:t>
            </w:r>
            <w:r>
              <w:rPr>
                <w:rFonts w:ascii="Verdana" w:hAnsi="Verdana"/>
              </w:rPr>
              <w:t>.</w:t>
            </w:r>
            <w:r w:rsidR="000660F7">
              <w:rPr>
                <w:rFonts w:ascii="Verdana" w:hAnsi="Verdana"/>
              </w:rPr>
              <w:t xml:space="preserve"> </w:t>
            </w:r>
          </w:p>
          <w:p w14:paraId="3811AB7A" w14:textId="63E2D183" w:rsidR="00722C1D" w:rsidRDefault="00722C1D" w:rsidP="00F17653">
            <w:pPr>
              <w:numPr>
                <w:ilvl w:val="0"/>
                <w:numId w:val="6"/>
              </w:numPr>
              <w:spacing w:after="240"/>
              <w:rPr>
                <w:rFonts w:ascii="Verdana" w:hAnsi="Verdana"/>
              </w:rPr>
            </w:pPr>
            <w:r w:rsidRPr="006E1FE5">
              <w:rPr>
                <w:rFonts w:ascii="Verdana" w:hAnsi="Verdana"/>
              </w:rPr>
              <w:t xml:space="preserve">Prescription claims are listed by medication name and Rx number with the </w:t>
            </w:r>
            <w:r w:rsidRPr="006E1FE5">
              <w:rPr>
                <w:rFonts w:ascii="Verdana" w:hAnsi="Verdana"/>
                <w:b/>
              </w:rPr>
              <w:t>Last Filled</w:t>
            </w:r>
            <w:r w:rsidRPr="006E1FE5">
              <w:rPr>
                <w:rFonts w:ascii="Verdana" w:hAnsi="Verdana"/>
              </w:rPr>
              <w:t xml:space="preserve"> date. </w:t>
            </w:r>
            <w:r w:rsidRPr="006E1FE5">
              <w:rPr>
                <w:rFonts w:ascii="Verdana" w:hAnsi="Verdana"/>
                <w:b/>
                <w:bCs/>
              </w:rPr>
              <w:t xml:space="preserve">Your Cost </w:t>
            </w:r>
            <w:r w:rsidRPr="006E1FE5">
              <w:rPr>
                <w:rFonts w:ascii="Verdana" w:hAnsi="Verdana"/>
                <w:bCs/>
              </w:rPr>
              <w:t>r</w:t>
            </w:r>
            <w:r w:rsidRPr="006E1FE5">
              <w:rPr>
                <w:rFonts w:ascii="Verdana" w:hAnsi="Verdana"/>
              </w:rPr>
              <w:t xml:space="preserve">eflects the total member cost for the Rx number for all fill dates combined. </w:t>
            </w:r>
          </w:p>
          <w:p w14:paraId="38AA3314" w14:textId="77777777" w:rsidR="00105ED8" w:rsidRDefault="00BC5D46" w:rsidP="00F17653">
            <w:pPr>
              <w:numPr>
                <w:ilvl w:val="0"/>
                <w:numId w:val="6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All claims billed through insurance as well as paid for out of pocket (CVS) </w:t>
            </w:r>
            <w:r w:rsidR="00105ED8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listed. </w:t>
            </w:r>
          </w:p>
          <w:p w14:paraId="0F8C86A1" w14:textId="104407EB" w:rsidR="00BC5D46" w:rsidRPr="006E1FE5" w:rsidRDefault="00BC5D46" w:rsidP="00105ED8">
            <w:pPr>
              <w:spacing w:after="240"/>
              <w:ind w:left="720"/>
              <w:rPr>
                <w:rFonts w:ascii="Verdana" w:hAnsi="Verdana"/>
              </w:rPr>
            </w:pPr>
            <w:r w:rsidRPr="00E31E73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Claims for prescriptions filled at CVS Pharmacy </w:t>
            </w:r>
            <w:r w:rsidR="00162593">
              <w:rPr>
                <w:rFonts w:ascii="Verdana" w:hAnsi="Verdana"/>
              </w:rPr>
              <w:t>are not</w:t>
            </w:r>
            <w:r w:rsidR="00497A21">
              <w:rPr>
                <w:rFonts w:ascii="Verdana" w:hAnsi="Verdana"/>
              </w:rPr>
              <w:t xml:space="preserve"> listed from the Financial Summary page until the prescription(s) have been picked up.</w:t>
            </w:r>
            <w:r w:rsidR="00285371">
              <w:rPr>
                <w:rFonts w:ascii="Verdana" w:hAnsi="Verdana"/>
              </w:rPr>
              <w:t xml:space="preserve"> Claims that have been reversed or rejected </w:t>
            </w:r>
            <w:r w:rsidR="00162593">
              <w:rPr>
                <w:rFonts w:ascii="Verdana" w:hAnsi="Verdana"/>
              </w:rPr>
              <w:t xml:space="preserve">are </w:t>
            </w:r>
            <w:r w:rsidR="00285371">
              <w:rPr>
                <w:rFonts w:ascii="Verdana" w:hAnsi="Verdana"/>
              </w:rPr>
              <w:t xml:space="preserve">not listed. </w:t>
            </w:r>
          </w:p>
          <w:p w14:paraId="18EC4B47" w14:textId="77777777" w:rsidR="00722C1D" w:rsidRPr="003C026F" w:rsidRDefault="00722C1D" w:rsidP="00F17653">
            <w:pPr>
              <w:numPr>
                <w:ilvl w:val="0"/>
                <w:numId w:val="6"/>
              </w:numPr>
              <w:spacing w:after="240"/>
              <w:rPr>
                <w:rFonts w:ascii="Verdana" w:hAnsi="Verdana"/>
              </w:rPr>
            </w:pPr>
            <w:r w:rsidRPr="003C026F">
              <w:rPr>
                <w:rFonts w:ascii="Verdana" w:hAnsi="Verdana"/>
              </w:rPr>
              <w:t xml:space="preserve">Members can click the caret next to each prescription/Rx number to expand/view the Fill </w:t>
            </w:r>
            <w:r>
              <w:rPr>
                <w:rFonts w:ascii="Verdana" w:hAnsi="Verdana"/>
              </w:rPr>
              <w:t>D</w:t>
            </w:r>
            <w:r w:rsidRPr="003C026F">
              <w:rPr>
                <w:rFonts w:ascii="Verdana" w:hAnsi="Verdana"/>
              </w:rPr>
              <w:t>ates</w:t>
            </w:r>
            <w:r>
              <w:rPr>
                <w:rFonts w:ascii="Verdana" w:hAnsi="Verdana"/>
              </w:rPr>
              <w:t xml:space="preserve">, Member Cost (amount applied to Deductible and </w:t>
            </w:r>
            <w:r w:rsidRPr="00524F11">
              <w:rPr>
                <w:rFonts w:ascii="Verdana" w:hAnsi="Verdana"/>
              </w:rPr>
              <w:t>HRA</w:t>
            </w:r>
            <w:r>
              <w:rPr>
                <w:rFonts w:ascii="Verdana" w:hAnsi="Verdana"/>
              </w:rPr>
              <w:t xml:space="preserve">/FSA </w:t>
            </w:r>
            <w:r w:rsidRPr="00524F11">
              <w:rPr>
                <w:rFonts w:ascii="Verdana" w:hAnsi="Verdana"/>
              </w:rPr>
              <w:t>dollar amounts</w:t>
            </w:r>
            <w:r>
              <w:rPr>
                <w:rFonts w:ascii="Verdana" w:hAnsi="Verdana"/>
              </w:rPr>
              <w:t xml:space="preserve">, if applicable), and name of pharmacy that filled the prescription </w:t>
            </w:r>
            <w:r w:rsidRPr="003C026F">
              <w:rPr>
                <w:rFonts w:ascii="Verdana" w:hAnsi="Verdana"/>
              </w:rPr>
              <w:t xml:space="preserve">for each </w:t>
            </w:r>
            <w:r>
              <w:rPr>
                <w:rFonts w:ascii="Verdana" w:hAnsi="Verdana"/>
              </w:rPr>
              <w:t>fill date</w:t>
            </w:r>
            <w:r w:rsidRPr="003C026F">
              <w:rPr>
                <w:rFonts w:ascii="Verdana" w:hAnsi="Verdana"/>
              </w:rPr>
              <w:t xml:space="preserve">. </w:t>
            </w:r>
          </w:p>
          <w:p w14:paraId="6527D24E" w14:textId="77777777" w:rsidR="00722C1D" w:rsidRPr="00E11F27" w:rsidRDefault="00722C1D" w:rsidP="00F17653">
            <w:pPr>
              <w:numPr>
                <w:ilvl w:val="0"/>
                <w:numId w:val="6"/>
              </w:num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 Rx Spend is displayed based on the date range selected.</w:t>
            </w:r>
          </w:p>
          <w:p w14:paraId="43BBD4C6" w14:textId="7EF5D3BA" w:rsidR="00722C1D" w:rsidRPr="00E11F27" w:rsidRDefault="00722C1D" w:rsidP="00F17653">
            <w:pPr>
              <w:numPr>
                <w:ilvl w:val="0"/>
                <w:numId w:val="6"/>
              </w:numPr>
              <w:spacing w:after="240"/>
              <w:rPr>
                <w:rFonts w:ascii="Verdana" w:hAnsi="Verdana"/>
              </w:rPr>
            </w:pPr>
            <w:r w:rsidRPr="00E11F27">
              <w:rPr>
                <w:rFonts w:ascii="Verdana" w:hAnsi="Verdana"/>
              </w:rPr>
              <w:t>Option to Print or download to a spreadsheet</w:t>
            </w:r>
            <w:r w:rsidR="00F17653">
              <w:rPr>
                <w:rFonts w:ascii="Verdana" w:hAnsi="Verdana"/>
              </w:rPr>
              <w:t>.</w:t>
            </w:r>
            <w:r w:rsidRPr="00E11F27">
              <w:rPr>
                <w:rFonts w:ascii="Verdana" w:hAnsi="Verdana"/>
              </w:rPr>
              <w:t xml:space="preserve"> </w:t>
            </w:r>
          </w:p>
          <w:p w14:paraId="17DE92FD" w14:textId="265F951E" w:rsidR="00722C1D" w:rsidRDefault="00722C1D" w:rsidP="00F17653">
            <w:pPr>
              <w:numPr>
                <w:ilvl w:val="0"/>
                <w:numId w:val="6"/>
              </w:numPr>
              <w:spacing w:after="240"/>
              <w:rPr>
                <w:rFonts w:ascii="Verdana" w:hAnsi="Verdana"/>
              </w:rPr>
            </w:pPr>
            <w:r w:rsidRPr="00E11F27">
              <w:rPr>
                <w:rFonts w:ascii="Verdana" w:hAnsi="Verdana"/>
              </w:rPr>
              <w:t xml:space="preserve">List Options allow the member to sort/filter their </w:t>
            </w:r>
            <w:r w:rsidR="00FC31B7">
              <w:rPr>
                <w:rFonts w:ascii="Verdana" w:hAnsi="Verdana"/>
              </w:rPr>
              <w:t xml:space="preserve">prescription claims </w:t>
            </w:r>
            <w:r w:rsidRPr="00E11F27">
              <w:rPr>
                <w:rFonts w:ascii="Verdana" w:hAnsi="Verdana"/>
              </w:rPr>
              <w:t xml:space="preserve">to customize their </w:t>
            </w:r>
            <w:r w:rsidR="008D7E88" w:rsidRPr="00E11F27">
              <w:rPr>
                <w:rFonts w:ascii="Verdana" w:hAnsi="Verdana"/>
              </w:rPr>
              <w:t>view</w:t>
            </w:r>
            <w:r w:rsidR="007D7C61">
              <w:rPr>
                <w:rFonts w:ascii="Verdana" w:hAnsi="Verdana"/>
              </w:rPr>
              <w:t xml:space="preserve"> (</w:t>
            </w:r>
            <w:r w:rsidR="007D7C61" w:rsidRPr="007D7C61">
              <w:rPr>
                <w:rFonts w:ascii="Verdana" w:hAnsi="Verdana"/>
                <w:b/>
                <w:bCs/>
              </w:rPr>
              <w:t>Example:</w:t>
            </w:r>
            <w:r w:rsidR="007D7C61">
              <w:rPr>
                <w:rFonts w:ascii="Verdana" w:hAnsi="Verdana"/>
              </w:rPr>
              <w:t xml:space="preserve"> S</w:t>
            </w:r>
            <w:r w:rsidR="008D7E88">
              <w:rPr>
                <w:rFonts w:ascii="Verdana" w:hAnsi="Verdana"/>
              </w:rPr>
              <w:t>elect desired date range to view claims</w:t>
            </w:r>
            <w:r>
              <w:rPr>
                <w:rFonts w:ascii="Verdana" w:hAnsi="Verdana"/>
              </w:rPr>
              <w:t>.</w:t>
            </w:r>
            <w:r w:rsidR="007D7C61">
              <w:rPr>
                <w:rFonts w:ascii="Verdana" w:hAnsi="Verdana"/>
              </w:rPr>
              <w:t>)</w:t>
            </w:r>
            <w:r w:rsidRPr="00E11F27">
              <w:rPr>
                <w:rFonts w:ascii="Verdana" w:hAnsi="Verdana"/>
              </w:rPr>
              <w:t xml:space="preserve"> Filter settings are not saved for subsequent visits.</w:t>
            </w:r>
          </w:p>
          <w:p w14:paraId="4EFA8E55" w14:textId="56F76D12" w:rsidR="008D7E88" w:rsidRDefault="008D7E88" w:rsidP="008D7E88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E11F27">
              <w:rPr>
                <w:rFonts w:ascii="Verdana" w:hAnsi="Verdana"/>
              </w:rPr>
              <w:t xml:space="preserve">The date range is defaulted to </w:t>
            </w:r>
            <w:r w:rsidRPr="00E11F27">
              <w:rPr>
                <w:rFonts w:ascii="Verdana" w:hAnsi="Verdana"/>
                <w:b/>
              </w:rPr>
              <w:t xml:space="preserve">Last 6 months. </w:t>
            </w:r>
            <w:r w:rsidRPr="00E11F27">
              <w:rPr>
                <w:rFonts w:ascii="Verdana" w:hAnsi="Verdana"/>
              </w:rPr>
              <w:t xml:space="preserve">Members have the option to view </w:t>
            </w:r>
            <w:r>
              <w:rPr>
                <w:rFonts w:ascii="Verdana" w:hAnsi="Verdana"/>
              </w:rPr>
              <w:t>prescription claims u</w:t>
            </w:r>
            <w:r w:rsidRPr="00E11F27">
              <w:rPr>
                <w:rFonts w:ascii="Verdana" w:hAnsi="Verdana"/>
              </w:rPr>
              <w:t>p to 36 months (</w:t>
            </w:r>
            <w:r w:rsidR="00A10F89">
              <w:rPr>
                <w:rFonts w:ascii="Verdana" w:hAnsi="Verdana"/>
              </w:rPr>
              <w:t>three (</w:t>
            </w:r>
            <w:r w:rsidRPr="00E11F27">
              <w:rPr>
                <w:rFonts w:ascii="Verdana" w:hAnsi="Verdana"/>
              </w:rPr>
              <w:t>3</w:t>
            </w:r>
            <w:r w:rsidR="00A10F89">
              <w:rPr>
                <w:rFonts w:ascii="Verdana" w:hAnsi="Verdana"/>
              </w:rPr>
              <w:t>)</w:t>
            </w:r>
            <w:r w:rsidRPr="00E11F27">
              <w:rPr>
                <w:rFonts w:ascii="Verdana" w:hAnsi="Verdana"/>
              </w:rPr>
              <w:t xml:space="preserve"> years).</w:t>
            </w:r>
          </w:p>
          <w:p w14:paraId="78AD8FA6" w14:textId="77777777" w:rsidR="008D7E88" w:rsidRPr="00E11F27" w:rsidRDefault="008D7E88" w:rsidP="00954484">
            <w:pPr>
              <w:ind w:left="360"/>
              <w:rPr>
                <w:rFonts w:ascii="Verdana" w:hAnsi="Verdana"/>
              </w:rPr>
            </w:pPr>
          </w:p>
          <w:p w14:paraId="50B9AC55" w14:textId="77777777" w:rsidR="00722C1D" w:rsidRDefault="00722C1D" w:rsidP="00D47BD2">
            <w:pPr>
              <w:rPr>
                <w:rFonts w:ascii="Verdana" w:hAnsi="Verdana"/>
              </w:rPr>
            </w:pPr>
          </w:p>
          <w:p w14:paraId="7E150A19" w14:textId="566D2C59" w:rsidR="00722C1D" w:rsidRPr="009F12DB" w:rsidRDefault="00722C1D" w:rsidP="00D47BD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610B5E9" wp14:editId="5A1F7F43">
                  <wp:extent cx="238125" cy="209550"/>
                  <wp:effectExtent l="0" t="0" r="9525" b="0"/>
                  <wp:docPr id="9" name="Picture 9" descr="C:\Users\C067779\Pictures\Urg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067779\Pictures\Urg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12DB">
              <w:rPr>
                <w:rFonts w:ascii="Verdana" w:hAnsi="Verdana"/>
                <w:b/>
              </w:rPr>
              <w:t xml:space="preserve"> Prescriptions </w:t>
            </w:r>
            <w:r w:rsidR="00A10F89">
              <w:rPr>
                <w:rFonts w:ascii="Verdana" w:hAnsi="Verdana"/>
                <w:b/>
              </w:rPr>
              <w:t>do</w:t>
            </w:r>
            <w:r w:rsidRPr="009F12DB">
              <w:rPr>
                <w:rFonts w:ascii="Verdana" w:hAnsi="Verdana"/>
                <w:b/>
              </w:rPr>
              <w:t xml:space="preserve"> not display for family members age 18 or older who have not granted Family Access to the member/adult dependent who is logged in. Age m</w:t>
            </w:r>
            <w:r w:rsidR="00525DFB">
              <w:rPr>
                <w:rFonts w:ascii="Verdana" w:hAnsi="Verdana"/>
                <w:b/>
              </w:rPr>
              <w:t>ight</w:t>
            </w:r>
            <w:r w:rsidRPr="009F12DB">
              <w:rPr>
                <w:rFonts w:ascii="Verdana" w:hAnsi="Verdana"/>
                <w:b/>
              </w:rPr>
              <w:t xml:space="preserve"> vary by client. </w:t>
            </w:r>
          </w:p>
          <w:p w14:paraId="08315D64" w14:textId="77777777" w:rsidR="00722C1D" w:rsidRDefault="00722C1D" w:rsidP="00D47BD2">
            <w:pPr>
              <w:rPr>
                <w:rFonts w:ascii="Verdana" w:hAnsi="Verdana"/>
              </w:rPr>
            </w:pPr>
          </w:p>
          <w:p w14:paraId="68D885FD" w14:textId="77777777" w:rsidR="00722C1D" w:rsidRPr="00783A1E" w:rsidRDefault="00722C1D" w:rsidP="00D47BD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5622275" wp14:editId="20D0924F">
                  <wp:extent cx="238125" cy="209550"/>
                  <wp:effectExtent l="0" t="0" r="9525" b="0"/>
                  <wp:docPr id="8" name="Picture 8" descr="C:\Users\C067779\Pictures\Urg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067779\Pictures\Urg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D</w:t>
            </w:r>
            <w:r w:rsidRPr="00783A1E">
              <w:rPr>
                <w:rFonts w:ascii="Verdana" w:hAnsi="Verdana"/>
                <w:b/>
              </w:rPr>
              <w:t>isclaimers provided at bottom of Financial Summary page:</w:t>
            </w:r>
          </w:p>
          <w:p w14:paraId="559931BF" w14:textId="77777777" w:rsidR="00722C1D" w:rsidRPr="00C101B2" w:rsidRDefault="00722C1D" w:rsidP="00D47BD2">
            <w:pPr>
              <w:rPr>
                <w:rFonts w:ascii="Verdana" w:hAnsi="Verdana"/>
                <w:bCs/>
              </w:rPr>
            </w:pPr>
          </w:p>
          <w:p w14:paraId="7F09AB4F" w14:textId="020900E4" w:rsidR="00722C1D" w:rsidRPr="00C101B2" w:rsidRDefault="00722C1D" w:rsidP="00BA1EA6">
            <w:pPr>
              <w:pStyle w:val="ListParagraph"/>
              <w:numPr>
                <w:ilvl w:val="0"/>
                <w:numId w:val="10"/>
              </w:numPr>
              <w:spacing w:after="240" w:line="360" w:lineRule="auto"/>
              <w:ind w:left="720"/>
              <w:rPr>
                <w:rFonts w:ascii="Verdana" w:hAnsi="Verdana"/>
                <w:bCs/>
              </w:rPr>
            </w:pPr>
            <w:r w:rsidRPr="00C101B2">
              <w:rPr>
                <w:rFonts w:ascii="Verdana" w:hAnsi="Verdana"/>
                <w:bCs/>
              </w:rPr>
              <w:t>This report m</w:t>
            </w:r>
            <w:r w:rsidR="00525DFB">
              <w:rPr>
                <w:rFonts w:ascii="Verdana" w:hAnsi="Verdana"/>
                <w:bCs/>
              </w:rPr>
              <w:t>ight</w:t>
            </w:r>
            <w:r w:rsidRPr="00C101B2">
              <w:rPr>
                <w:rFonts w:ascii="Verdana" w:hAnsi="Verdana"/>
                <w:bCs/>
              </w:rPr>
              <w:t xml:space="preserve"> not reflect all medicines dispensed during the specified period.</w:t>
            </w:r>
          </w:p>
          <w:p w14:paraId="16CD1354" w14:textId="42EEC0E2" w:rsidR="00722C1D" w:rsidRPr="00C101B2" w:rsidRDefault="00722C1D" w:rsidP="00BA1EA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20"/>
              <w:rPr>
                <w:rFonts w:ascii="Verdana" w:hAnsi="Verdana"/>
                <w:bCs/>
              </w:rPr>
            </w:pPr>
            <w:r w:rsidRPr="00C101B2">
              <w:rPr>
                <w:rFonts w:ascii="Verdana" w:hAnsi="Verdana"/>
                <w:bCs/>
              </w:rPr>
              <w:t>Costs displayed m</w:t>
            </w:r>
            <w:r w:rsidR="00525DFB">
              <w:rPr>
                <w:rFonts w:ascii="Verdana" w:hAnsi="Verdana"/>
                <w:bCs/>
              </w:rPr>
              <w:t>ight</w:t>
            </w:r>
            <w:r w:rsidRPr="00C101B2">
              <w:rPr>
                <w:rFonts w:ascii="Verdana" w:hAnsi="Verdana"/>
                <w:bCs/>
              </w:rPr>
              <w:t xml:space="preserve"> not reflect coverage from any supplemental insurance plans.</w:t>
            </w:r>
          </w:p>
          <w:p w14:paraId="546B2F6B" w14:textId="224C6606" w:rsidR="00722C1D" w:rsidRDefault="00722C1D" w:rsidP="00BA1EA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20"/>
              <w:rPr>
                <w:rFonts w:ascii="Verdana" w:hAnsi="Verdana"/>
                <w:bCs/>
              </w:rPr>
            </w:pPr>
            <w:r w:rsidRPr="00C101B2">
              <w:rPr>
                <w:rFonts w:ascii="Verdana" w:hAnsi="Verdana"/>
                <w:bCs/>
              </w:rPr>
              <w:t>Other Adjustments m</w:t>
            </w:r>
            <w:r w:rsidR="00525DFB">
              <w:rPr>
                <w:rFonts w:ascii="Verdana" w:hAnsi="Verdana"/>
                <w:bCs/>
              </w:rPr>
              <w:t>ight</w:t>
            </w:r>
            <w:r w:rsidRPr="00C101B2">
              <w:rPr>
                <w:rFonts w:ascii="Verdana" w:hAnsi="Verdana"/>
                <w:bCs/>
              </w:rPr>
              <w:t xml:space="preserve"> include supplemental insurance coverage, manufacturer coupons</w:t>
            </w:r>
            <w:r w:rsidR="00525DFB">
              <w:rPr>
                <w:rFonts w:ascii="Verdana" w:hAnsi="Verdana"/>
                <w:bCs/>
              </w:rPr>
              <w:t>,</w:t>
            </w:r>
            <w:r w:rsidRPr="00C101B2">
              <w:rPr>
                <w:rFonts w:ascii="Verdana" w:hAnsi="Verdana"/>
                <w:bCs/>
              </w:rPr>
              <w:t xml:space="preserve"> or other discounts.</w:t>
            </w:r>
          </w:p>
          <w:p w14:paraId="43568BF7" w14:textId="77777777" w:rsidR="008D7E88" w:rsidRDefault="008D7E88" w:rsidP="008D7E88">
            <w:pPr>
              <w:ind w:left="720"/>
              <w:rPr>
                <w:rFonts w:ascii="Verdana" w:hAnsi="Verdana"/>
                <w:bCs/>
              </w:rPr>
            </w:pPr>
          </w:p>
          <w:p w14:paraId="2D9CDAEB" w14:textId="228674B0" w:rsidR="008D7E88" w:rsidRDefault="00260986" w:rsidP="00BA1EA6">
            <w:pPr>
              <w:spacing w:before="120" w:after="120"/>
              <w:jc w:val="center"/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1B37517E" wp14:editId="0304C572">
                  <wp:extent cx="4572000" cy="3459027"/>
                  <wp:effectExtent l="0" t="0" r="0" b="8255"/>
                  <wp:docPr id="307192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1929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5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DF20D" w14:textId="77777777" w:rsidR="001C4EED" w:rsidRPr="00954484" w:rsidRDefault="001C4EED" w:rsidP="00EB15CC">
            <w:pPr>
              <w:ind w:left="1440"/>
              <w:jc w:val="center"/>
              <w:rPr>
                <w:rFonts w:ascii="Verdana" w:hAnsi="Verdana"/>
                <w:bCs/>
              </w:rPr>
            </w:pPr>
          </w:p>
          <w:p w14:paraId="2C832D6A" w14:textId="4259810A" w:rsidR="000A6EE5" w:rsidRPr="00E17D39" w:rsidRDefault="00406E15" w:rsidP="00BA1EA6">
            <w:pPr>
              <w:pStyle w:val="ListParagraph"/>
              <w:spacing w:before="120" w:after="120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7EB83904" wp14:editId="52E356F5">
                  <wp:extent cx="4575115" cy="3448050"/>
                  <wp:effectExtent l="0" t="0" r="0" b="0"/>
                  <wp:docPr id="364834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8343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83" cy="345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6F4AA" w14:textId="78863B55" w:rsidR="00722C1D" w:rsidRDefault="00722C1D" w:rsidP="00D47BD2">
            <w:pPr>
              <w:ind w:left="720"/>
              <w:jc w:val="center"/>
              <w:rPr>
                <w:noProof/>
              </w:rPr>
            </w:pPr>
          </w:p>
          <w:p w14:paraId="101BD552" w14:textId="77777777" w:rsidR="00722C1D" w:rsidRDefault="00722C1D" w:rsidP="000A6EE5">
            <w:pPr>
              <w:rPr>
                <w:rFonts w:ascii="Verdana" w:hAnsi="Verdana"/>
              </w:rPr>
            </w:pPr>
          </w:p>
          <w:p w14:paraId="16D35B1F" w14:textId="3B941EFA" w:rsidR="00722C1D" w:rsidRPr="00E11F27" w:rsidRDefault="00722C1D" w:rsidP="00722C1D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6D36C6">
              <w:rPr>
                <w:rFonts w:ascii="Verdana" w:hAnsi="Verdana"/>
                <w:b/>
                <w:color w:val="000000"/>
              </w:rPr>
              <w:t>List Options:</w:t>
            </w:r>
            <w:r w:rsidRPr="002B4373">
              <w:rPr>
                <w:rFonts w:ascii="Verdana" w:hAnsi="Verdana"/>
                <w:b/>
                <w:color w:val="000000"/>
              </w:rPr>
              <w:t xml:space="preserve"> </w:t>
            </w:r>
            <w:r w:rsidRPr="00E11F27">
              <w:rPr>
                <w:rFonts w:ascii="Verdana" w:hAnsi="Verdana"/>
              </w:rPr>
              <w:t>Filter settings are not saved for subsequent visits.</w:t>
            </w:r>
          </w:p>
          <w:p w14:paraId="455B6DCF" w14:textId="77777777" w:rsidR="00722C1D" w:rsidRPr="0030555E" w:rsidRDefault="00722C1D" w:rsidP="00D47BD2">
            <w:pPr>
              <w:rPr>
                <w:rFonts w:ascii="Verdana" w:hAnsi="Verdana"/>
                <w:b/>
                <w:color w:val="000000"/>
                <w:u w:val="single"/>
              </w:rPr>
            </w:pPr>
          </w:p>
          <w:p w14:paraId="5F9064DB" w14:textId="1EB12F0D" w:rsidR="00722C1D" w:rsidRDefault="000A6EE5" w:rsidP="00BA1EA6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66B6A7" wp14:editId="16419246">
                  <wp:extent cx="4572000" cy="631371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31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4AB8" w14:textId="77777777" w:rsidR="00722C1D" w:rsidRPr="008932CF" w:rsidRDefault="00722C1D" w:rsidP="000A6EE5">
            <w:pPr>
              <w:rPr>
                <w:rFonts w:ascii="Verdana" w:hAnsi="Verdana"/>
                <w:color w:val="000000"/>
              </w:rPr>
            </w:pPr>
          </w:p>
        </w:tc>
      </w:tr>
      <w:tr w:rsidR="00722C1D" w14:paraId="300C48DE" w14:textId="77777777" w:rsidTr="00B54F39">
        <w:tc>
          <w:tcPr>
            <w:tcW w:w="292" w:type="pct"/>
          </w:tcPr>
          <w:p w14:paraId="1AFAF667" w14:textId="77777777" w:rsidR="00722C1D" w:rsidRPr="00C678A0" w:rsidRDefault="00722C1D" w:rsidP="00D47BD2">
            <w:pPr>
              <w:jc w:val="center"/>
              <w:rPr>
                <w:rFonts w:ascii="Verdana" w:hAnsi="Verdana"/>
                <w:b/>
              </w:rPr>
            </w:pPr>
            <w:r w:rsidRPr="00C678A0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</w:tcPr>
          <w:p w14:paraId="3344BC95" w14:textId="77777777" w:rsidR="00F17653" w:rsidRDefault="00722C1D" w:rsidP="00D47BD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2418DD">
              <w:rPr>
                <w:rFonts w:ascii="Verdana" w:hAnsi="Verdana"/>
              </w:rPr>
              <w:t>lick the caret next to each prescription/Rx number to expand</w:t>
            </w:r>
            <w:r>
              <w:rPr>
                <w:rFonts w:ascii="Verdana" w:hAnsi="Verdana"/>
              </w:rPr>
              <w:t xml:space="preserve"> and </w:t>
            </w:r>
            <w:r w:rsidRPr="002418DD">
              <w:rPr>
                <w:rFonts w:ascii="Verdana" w:hAnsi="Verdana"/>
              </w:rPr>
              <w:t>view the Fill Dates, Member Cost (amount applied to Deductible and HRA/FSA dollar amounts, if applicable), and name of pharmacy that filled the prescription for each fill date.</w:t>
            </w:r>
            <w:r>
              <w:rPr>
                <w:rFonts w:ascii="Verdana" w:hAnsi="Verdana"/>
              </w:rPr>
              <w:t xml:space="preserve"> </w:t>
            </w:r>
          </w:p>
          <w:p w14:paraId="7384CF99" w14:textId="77777777" w:rsidR="00F17653" w:rsidRDefault="00F17653" w:rsidP="00D47BD2">
            <w:pPr>
              <w:rPr>
                <w:rFonts w:ascii="Verdana" w:hAnsi="Verdana"/>
              </w:rPr>
            </w:pPr>
          </w:p>
          <w:p w14:paraId="28CB9D38" w14:textId="6F037AA4" w:rsidR="00722C1D" w:rsidRDefault="00722C1D" w:rsidP="00D47BD2">
            <w:pPr>
              <w:rPr>
                <w:rFonts w:ascii="Verdana" w:hAnsi="Verdana"/>
              </w:rPr>
            </w:pPr>
            <w:r w:rsidRPr="007E0175">
              <w:rPr>
                <w:rFonts w:ascii="Verdana" w:hAnsi="Verdana"/>
                <w:b/>
                <w:bCs/>
              </w:rPr>
              <w:t xml:space="preserve">Your Cost </w:t>
            </w:r>
            <w:r w:rsidRPr="007E0175">
              <w:rPr>
                <w:rFonts w:ascii="Verdana" w:hAnsi="Verdana"/>
                <w:bCs/>
              </w:rPr>
              <w:t>r</w:t>
            </w:r>
            <w:r w:rsidRPr="007E0175">
              <w:rPr>
                <w:rFonts w:ascii="Verdana" w:hAnsi="Verdana"/>
              </w:rPr>
              <w:t>eflects the total member cost for the Rx number for all fill dates combined.</w:t>
            </w:r>
            <w:r>
              <w:rPr>
                <w:rFonts w:ascii="Verdana" w:hAnsi="Verdana"/>
              </w:rPr>
              <w:t xml:space="preserve"> </w:t>
            </w:r>
          </w:p>
          <w:p w14:paraId="265B31FB" w14:textId="77777777" w:rsidR="00722C1D" w:rsidRDefault="00722C1D" w:rsidP="00D47BD2">
            <w:pPr>
              <w:rPr>
                <w:rFonts w:ascii="Verdana" w:hAnsi="Verdana"/>
              </w:rPr>
            </w:pPr>
          </w:p>
          <w:p w14:paraId="13992C59" w14:textId="3C752E91" w:rsidR="00722C1D" w:rsidRPr="006E1FE5" w:rsidRDefault="00722C1D" w:rsidP="00D47BD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Result: </w:t>
            </w:r>
            <w:r w:rsidRPr="006E1FE5">
              <w:rPr>
                <w:rFonts w:ascii="Verdana" w:hAnsi="Verdana"/>
              </w:rPr>
              <w:t>Details display for the prescription</w:t>
            </w:r>
            <w:r>
              <w:rPr>
                <w:rFonts w:ascii="Verdana" w:hAnsi="Verdana"/>
              </w:rPr>
              <w:t xml:space="preserve">/Rx number for all </w:t>
            </w:r>
            <w:proofErr w:type="gramStart"/>
            <w:r>
              <w:rPr>
                <w:rFonts w:ascii="Verdana" w:hAnsi="Verdana"/>
              </w:rPr>
              <w:t>fill</w:t>
            </w:r>
            <w:proofErr w:type="gramEnd"/>
            <w:r>
              <w:rPr>
                <w:rFonts w:ascii="Verdana" w:hAnsi="Verdana"/>
              </w:rPr>
              <w:t xml:space="preserve"> dates for the prescription</w:t>
            </w:r>
            <w:r w:rsidRPr="006E1FE5">
              <w:rPr>
                <w:rFonts w:ascii="Verdana" w:hAnsi="Verdana"/>
              </w:rPr>
              <w:t xml:space="preserve">. </w:t>
            </w:r>
          </w:p>
          <w:p w14:paraId="764714B7" w14:textId="77777777" w:rsidR="00722C1D" w:rsidRDefault="00722C1D" w:rsidP="00D47BD2">
            <w:pPr>
              <w:rPr>
                <w:rFonts w:ascii="Verdana" w:hAnsi="Verdana"/>
              </w:rPr>
            </w:pPr>
          </w:p>
          <w:p w14:paraId="1FF2AE23" w14:textId="5D5D4A49" w:rsidR="00722C1D" w:rsidRDefault="00B01D24" w:rsidP="000C717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3578F" wp14:editId="24A52033">
                  <wp:extent cx="4572000" cy="995245"/>
                  <wp:effectExtent l="0" t="0" r="0" b="0"/>
                  <wp:docPr id="1127932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9320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F3FB8" w14:textId="77777777" w:rsidR="00722C1D" w:rsidRPr="00AA0013" w:rsidRDefault="00722C1D" w:rsidP="00D47BD2">
            <w:pPr>
              <w:jc w:val="center"/>
              <w:rPr>
                <w:rFonts w:ascii="Verdana" w:hAnsi="Verdana"/>
              </w:rPr>
            </w:pPr>
          </w:p>
        </w:tc>
      </w:tr>
      <w:tr w:rsidR="00722C1D" w14:paraId="6308581C" w14:textId="77777777" w:rsidTr="00B54F39">
        <w:trPr>
          <w:trHeight w:val="3320"/>
        </w:trPr>
        <w:tc>
          <w:tcPr>
            <w:tcW w:w="292" w:type="pct"/>
          </w:tcPr>
          <w:p w14:paraId="62542A03" w14:textId="77777777" w:rsidR="00722C1D" w:rsidRPr="00C678A0" w:rsidRDefault="00722C1D" w:rsidP="00D47BD2">
            <w:pPr>
              <w:jc w:val="center"/>
              <w:rPr>
                <w:rFonts w:ascii="Verdana" w:hAnsi="Verdana"/>
                <w:b/>
              </w:rPr>
            </w:pPr>
            <w:r w:rsidRPr="00C678A0">
              <w:rPr>
                <w:rFonts w:ascii="Verdana" w:hAnsi="Verdana"/>
                <w:b/>
              </w:rPr>
              <w:t>4</w:t>
            </w:r>
          </w:p>
        </w:tc>
        <w:tc>
          <w:tcPr>
            <w:tcW w:w="4708" w:type="pct"/>
          </w:tcPr>
          <w:p w14:paraId="51DCAC3A" w14:textId="77777777" w:rsidR="00722C1D" w:rsidRDefault="00722C1D" w:rsidP="00F17653">
            <w:pPr>
              <w:spacing w:after="240"/>
              <w:rPr>
                <w:rFonts w:ascii="Verdana" w:hAnsi="Verdana"/>
              </w:rPr>
            </w:pPr>
            <w:r w:rsidRPr="002F6AD6">
              <w:rPr>
                <w:rFonts w:ascii="Verdana" w:hAnsi="Verdana"/>
              </w:rPr>
              <w:t xml:space="preserve">To print </w:t>
            </w:r>
            <w:r>
              <w:rPr>
                <w:rFonts w:ascii="Verdana" w:hAnsi="Verdana"/>
              </w:rPr>
              <w:t xml:space="preserve">or download </w:t>
            </w:r>
            <w:r w:rsidRPr="002F6AD6">
              <w:rPr>
                <w:rFonts w:ascii="Verdana" w:hAnsi="Verdana"/>
              </w:rPr>
              <w:t xml:space="preserve">a </w:t>
            </w:r>
            <w:r w:rsidRPr="007E0175">
              <w:rPr>
                <w:rFonts w:ascii="Verdana" w:hAnsi="Verdana"/>
                <w:b/>
              </w:rPr>
              <w:t>Financial Summary</w:t>
            </w:r>
            <w:r>
              <w:rPr>
                <w:rFonts w:ascii="Verdana" w:hAnsi="Verdana"/>
              </w:rPr>
              <w:t xml:space="preserve"> </w:t>
            </w:r>
            <w:r w:rsidRPr="002F6AD6">
              <w:rPr>
                <w:rFonts w:ascii="Verdana" w:hAnsi="Verdana"/>
                <w:b/>
              </w:rPr>
              <w:t>Report</w:t>
            </w:r>
            <w:r w:rsidRPr="00115D11">
              <w:rPr>
                <w:rFonts w:ascii="Verdana" w:hAnsi="Verdana"/>
              </w:rPr>
              <w:t>:</w:t>
            </w:r>
          </w:p>
          <w:p w14:paraId="19C7FF92" w14:textId="18154002" w:rsidR="00722C1D" w:rsidRPr="00806451" w:rsidRDefault="008D7E88" w:rsidP="00A73960">
            <w:pPr>
              <w:numPr>
                <w:ilvl w:val="0"/>
                <w:numId w:val="4"/>
              </w:numPr>
              <w:spacing w:after="240"/>
              <w:ind w:left="720"/>
              <w:rPr>
                <w:rFonts w:ascii="Verdana" w:hAnsi="Verdana"/>
                <w:b/>
              </w:rPr>
            </w:pPr>
            <w:proofErr w:type="gramStart"/>
            <w:r>
              <w:rPr>
                <w:rFonts w:ascii="Verdana" w:hAnsi="Verdana"/>
              </w:rPr>
              <w:t xml:space="preserve">Click </w:t>
            </w:r>
            <w:r w:rsidRPr="00D73B38">
              <w:rPr>
                <w:rFonts w:ascii="Verdana" w:hAnsi="Verdana"/>
                <w:b/>
                <w:bCs/>
              </w:rPr>
              <w:t>List</w:t>
            </w:r>
            <w:proofErr w:type="gramEnd"/>
            <w:r w:rsidRPr="00D73B38">
              <w:rPr>
                <w:rFonts w:ascii="Verdana" w:hAnsi="Verdana"/>
                <w:b/>
                <w:bCs/>
              </w:rPr>
              <w:t xml:space="preserve"> </w:t>
            </w:r>
            <w:r w:rsidR="00D73B38" w:rsidRPr="00D73B38">
              <w:rPr>
                <w:rFonts w:ascii="Verdana" w:hAnsi="Verdana"/>
                <w:b/>
                <w:bCs/>
              </w:rPr>
              <w:t>O</w:t>
            </w:r>
            <w:r w:rsidRPr="00D73B38">
              <w:rPr>
                <w:rFonts w:ascii="Verdana" w:hAnsi="Verdana"/>
                <w:b/>
                <w:bCs/>
              </w:rPr>
              <w:t>ptions</w:t>
            </w:r>
            <w:r>
              <w:rPr>
                <w:rFonts w:ascii="Verdana" w:hAnsi="Verdana"/>
              </w:rPr>
              <w:t xml:space="preserve"> to c</w:t>
            </w:r>
            <w:r w:rsidR="00722C1D">
              <w:rPr>
                <w:rFonts w:ascii="Verdana" w:hAnsi="Verdana"/>
              </w:rPr>
              <w:t xml:space="preserve">hoose the desired date range for the report. </w:t>
            </w:r>
          </w:p>
          <w:p w14:paraId="28A436FE" w14:textId="77777777" w:rsidR="00722C1D" w:rsidRDefault="00722C1D" w:rsidP="00A73960">
            <w:pPr>
              <w:numPr>
                <w:ilvl w:val="0"/>
                <w:numId w:val="5"/>
              </w:numPr>
              <w:ind w:left="72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Click the option to </w:t>
            </w:r>
            <w:r w:rsidRPr="00CF4F24">
              <w:rPr>
                <w:rFonts w:ascii="Verdana" w:hAnsi="Verdana"/>
                <w:b/>
              </w:rPr>
              <w:t>Print</w:t>
            </w:r>
            <w:r>
              <w:rPr>
                <w:rFonts w:ascii="Verdana" w:hAnsi="Verdana"/>
              </w:rPr>
              <w:t xml:space="preserve"> or </w:t>
            </w:r>
            <w:r w:rsidRPr="00806451">
              <w:rPr>
                <w:rFonts w:ascii="Verdana" w:hAnsi="Verdana"/>
                <w:b/>
              </w:rPr>
              <w:t>Download</w:t>
            </w:r>
            <w:r>
              <w:rPr>
                <w:rFonts w:ascii="Verdana" w:hAnsi="Verdana"/>
              </w:rPr>
              <w:t xml:space="preserve"> </w:t>
            </w:r>
            <w:r w:rsidRPr="00CF4F24">
              <w:rPr>
                <w:rFonts w:ascii="Verdana" w:hAnsi="Verdana"/>
                <w:b/>
              </w:rPr>
              <w:t>spreadsheet</w:t>
            </w:r>
            <w:r>
              <w:rPr>
                <w:rFonts w:ascii="Verdana" w:hAnsi="Verdana"/>
              </w:rPr>
              <w:t>.</w:t>
            </w:r>
          </w:p>
          <w:p w14:paraId="3EDE7588" w14:textId="77777777" w:rsidR="00722C1D" w:rsidRPr="002F6AD6" w:rsidRDefault="00722C1D" w:rsidP="00D47BD2">
            <w:pPr>
              <w:jc w:val="center"/>
              <w:rPr>
                <w:rFonts w:ascii="Verdana" w:hAnsi="Verdana"/>
              </w:rPr>
            </w:pPr>
          </w:p>
          <w:p w14:paraId="44D5D9F5" w14:textId="77777777" w:rsidR="00722C1D" w:rsidRDefault="00722C1D" w:rsidP="00DC77AC">
            <w:pPr>
              <w:jc w:val="center"/>
              <w:rPr>
                <w:rFonts w:ascii="Verdana" w:hAnsi="Verdana"/>
                <w:strike/>
              </w:rPr>
            </w:pPr>
          </w:p>
          <w:p w14:paraId="5B1755BB" w14:textId="76885108" w:rsidR="00722C1D" w:rsidRDefault="00722C1D" w:rsidP="00D47BD2">
            <w:pPr>
              <w:rPr>
                <w:rFonts w:ascii="Verdana" w:hAnsi="Verdana"/>
                <w:color w:val="000000"/>
              </w:rPr>
            </w:pPr>
            <w:r w:rsidRPr="00A1324C">
              <w:rPr>
                <w:rFonts w:ascii="Verdana" w:hAnsi="Verdana"/>
                <w:b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If the member clicks on </w:t>
            </w:r>
            <w:r w:rsidRPr="0069653E">
              <w:rPr>
                <w:rFonts w:ascii="Verdana" w:hAnsi="Verdana"/>
                <w:b/>
                <w:color w:val="000000"/>
              </w:rPr>
              <w:t>Download</w:t>
            </w:r>
            <w:r>
              <w:rPr>
                <w:rFonts w:ascii="Verdana" w:hAnsi="Verdana"/>
                <w:b/>
                <w:color w:val="000000"/>
              </w:rPr>
              <w:t xml:space="preserve"> spreadsheet</w:t>
            </w:r>
            <w:r>
              <w:rPr>
                <w:rFonts w:ascii="Verdana" w:hAnsi="Verdana"/>
                <w:color w:val="000000"/>
              </w:rPr>
              <w:t xml:space="preserve">, </w:t>
            </w:r>
            <w:r w:rsidR="002C4595">
              <w:rPr>
                <w:rFonts w:ascii="Verdana" w:hAnsi="Verdana"/>
                <w:color w:val="000000"/>
              </w:rPr>
              <w:t>there is an</w:t>
            </w:r>
            <w:r>
              <w:rPr>
                <w:rFonts w:ascii="Verdana" w:hAnsi="Verdana"/>
                <w:color w:val="000000"/>
              </w:rPr>
              <w:t xml:space="preserve"> option to Save </w:t>
            </w:r>
            <w:r w:rsidR="002C4595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F4F24">
              <w:rPr>
                <w:rFonts w:ascii="Verdana" w:hAnsi="Verdana"/>
                <w:b/>
                <w:color w:val="000000"/>
              </w:rPr>
              <w:t>Financial Summary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D6381">
              <w:rPr>
                <w:rFonts w:ascii="Verdana" w:hAnsi="Verdana"/>
                <w:b/>
                <w:color w:val="000000"/>
              </w:rPr>
              <w:t>Report</w:t>
            </w:r>
            <w:r>
              <w:rPr>
                <w:rFonts w:ascii="Verdana" w:hAnsi="Verdana"/>
                <w:color w:val="000000"/>
              </w:rPr>
              <w:t xml:space="preserve"> as a CSV file or</w:t>
            </w:r>
            <w:r w:rsidR="00497A21">
              <w:rPr>
                <w:rFonts w:ascii="Verdana" w:hAnsi="Verdana"/>
                <w:color w:val="000000"/>
              </w:rPr>
              <w:t xml:space="preserve"> click</w:t>
            </w:r>
            <w:r>
              <w:rPr>
                <w:rFonts w:ascii="Verdana" w:hAnsi="Verdana"/>
                <w:color w:val="000000"/>
              </w:rPr>
              <w:t xml:space="preserve"> Cancel.</w:t>
            </w:r>
          </w:p>
          <w:p w14:paraId="2940DCF3" w14:textId="77777777" w:rsidR="00722C1D" w:rsidRDefault="00722C1D" w:rsidP="00D47BD2">
            <w:pPr>
              <w:rPr>
                <w:rFonts w:ascii="Verdana" w:hAnsi="Verdana"/>
                <w:color w:val="000000"/>
              </w:rPr>
            </w:pPr>
          </w:p>
          <w:p w14:paraId="38690CFA" w14:textId="77777777" w:rsidR="00722C1D" w:rsidRDefault="00722C1D" w:rsidP="00D47BD2">
            <w:pPr>
              <w:jc w:val="center"/>
              <w:rPr>
                <w:rFonts w:ascii="Verdana" w:hAnsi="Verdana"/>
                <w:color w:val="000000"/>
              </w:rPr>
            </w:pPr>
            <w:r w:rsidRPr="00C52B42">
              <w:rPr>
                <w:noProof/>
              </w:rPr>
              <w:drawing>
                <wp:inline distT="0" distB="0" distL="0" distR="0" wp14:anchorId="338280F4" wp14:editId="74A52B26">
                  <wp:extent cx="4572000" cy="343932"/>
                  <wp:effectExtent l="19050" t="19050" r="19050" b="184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39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239D3A" w14:textId="77777777" w:rsidR="00722C1D" w:rsidRDefault="00722C1D" w:rsidP="00D47BD2">
            <w:pPr>
              <w:rPr>
                <w:rFonts w:ascii="Verdana" w:hAnsi="Verdana"/>
                <w:b/>
              </w:rPr>
            </w:pPr>
          </w:p>
          <w:p w14:paraId="3E537BB5" w14:textId="46557526" w:rsidR="00722C1D" w:rsidRDefault="00722C1D" w:rsidP="00D47BD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Example CSV report</w:t>
            </w:r>
            <w:r w:rsidRPr="00C678A0">
              <w:rPr>
                <w:rFonts w:ascii="Verdana" w:hAnsi="Verdana"/>
                <w:b/>
              </w:rPr>
              <w:t>:</w:t>
            </w:r>
            <w:r w:rsidRPr="00C678A0">
              <w:rPr>
                <w:rFonts w:ascii="Verdana" w:hAnsi="Verdana"/>
              </w:rPr>
              <w:t xml:space="preserve"> </w:t>
            </w:r>
          </w:p>
          <w:p w14:paraId="577C0899" w14:textId="77777777" w:rsidR="00E17D39" w:rsidRDefault="00E17D39" w:rsidP="00D47BD2">
            <w:pPr>
              <w:rPr>
                <w:rFonts w:ascii="Verdana" w:hAnsi="Verdana"/>
              </w:rPr>
            </w:pPr>
          </w:p>
          <w:p w14:paraId="0FC312BD" w14:textId="4FE253C0" w:rsidR="00722C1D" w:rsidRPr="00E17D39" w:rsidRDefault="00951707" w:rsidP="00E17D39">
            <w:pPr>
              <w:jc w:val="center"/>
              <w:rPr>
                <w:rFonts w:ascii="Verdana" w:hAnsi="Verdan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8B3C444" wp14:editId="7C40915E">
                  <wp:extent cx="4572000" cy="1835150"/>
                  <wp:effectExtent l="0" t="0" r="0" b="0"/>
                  <wp:docPr id="1166983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98365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294EE" w14:textId="77777777" w:rsidR="00722C1D" w:rsidRPr="00C678A0" w:rsidRDefault="00722C1D" w:rsidP="00D47BD2">
            <w:pPr>
              <w:jc w:val="center"/>
              <w:rPr>
                <w:rFonts w:ascii="Verdana" w:hAnsi="Verdana"/>
              </w:rPr>
            </w:pPr>
          </w:p>
        </w:tc>
      </w:tr>
    </w:tbl>
    <w:p w14:paraId="5229085B" w14:textId="77777777" w:rsidR="00312690" w:rsidRDefault="00312690" w:rsidP="00722C1D">
      <w:pPr>
        <w:rPr>
          <w:rFonts w:ascii="Verdana" w:hAnsi="Verdana"/>
        </w:rPr>
      </w:pPr>
    </w:p>
    <w:bookmarkStart w:id="13" w:name="_Log_Activity"/>
    <w:bookmarkEnd w:id="13"/>
    <w:p w14:paraId="0B327144" w14:textId="651803F0" w:rsidR="00176400" w:rsidRDefault="008B69C1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C101B2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8B69C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2DDFD36C" w14:textId="77777777" w:rsidTr="00951707">
        <w:tc>
          <w:tcPr>
            <w:tcW w:w="5000" w:type="pct"/>
            <w:shd w:val="clear" w:color="auto" w:fill="C0C0C0"/>
          </w:tcPr>
          <w:p w14:paraId="292FE7E4" w14:textId="77777777" w:rsidR="002C282A" w:rsidRPr="0064267B" w:rsidRDefault="000660F7" w:rsidP="0095170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10930877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</w:p>
        </w:tc>
      </w:tr>
    </w:tbl>
    <w:p w14:paraId="7EBE958C" w14:textId="77777777" w:rsidR="002C282A" w:rsidRDefault="000660F7" w:rsidP="00722C1D">
      <w:pPr>
        <w:rPr>
          <w:rStyle w:val="Hyperlink"/>
          <w:rFonts w:ascii="Verdana" w:hAnsi="Verdana"/>
        </w:rPr>
      </w:pPr>
      <w:r w:rsidRPr="000660F7">
        <w:rPr>
          <w:rStyle w:val="Hyperlink"/>
          <w:rFonts w:ascii="Verdana" w:hAnsi="Verdana"/>
          <w:b/>
          <w:color w:val="auto"/>
          <w:u w:val="none"/>
        </w:rPr>
        <w:t>Parent SOP: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5" w:history="1">
        <w:r w:rsidR="00722C1D" w:rsidRPr="00A356E3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707C085A" w14:textId="2C447F14" w:rsidR="000660F7" w:rsidRDefault="000660F7" w:rsidP="000660F7">
      <w:pPr>
        <w:rPr>
          <w:rFonts w:ascii="Verdana" w:hAnsi="Verdana"/>
        </w:rPr>
      </w:pPr>
      <w:r w:rsidRPr="000660F7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6" w:anchor="!/view?docid=c1f1028b-e42c-4b4f-a4cf-cc0b42c91606" w:history="1">
        <w:r w:rsidR="00B249FA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17E7BE39" w14:textId="5D03DB75" w:rsidR="006735DC" w:rsidRDefault="00E17D39" w:rsidP="00E17D39">
      <w:pPr>
        <w:rPr>
          <w:rStyle w:val="Hyperlink"/>
          <w:rFonts w:ascii="Verdana" w:hAnsi="Verdana"/>
          <w:bCs/>
        </w:rPr>
      </w:pPr>
      <w:bookmarkStart w:id="15" w:name="_Various_Work_Instructions"/>
      <w:bookmarkStart w:id="16" w:name="_PAR_Process_after_a_FRX_/_FRC_confl"/>
      <w:bookmarkStart w:id="17" w:name="_Next_Day_and"/>
      <w:bookmarkStart w:id="18" w:name="_Scanning_the_Targets"/>
      <w:bookmarkStart w:id="19" w:name="_LAN_Log_In"/>
      <w:bookmarkStart w:id="20" w:name="_AMOS_Log_In"/>
      <w:bookmarkStart w:id="21" w:name="_Search_by_Order#"/>
      <w:bookmarkStart w:id="22" w:name="_Check_Look_Up"/>
      <w:bookmarkStart w:id="23" w:name="OLE_LINK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E17D39">
        <w:rPr>
          <w:rFonts w:ascii="Verdana" w:hAnsi="Verdana"/>
          <w:b/>
          <w:color w:val="333333"/>
        </w:rPr>
        <w:t>Index:</w:t>
      </w:r>
      <w:r w:rsidRPr="00E17D39">
        <w:rPr>
          <w:rFonts w:ascii="Verdana" w:hAnsi="Verdana"/>
          <w:bCs/>
          <w:color w:val="333333"/>
        </w:rPr>
        <w:t xml:space="preserve"> </w:t>
      </w:r>
      <w:hyperlink r:id="rId27" w:anchor="!/view?docid=8a2da44a-6336-454d-8deb-fca4a71ad69b" w:history="1">
        <w:r w:rsidR="00B65FE4">
          <w:rPr>
            <w:rStyle w:val="Hyperlink"/>
            <w:rFonts w:ascii="Verdana" w:hAnsi="Verdana"/>
            <w:bCs/>
          </w:rPr>
          <w:t>Caremark.com - Work Instruction/Job Aid Index (105672)</w:t>
        </w:r>
      </w:hyperlink>
      <w:bookmarkEnd w:id="23"/>
    </w:p>
    <w:p w14:paraId="3DE9DD96" w14:textId="61C19C83" w:rsidR="006735DC" w:rsidRPr="006735DC" w:rsidRDefault="00437608" w:rsidP="00E17D39">
      <w:pPr>
        <w:rPr>
          <w:rStyle w:val="Hyperlink"/>
          <w:rFonts w:ascii="Verdana" w:hAnsi="Verdana"/>
          <w:bCs/>
          <w:color w:val="auto"/>
          <w:u w:val="none"/>
        </w:rPr>
      </w:pPr>
      <w:hyperlink r:id="rId28" w:anchor="!/view?docid=0f08a252-faee-4b46-8034-b0de97472c49" w:history="1">
        <w:r>
          <w:rPr>
            <w:rStyle w:val="Hyperlink"/>
            <w:rFonts w:ascii="Verdana" w:hAnsi="Verdana"/>
            <w:bCs/>
          </w:rPr>
          <w:t>Caremark.com – Mobile App Navigation (096977)</w:t>
        </w:r>
      </w:hyperlink>
    </w:p>
    <w:p w14:paraId="6A29F8C3" w14:textId="77777777" w:rsidR="006735DC" w:rsidRPr="00E17D39" w:rsidRDefault="006735DC" w:rsidP="00E17D39">
      <w:pPr>
        <w:rPr>
          <w:rFonts w:ascii="Verdana" w:hAnsi="Verdana"/>
          <w:bCs/>
          <w:color w:val="333333"/>
        </w:rPr>
      </w:pPr>
    </w:p>
    <w:p w14:paraId="6159657F" w14:textId="77777777" w:rsidR="00722C1D" w:rsidRDefault="00722C1D" w:rsidP="000660F7">
      <w:pPr>
        <w:rPr>
          <w:rFonts w:ascii="Verdana" w:hAnsi="Verdana"/>
        </w:rPr>
      </w:pPr>
    </w:p>
    <w:p w14:paraId="3D979C44" w14:textId="779FFCCB" w:rsidR="002C282A" w:rsidRDefault="002C282A" w:rsidP="00722C1D">
      <w:pPr>
        <w:jc w:val="right"/>
        <w:rPr>
          <w:rFonts w:ascii="Verdana" w:hAnsi="Verdana"/>
        </w:rPr>
      </w:pPr>
      <w:hyperlink w:anchor="_top" w:history="1">
        <w:r w:rsidRPr="008B69C1">
          <w:rPr>
            <w:rStyle w:val="Hyperlink"/>
            <w:rFonts w:ascii="Verdana" w:hAnsi="Verdana"/>
          </w:rPr>
          <w:t>Top of the Document</w:t>
        </w:r>
      </w:hyperlink>
    </w:p>
    <w:p w14:paraId="0DFACF9C" w14:textId="77777777" w:rsidR="00B13B31" w:rsidRDefault="00B13B31" w:rsidP="00E17D39">
      <w:pPr>
        <w:rPr>
          <w:rFonts w:ascii="Verdana" w:hAnsi="Verdana"/>
          <w:sz w:val="16"/>
          <w:szCs w:val="16"/>
        </w:rPr>
      </w:pPr>
    </w:p>
    <w:p w14:paraId="69FB43B3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6761146C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125970BE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C46E605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F9FBF" w14:textId="77777777" w:rsidR="00791543" w:rsidRDefault="00791543">
      <w:r>
        <w:separator/>
      </w:r>
    </w:p>
  </w:endnote>
  <w:endnote w:type="continuationSeparator" w:id="0">
    <w:p w14:paraId="2911A3B2" w14:textId="77777777" w:rsidR="00791543" w:rsidRDefault="0079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3DD8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7787E0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5247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3649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1A5976B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4022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EF571" w14:textId="77777777" w:rsidR="00791543" w:rsidRDefault="00791543">
      <w:r>
        <w:separator/>
      </w:r>
    </w:p>
  </w:footnote>
  <w:footnote w:type="continuationSeparator" w:id="0">
    <w:p w14:paraId="3E5EA12B" w14:textId="77777777" w:rsidR="00791543" w:rsidRDefault="00791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3E2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1" type="#_x0000_t75" style="width:29.25pt;height:26.25pt;visibility:visible;mso-wrap-style:square" o:bullet="t">
        <v:imagedata r:id="rId1" o:title=""/>
      </v:shape>
    </w:pict>
  </w:numPicBullet>
  <w:numPicBullet w:numPicBulletId="1">
    <w:pict>
      <v:shape id="_x0000_i1422" type="#_x0000_t75" style="width:18.75pt;height:17.25pt;visibility:visible;mso-wrap-style:square" o:bullet="t">
        <v:imagedata r:id="rId2" o:title=""/>
      </v:shape>
    </w:pict>
  </w:numPicBullet>
  <w:abstractNum w:abstractNumId="0" w15:restartNumberingAfterBreak="0">
    <w:nsid w:val="0C001088"/>
    <w:multiLevelType w:val="hybridMultilevel"/>
    <w:tmpl w:val="81504E2A"/>
    <w:lvl w:ilvl="0" w:tplc="4782A60A">
      <w:start w:val="1"/>
      <w:numFmt w:val="bullet"/>
      <w:lvlText w:val="●"/>
      <w:lvlJc w:val="left"/>
      <w:pPr>
        <w:ind w:left="0" w:hanging="360"/>
      </w:pPr>
      <w:rPr>
        <w:rFonts w:ascii="Verdana" w:hAnsi="Verdan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5235D"/>
    <w:multiLevelType w:val="hybridMultilevel"/>
    <w:tmpl w:val="38C8CBF6"/>
    <w:lvl w:ilvl="0" w:tplc="5010DE5E">
      <w:start w:val="1"/>
      <w:numFmt w:val="bullet"/>
      <w:lvlText w:val="●"/>
      <w:lvlJc w:val="left"/>
      <w:pPr>
        <w:ind w:left="1080" w:hanging="360"/>
      </w:pPr>
      <w:rPr>
        <w:rFonts w:ascii="Verdana" w:hAnsi="Verdana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3F7768"/>
    <w:multiLevelType w:val="hybridMultilevel"/>
    <w:tmpl w:val="439659A0"/>
    <w:lvl w:ilvl="0" w:tplc="EDEAE4C4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810D9"/>
    <w:multiLevelType w:val="hybridMultilevel"/>
    <w:tmpl w:val="3126FA0A"/>
    <w:lvl w:ilvl="0" w:tplc="5A6C60D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E23404"/>
    <w:multiLevelType w:val="hybridMultilevel"/>
    <w:tmpl w:val="ACAE2AB2"/>
    <w:lvl w:ilvl="0" w:tplc="695A3F78">
      <w:start w:val="1"/>
      <w:numFmt w:val="bullet"/>
      <w:lvlText w:val="●"/>
      <w:lvlJc w:val="left"/>
      <w:pPr>
        <w:ind w:left="1080" w:hanging="360"/>
      </w:pPr>
      <w:rPr>
        <w:rFonts w:ascii="Verdana" w:hAnsi="Verdana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913AC"/>
    <w:multiLevelType w:val="hybridMultilevel"/>
    <w:tmpl w:val="D9DED668"/>
    <w:lvl w:ilvl="0" w:tplc="EA7C31A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A63B8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F22E3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99610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A0B13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F44D2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9A251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1CF4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70BC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581C019F"/>
    <w:multiLevelType w:val="hybridMultilevel"/>
    <w:tmpl w:val="ABD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E637B13"/>
    <w:multiLevelType w:val="hybridMultilevel"/>
    <w:tmpl w:val="91223EA0"/>
    <w:lvl w:ilvl="0" w:tplc="13F05D00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394587">
    <w:abstractNumId w:val="1"/>
  </w:num>
  <w:num w:numId="2" w16cid:durableId="1599556092">
    <w:abstractNumId w:val="4"/>
  </w:num>
  <w:num w:numId="3" w16cid:durableId="1753547826">
    <w:abstractNumId w:val="9"/>
  </w:num>
  <w:num w:numId="4" w16cid:durableId="52001863">
    <w:abstractNumId w:val="2"/>
  </w:num>
  <w:num w:numId="5" w16cid:durableId="1193769072">
    <w:abstractNumId w:val="6"/>
  </w:num>
  <w:num w:numId="6" w16cid:durableId="510992705">
    <w:abstractNumId w:val="3"/>
  </w:num>
  <w:num w:numId="7" w16cid:durableId="229123653">
    <w:abstractNumId w:val="7"/>
  </w:num>
  <w:num w:numId="8" w16cid:durableId="2065370177">
    <w:abstractNumId w:val="8"/>
  </w:num>
  <w:num w:numId="9" w16cid:durableId="827014035">
    <w:abstractNumId w:val="5"/>
  </w:num>
  <w:num w:numId="10" w16cid:durableId="588543500">
    <w:abstractNumId w:val="0"/>
  </w:num>
  <w:num w:numId="11" w16cid:durableId="664161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726"/>
    <w:rsid w:val="00015A2E"/>
    <w:rsid w:val="00035BED"/>
    <w:rsid w:val="0003684F"/>
    <w:rsid w:val="0004297E"/>
    <w:rsid w:val="00044013"/>
    <w:rsid w:val="00053593"/>
    <w:rsid w:val="00061AD2"/>
    <w:rsid w:val="00065F85"/>
    <w:rsid w:val="000660F7"/>
    <w:rsid w:val="0008665F"/>
    <w:rsid w:val="00095AB5"/>
    <w:rsid w:val="000A0521"/>
    <w:rsid w:val="000A6B88"/>
    <w:rsid w:val="000A6EE5"/>
    <w:rsid w:val="000B3C4C"/>
    <w:rsid w:val="000B656F"/>
    <w:rsid w:val="000B72DF"/>
    <w:rsid w:val="000C7179"/>
    <w:rsid w:val="000D07C7"/>
    <w:rsid w:val="000D1870"/>
    <w:rsid w:val="000D5022"/>
    <w:rsid w:val="000D6714"/>
    <w:rsid w:val="000F0D1B"/>
    <w:rsid w:val="000F4459"/>
    <w:rsid w:val="001037C0"/>
    <w:rsid w:val="00105ED8"/>
    <w:rsid w:val="00114A42"/>
    <w:rsid w:val="00115944"/>
    <w:rsid w:val="0012373E"/>
    <w:rsid w:val="00123A12"/>
    <w:rsid w:val="001321C2"/>
    <w:rsid w:val="001360A5"/>
    <w:rsid w:val="00154374"/>
    <w:rsid w:val="00155591"/>
    <w:rsid w:val="001560C4"/>
    <w:rsid w:val="00162593"/>
    <w:rsid w:val="0016273A"/>
    <w:rsid w:val="00166C8E"/>
    <w:rsid w:val="00173848"/>
    <w:rsid w:val="00176400"/>
    <w:rsid w:val="001B3879"/>
    <w:rsid w:val="001C4EED"/>
    <w:rsid w:val="001D388E"/>
    <w:rsid w:val="001D54D1"/>
    <w:rsid w:val="001F1218"/>
    <w:rsid w:val="002016B4"/>
    <w:rsid w:val="002055CF"/>
    <w:rsid w:val="00206614"/>
    <w:rsid w:val="00216DE9"/>
    <w:rsid w:val="002268DF"/>
    <w:rsid w:val="00234673"/>
    <w:rsid w:val="00243EBB"/>
    <w:rsid w:val="00245B90"/>
    <w:rsid w:val="00245D49"/>
    <w:rsid w:val="00255C6B"/>
    <w:rsid w:val="00260986"/>
    <w:rsid w:val="00265D86"/>
    <w:rsid w:val="0028215B"/>
    <w:rsid w:val="00283ED8"/>
    <w:rsid w:val="00285371"/>
    <w:rsid w:val="0028648E"/>
    <w:rsid w:val="00291CE8"/>
    <w:rsid w:val="00296127"/>
    <w:rsid w:val="00296765"/>
    <w:rsid w:val="002B593E"/>
    <w:rsid w:val="002C282A"/>
    <w:rsid w:val="002C2C68"/>
    <w:rsid w:val="002C4595"/>
    <w:rsid w:val="002D7EA0"/>
    <w:rsid w:val="002E58AD"/>
    <w:rsid w:val="002F1F92"/>
    <w:rsid w:val="00306AD9"/>
    <w:rsid w:val="00306ED8"/>
    <w:rsid w:val="00312690"/>
    <w:rsid w:val="00312D87"/>
    <w:rsid w:val="0033143E"/>
    <w:rsid w:val="003438D8"/>
    <w:rsid w:val="003725A1"/>
    <w:rsid w:val="003868A2"/>
    <w:rsid w:val="00392A5B"/>
    <w:rsid w:val="00397B41"/>
    <w:rsid w:val="003A6D70"/>
    <w:rsid w:val="003B1F36"/>
    <w:rsid w:val="003B1F86"/>
    <w:rsid w:val="003C4627"/>
    <w:rsid w:val="003E65ED"/>
    <w:rsid w:val="003E6C1A"/>
    <w:rsid w:val="0040640A"/>
    <w:rsid w:val="00406DB5"/>
    <w:rsid w:val="00406E15"/>
    <w:rsid w:val="004100FC"/>
    <w:rsid w:val="0042336D"/>
    <w:rsid w:val="00430E7B"/>
    <w:rsid w:val="00434C25"/>
    <w:rsid w:val="00437608"/>
    <w:rsid w:val="00443F8C"/>
    <w:rsid w:val="00457EAE"/>
    <w:rsid w:val="0046239E"/>
    <w:rsid w:val="004768BE"/>
    <w:rsid w:val="00477F73"/>
    <w:rsid w:val="0048355A"/>
    <w:rsid w:val="00497A21"/>
    <w:rsid w:val="004B13FC"/>
    <w:rsid w:val="004B719C"/>
    <w:rsid w:val="004C15F4"/>
    <w:rsid w:val="004C1AAB"/>
    <w:rsid w:val="004C46E4"/>
    <w:rsid w:val="004D22D3"/>
    <w:rsid w:val="004D3C53"/>
    <w:rsid w:val="0050048B"/>
    <w:rsid w:val="0050053E"/>
    <w:rsid w:val="00511FEA"/>
    <w:rsid w:val="00512486"/>
    <w:rsid w:val="0052465B"/>
    <w:rsid w:val="00524CDD"/>
    <w:rsid w:val="00525DFB"/>
    <w:rsid w:val="00566FB8"/>
    <w:rsid w:val="00582E85"/>
    <w:rsid w:val="005862FE"/>
    <w:rsid w:val="005910B5"/>
    <w:rsid w:val="005A6118"/>
    <w:rsid w:val="005A64DA"/>
    <w:rsid w:val="005B08B8"/>
    <w:rsid w:val="005B10B2"/>
    <w:rsid w:val="005B4E1E"/>
    <w:rsid w:val="005C1D83"/>
    <w:rsid w:val="005C3A2D"/>
    <w:rsid w:val="005E650E"/>
    <w:rsid w:val="006144B5"/>
    <w:rsid w:val="00622D77"/>
    <w:rsid w:val="00625170"/>
    <w:rsid w:val="00627F34"/>
    <w:rsid w:val="00636B18"/>
    <w:rsid w:val="00637CA1"/>
    <w:rsid w:val="0064267B"/>
    <w:rsid w:val="006735DC"/>
    <w:rsid w:val="00674A16"/>
    <w:rsid w:val="00691E10"/>
    <w:rsid w:val="006956C0"/>
    <w:rsid w:val="006A0481"/>
    <w:rsid w:val="006A2225"/>
    <w:rsid w:val="006B79CA"/>
    <w:rsid w:val="006C653F"/>
    <w:rsid w:val="006D0A7B"/>
    <w:rsid w:val="006D36C6"/>
    <w:rsid w:val="006D6924"/>
    <w:rsid w:val="006F565C"/>
    <w:rsid w:val="006F7DFC"/>
    <w:rsid w:val="00704AF2"/>
    <w:rsid w:val="007105E5"/>
    <w:rsid w:val="00710E68"/>
    <w:rsid w:val="00714BA0"/>
    <w:rsid w:val="007159F4"/>
    <w:rsid w:val="00720CC2"/>
    <w:rsid w:val="00722C1D"/>
    <w:rsid w:val="0072337E"/>
    <w:rsid w:val="007269B6"/>
    <w:rsid w:val="00726E7A"/>
    <w:rsid w:val="0073294A"/>
    <w:rsid w:val="00732E52"/>
    <w:rsid w:val="00745690"/>
    <w:rsid w:val="00746F8B"/>
    <w:rsid w:val="00752801"/>
    <w:rsid w:val="00765D11"/>
    <w:rsid w:val="00773D1D"/>
    <w:rsid w:val="007747B8"/>
    <w:rsid w:val="00777976"/>
    <w:rsid w:val="00785118"/>
    <w:rsid w:val="007866C0"/>
    <w:rsid w:val="00786BEB"/>
    <w:rsid w:val="00791543"/>
    <w:rsid w:val="007B2AAF"/>
    <w:rsid w:val="007C5548"/>
    <w:rsid w:val="007C77DD"/>
    <w:rsid w:val="007D7C61"/>
    <w:rsid w:val="007E3EA6"/>
    <w:rsid w:val="008042E1"/>
    <w:rsid w:val="00804D63"/>
    <w:rsid w:val="00806B9D"/>
    <w:rsid w:val="008070E1"/>
    <w:rsid w:val="00812777"/>
    <w:rsid w:val="0084129E"/>
    <w:rsid w:val="008421D0"/>
    <w:rsid w:val="00843390"/>
    <w:rsid w:val="0084343D"/>
    <w:rsid w:val="00846373"/>
    <w:rsid w:val="008568AE"/>
    <w:rsid w:val="00860590"/>
    <w:rsid w:val="008614E8"/>
    <w:rsid w:val="00867EDF"/>
    <w:rsid w:val="00875F0D"/>
    <w:rsid w:val="00877414"/>
    <w:rsid w:val="00890DDB"/>
    <w:rsid w:val="008970DA"/>
    <w:rsid w:val="008A03B7"/>
    <w:rsid w:val="008A3B29"/>
    <w:rsid w:val="008B69C1"/>
    <w:rsid w:val="008C2197"/>
    <w:rsid w:val="008C3493"/>
    <w:rsid w:val="008D11A6"/>
    <w:rsid w:val="008D1F7B"/>
    <w:rsid w:val="008D2D64"/>
    <w:rsid w:val="008D7E88"/>
    <w:rsid w:val="008E12F5"/>
    <w:rsid w:val="00902E07"/>
    <w:rsid w:val="00903582"/>
    <w:rsid w:val="00910608"/>
    <w:rsid w:val="00913649"/>
    <w:rsid w:val="00914B32"/>
    <w:rsid w:val="00915690"/>
    <w:rsid w:val="00926200"/>
    <w:rsid w:val="00941EE0"/>
    <w:rsid w:val="00947783"/>
    <w:rsid w:val="00951707"/>
    <w:rsid w:val="00954484"/>
    <w:rsid w:val="00954FE8"/>
    <w:rsid w:val="009571F7"/>
    <w:rsid w:val="0097072E"/>
    <w:rsid w:val="009726E0"/>
    <w:rsid w:val="00975003"/>
    <w:rsid w:val="009833D0"/>
    <w:rsid w:val="00990822"/>
    <w:rsid w:val="00992E77"/>
    <w:rsid w:val="0099415F"/>
    <w:rsid w:val="009C4A31"/>
    <w:rsid w:val="009F64F1"/>
    <w:rsid w:val="009F6FD2"/>
    <w:rsid w:val="009F78D3"/>
    <w:rsid w:val="00A10F89"/>
    <w:rsid w:val="00A20778"/>
    <w:rsid w:val="00A3736C"/>
    <w:rsid w:val="00A3755A"/>
    <w:rsid w:val="00A44D85"/>
    <w:rsid w:val="00A4732A"/>
    <w:rsid w:val="00A7166B"/>
    <w:rsid w:val="00A73960"/>
    <w:rsid w:val="00A81851"/>
    <w:rsid w:val="00A83BA0"/>
    <w:rsid w:val="00A84414"/>
    <w:rsid w:val="00A84F18"/>
    <w:rsid w:val="00A85045"/>
    <w:rsid w:val="00A95738"/>
    <w:rsid w:val="00A97B7D"/>
    <w:rsid w:val="00AA4825"/>
    <w:rsid w:val="00AB2807"/>
    <w:rsid w:val="00AB33E1"/>
    <w:rsid w:val="00AD1646"/>
    <w:rsid w:val="00AD3BBF"/>
    <w:rsid w:val="00AE1B6B"/>
    <w:rsid w:val="00AF038B"/>
    <w:rsid w:val="00B01D24"/>
    <w:rsid w:val="00B13B31"/>
    <w:rsid w:val="00B249FA"/>
    <w:rsid w:val="00B26045"/>
    <w:rsid w:val="00B348B3"/>
    <w:rsid w:val="00B44C55"/>
    <w:rsid w:val="00B46A95"/>
    <w:rsid w:val="00B544C2"/>
    <w:rsid w:val="00B54F39"/>
    <w:rsid w:val="00B5566F"/>
    <w:rsid w:val="00B64BE7"/>
    <w:rsid w:val="00B65FE4"/>
    <w:rsid w:val="00B70CC4"/>
    <w:rsid w:val="00B81BF0"/>
    <w:rsid w:val="00B841CA"/>
    <w:rsid w:val="00B904F9"/>
    <w:rsid w:val="00BA1EA6"/>
    <w:rsid w:val="00BA31DD"/>
    <w:rsid w:val="00BB02DE"/>
    <w:rsid w:val="00BB371A"/>
    <w:rsid w:val="00BC5D46"/>
    <w:rsid w:val="00BD7B25"/>
    <w:rsid w:val="00BE00B6"/>
    <w:rsid w:val="00BE1AFF"/>
    <w:rsid w:val="00BF74E9"/>
    <w:rsid w:val="00C0030C"/>
    <w:rsid w:val="00C101B2"/>
    <w:rsid w:val="00C247CB"/>
    <w:rsid w:val="00C25830"/>
    <w:rsid w:val="00C34CF6"/>
    <w:rsid w:val="00C360BD"/>
    <w:rsid w:val="00C476E1"/>
    <w:rsid w:val="00C522D1"/>
    <w:rsid w:val="00C52E77"/>
    <w:rsid w:val="00C566B3"/>
    <w:rsid w:val="00C65249"/>
    <w:rsid w:val="00C67B32"/>
    <w:rsid w:val="00C729E0"/>
    <w:rsid w:val="00C75C83"/>
    <w:rsid w:val="00CA1528"/>
    <w:rsid w:val="00CB0C1D"/>
    <w:rsid w:val="00CC5AA2"/>
    <w:rsid w:val="00CC721A"/>
    <w:rsid w:val="00CD0963"/>
    <w:rsid w:val="00CD4C84"/>
    <w:rsid w:val="00CE3D42"/>
    <w:rsid w:val="00CE53E6"/>
    <w:rsid w:val="00CF31FF"/>
    <w:rsid w:val="00CF5CC0"/>
    <w:rsid w:val="00CF6131"/>
    <w:rsid w:val="00D06EAA"/>
    <w:rsid w:val="00D3179A"/>
    <w:rsid w:val="00D36733"/>
    <w:rsid w:val="00D41281"/>
    <w:rsid w:val="00D417EB"/>
    <w:rsid w:val="00D471B5"/>
    <w:rsid w:val="00D5583E"/>
    <w:rsid w:val="00D571DB"/>
    <w:rsid w:val="00D575E1"/>
    <w:rsid w:val="00D6774D"/>
    <w:rsid w:val="00D730C6"/>
    <w:rsid w:val="00D73B38"/>
    <w:rsid w:val="00D75191"/>
    <w:rsid w:val="00D753B2"/>
    <w:rsid w:val="00D80929"/>
    <w:rsid w:val="00D85254"/>
    <w:rsid w:val="00DB224C"/>
    <w:rsid w:val="00DC4FFC"/>
    <w:rsid w:val="00DC77AC"/>
    <w:rsid w:val="00DE4FBB"/>
    <w:rsid w:val="00DF18F5"/>
    <w:rsid w:val="00DF2B45"/>
    <w:rsid w:val="00DF6BE4"/>
    <w:rsid w:val="00E157BC"/>
    <w:rsid w:val="00E16E64"/>
    <w:rsid w:val="00E17D39"/>
    <w:rsid w:val="00E20676"/>
    <w:rsid w:val="00E25EAF"/>
    <w:rsid w:val="00E31E73"/>
    <w:rsid w:val="00E427EA"/>
    <w:rsid w:val="00E50E4A"/>
    <w:rsid w:val="00E7264F"/>
    <w:rsid w:val="00E761A4"/>
    <w:rsid w:val="00E91F5F"/>
    <w:rsid w:val="00EA15B7"/>
    <w:rsid w:val="00EA4CE6"/>
    <w:rsid w:val="00EA6F59"/>
    <w:rsid w:val="00EB12DD"/>
    <w:rsid w:val="00EB153E"/>
    <w:rsid w:val="00EB15CC"/>
    <w:rsid w:val="00EB57EB"/>
    <w:rsid w:val="00EC592F"/>
    <w:rsid w:val="00ED2205"/>
    <w:rsid w:val="00ED50CF"/>
    <w:rsid w:val="00F1152F"/>
    <w:rsid w:val="00F17653"/>
    <w:rsid w:val="00F207B3"/>
    <w:rsid w:val="00F31BC1"/>
    <w:rsid w:val="00F336C7"/>
    <w:rsid w:val="00F5486B"/>
    <w:rsid w:val="00F658E0"/>
    <w:rsid w:val="00F81FD6"/>
    <w:rsid w:val="00F859B7"/>
    <w:rsid w:val="00FC1C44"/>
    <w:rsid w:val="00FC31B7"/>
    <w:rsid w:val="00FD67D7"/>
    <w:rsid w:val="00FE6178"/>
    <w:rsid w:val="00FF0B95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5EED71A9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434C25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0660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60F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17D39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17D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D39"/>
    <w:pPr>
      <w:ind w:left="720"/>
      <w:contextualSpacing/>
    </w:pPr>
  </w:style>
  <w:style w:type="character" w:styleId="CommentReference">
    <w:name w:val="annotation reference"/>
    <w:basedOn w:val="DefaultParagraphFont"/>
    <w:rsid w:val="00511F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1F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11FE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1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11FEA"/>
    <w:rPr>
      <w:b/>
      <w:bCs/>
    </w:rPr>
  </w:style>
  <w:style w:type="paragraph" w:styleId="Revision">
    <w:name w:val="Revision"/>
    <w:hidden/>
    <w:uiPriority w:val="99"/>
    <w:semiHidden/>
    <w:rsid w:val="001D54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policy.corp.cvscaremark.com/pnp/faces/DocRenderer?documentId=CALL-0045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://www.caremark.com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6F3B0E-522F-45DE-A346-34CC50F176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2DE03-FBB6-453C-A228-F0B2618B13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105998A-C595-4FE5-83BF-CEBD00C81D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C43323-7DBD-4697-8D06-3565ED14D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6756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Jennings, Katie A</cp:lastModifiedBy>
  <cp:revision>2</cp:revision>
  <cp:lastPrinted>2007-01-03T15:56:00Z</cp:lastPrinted>
  <dcterms:created xsi:type="dcterms:W3CDTF">2025-07-24T21:14:00Z</dcterms:created>
  <dcterms:modified xsi:type="dcterms:W3CDTF">2025-07-24T21:14:00Z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2021-09-08T13:42:12Z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3ac57e7a-4f4e-4a1a-8ad3-38b805b6c6cd</vt:lpwstr>
  </property>
  <property fmtid="{D5CDD505-2E9C-101B-9397-08002B2CF9AE}" pid="8" name="MSIP_Label_67599526-06ca-49cc-9fa9-5307800a949a_ContentBits">
    <vt:lpwstr>0</vt:lpwstr>
  </property>
</Properties>
</file>