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44C31" w14:textId="30CB8C4B" w:rsidR="00F27518" w:rsidRPr="00E96B19" w:rsidRDefault="00272418" w:rsidP="000D63DB">
      <w:pPr>
        <w:pStyle w:val="Heading1"/>
        <w:spacing w:after="0"/>
        <w:rPr>
          <w:rFonts w:ascii="Verdana" w:hAnsi="Verdana"/>
          <w:color w:val="auto"/>
          <w:sz w:val="18"/>
          <w:szCs w:val="18"/>
        </w:rPr>
      </w:pPr>
      <w:bookmarkStart w:id="0" w:name="_top"/>
      <w:bookmarkEnd w:id="0"/>
      <w:r>
        <w:rPr>
          <w:rFonts w:ascii="Verdana" w:hAnsi="Verdana"/>
          <w:color w:val="000000"/>
          <w:sz w:val="36"/>
          <w:szCs w:val="36"/>
        </w:rPr>
        <w:t xml:space="preserve">PeopleSafe - </w:t>
      </w:r>
      <w:r w:rsidR="00A34658">
        <w:rPr>
          <w:rFonts w:ascii="Verdana" w:hAnsi="Verdana"/>
          <w:color w:val="000000"/>
          <w:sz w:val="36"/>
          <w:szCs w:val="36"/>
        </w:rPr>
        <w:t>Test Claim</w:t>
      </w:r>
      <w:r w:rsidR="00F425F1">
        <w:rPr>
          <w:rFonts w:ascii="Verdana" w:hAnsi="Verdana"/>
          <w:color w:val="000000"/>
          <w:sz w:val="36"/>
          <w:szCs w:val="36"/>
        </w:rPr>
        <w:t xml:space="preserve"> Formulary </w:t>
      </w:r>
      <w:r w:rsidR="00036329">
        <w:rPr>
          <w:rFonts w:ascii="Verdana" w:hAnsi="Verdana"/>
          <w:color w:val="000000"/>
          <w:sz w:val="36"/>
          <w:szCs w:val="36"/>
        </w:rPr>
        <w:t xml:space="preserve">and Additional </w:t>
      </w:r>
      <w:r w:rsidR="00F425F1">
        <w:rPr>
          <w:rFonts w:ascii="Verdana" w:hAnsi="Verdana"/>
          <w:color w:val="000000"/>
          <w:sz w:val="36"/>
          <w:szCs w:val="36"/>
        </w:rPr>
        <w:t>Alternative</w:t>
      </w:r>
      <w:r w:rsidR="00036329">
        <w:rPr>
          <w:rFonts w:ascii="Verdana" w:hAnsi="Verdana"/>
          <w:color w:val="000000"/>
          <w:sz w:val="36"/>
          <w:szCs w:val="36"/>
        </w:rPr>
        <w:t>s</w:t>
      </w:r>
    </w:p>
    <w:p w14:paraId="2D4BA568" w14:textId="77777777" w:rsidR="00F27518" w:rsidRDefault="00F27518" w:rsidP="000D63DB">
      <w:pPr>
        <w:rPr>
          <w:rFonts w:ascii="Verdana" w:hAnsi="Verdana"/>
        </w:rPr>
      </w:pPr>
    </w:p>
    <w:p w14:paraId="620C2D6A" w14:textId="202744AD" w:rsidR="00986999" w:rsidRPr="00986999" w:rsidRDefault="00CD7396" w:rsidP="00986999">
      <w:pPr>
        <w:rPr>
          <w:rFonts w:ascii="Verdana" w:eastAsiaTheme="minorEastAsia" w:hAnsi="Verdana" w:cstheme="minorBidi"/>
          <w:noProof/>
          <w:kern w:val="2"/>
          <w14:ligatures w14:val="standardContextual"/>
        </w:rPr>
      </w:pPr>
      <w:r>
        <w:fldChar w:fldCharType="begin"/>
      </w:r>
      <w:r>
        <w:instrText xml:space="preserve"> TOC \o "2-2" \n \p " " \h \z \u </w:instrText>
      </w:r>
      <w:r>
        <w:fldChar w:fldCharType="separate"/>
      </w:r>
      <w:hyperlink w:anchor="_Toc208411464" w:history="1">
        <w:r w:rsidR="00986999" w:rsidRPr="00986999">
          <w:rPr>
            <w:rStyle w:val="Hyperlink"/>
            <w:rFonts w:ascii="Verdana" w:hAnsi="Verdana"/>
            <w:noProof/>
          </w:rPr>
          <w:t>Process</w:t>
        </w:r>
      </w:hyperlink>
    </w:p>
    <w:p w14:paraId="08372888" w14:textId="2EEF0309" w:rsidR="00986999" w:rsidRPr="00986999" w:rsidRDefault="00986999" w:rsidP="00986999">
      <w:pPr>
        <w:rPr>
          <w:rFonts w:ascii="Verdana" w:eastAsiaTheme="minorEastAsia" w:hAnsi="Verdana" w:cstheme="minorBidi"/>
          <w:noProof/>
          <w:kern w:val="2"/>
          <w14:ligatures w14:val="standardContextual"/>
        </w:rPr>
      </w:pPr>
      <w:hyperlink w:anchor="_Toc208411465" w:history="1">
        <w:r w:rsidRPr="00986999">
          <w:rPr>
            <w:rStyle w:val="Hyperlink"/>
            <w:rFonts w:ascii="Verdana" w:hAnsi="Verdana"/>
            <w:noProof/>
          </w:rPr>
          <w:t>Related Documents</w:t>
        </w:r>
      </w:hyperlink>
    </w:p>
    <w:p w14:paraId="1A106871" w14:textId="471AA7E5" w:rsidR="000D6D39" w:rsidRDefault="00CD7396" w:rsidP="000D63DB">
      <w:pPr>
        <w:rPr>
          <w:rFonts w:ascii="Verdana" w:hAnsi="Verdana"/>
          <w:noProof/>
          <w:color w:val="3333FF"/>
          <w:u w:val="single"/>
        </w:rPr>
      </w:pPr>
      <w:r>
        <w:rPr>
          <w:rFonts w:ascii="Verdana" w:hAnsi="Verdana"/>
          <w:noProof/>
          <w:color w:val="3333FF"/>
          <w:u w:val="single"/>
        </w:rPr>
        <w:fldChar w:fldCharType="end"/>
      </w:r>
    </w:p>
    <w:p w14:paraId="1F5F8620" w14:textId="114FA44C" w:rsidR="000D6D39" w:rsidRDefault="00AE316A" w:rsidP="006C73B1">
      <w:pPr>
        <w:spacing w:before="120" w:after="120"/>
        <w:rPr>
          <w:rFonts w:ascii="Verdana" w:hAnsi="Verdana"/>
          <w:noProof/>
          <w:color w:val="000000"/>
        </w:rPr>
      </w:pPr>
      <w:r w:rsidRPr="006C73B1">
        <w:rPr>
          <w:rFonts w:ascii="Verdana" w:hAnsi="Verdana"/>
          <w:b/>
          <w:bCs/>
          <w:noProof/>
          <w:color w:val="000000"/>
        </w:rPr>
        <w:t>Description:</w:t>
      </w:r>
      <w:r>
        <w:rPr>
          <w:rFonts w:ascii="Verdana" w:hAnsi="Verdana"/>
          <w:noProof/>
          <w:color w:val="000000"/>
        </w:rPr>
        <w:t xml:space="preserve"> </w:t>
      </w:r>
      <w:r w:rsidR="00B8639F">
        <w:rPr>
          <w:rFonts w:ascii="Verdana" w:hAnsi="Verdana"/>
          <w:noProof/>
          <w:color w:val="000000"/>
        </w:rPr>
        <w:t>P</w:t>
      </w:r>
      <w:r w:rsidR="000D6D39" w:rsidRPr="000D6D39">
        <w:rPr>
          <w:rFonts w:ascii="Verdana" w:hAnsi="Verdana"/>
          <w:noProof/>
          <w:color w:val="000000"/>
        </w:rPr>
        <w:t xml:space="preserve">rocess to select Formulary </w:t>
      </w:r>
      <w:r w:rsidR="00EC3C72">
        <w:rPr>
          <w:rFonts w:ascii="Verdana" w:hAnsi="Verdana"/>
          <w:noProof/>
          <w:color w:val="000000"/>
        </w:rPr>
        <w:t xml:space="preserve">(Savings Option) </w:t>
      </w:r>
      <w:r w:rsidR="000D6D39" w:rsidRPr="000D6D39">
        <w:rPr>
          <w:rFonts w:ascii="Verdana" w:hAnsi="Verdana"/>
          <w:noProof/>
          <w:color w:val="000000"/>
        </w:rPr>
        <w:t xml:space="preserve">or Additional </w:t>
      </w:r>
      <w:r w:rsidR="00EC3C72">
        <w:rPr>
          <w:rFonts w:ascii="Verdana" w:hAnsi="Verdana"/>
          <w:noProof/>
          <w:color w:val="000000"/>
        </w:rPr>
        <w:t xml:space="preserve">(Formulary and Therapeutic) </w:t>
      </w:r>
      <w:r w:rsidR="000D6D39" w:rsidRPr="000D6D39">
        <w:rPr>
          <w:rFonts w:ascii="Verdana" w:hAnsi="Verdana"/>
          <w:noProof/>
          <w:color w:val="000000"/>
        </w:rPr>
        <w:t xml:space="preserve">Alternatives when running a Test Claim to provide the member with improved cost options for their medications. </w:t>
      </w:r>
    </w:p>
    <w:p w14:paraId="33FC1EDE" w14:textId="77777777" w:rsidR="00724F8A" w:rsidRDefault="00724F8A" w:rsidP="00724F8A">
      <w:pPr>
        <w:spacing w:before="120" w:after="120"/>
        <w:rPr>
          <w:rFonts w:ascii="Verdana" w:hAnsi="Verdana"/>
          <w:color w:val="000000"/>
        </w:rPr>
      </w:pPr>
    </w:p>
    <w:p w14:paraId="1674145D" w14:textId="645046AF" w:rsidR="00724F8A" w:rsidRPr="00986999" w:rsidRDefault="0072097A" w:rsidP="00724F8A">
      <w:pPr>
        <w:spacing w:before="120" w:after="120"/>
        <w:rPr>
          <w:rFonts w:ascii="Verdana" w:hAnsi="Verdana"/>
          <w:b/>
          <w:bCs/>
          <w:color w:val="000000"/>
        </w:rPr>
      </w:pPr>
      <w:r>
        <w:rPr>
          <w:rFonts w:ascii="Verdana" w:hAnsi="Verdana"/>
          <w:noProof/>
          <w:color w:val="000000"/>
        </w:rPr>
        <w:drawing>
          <wp:inline distT="0" distB="0" distL="0" distR="0" wp14:anchorId="76B48DC6" wp14:editId="07AFDBD8">
            <wp:extent cx="304762" cy="304762"/>
            <wp:effectExtent l="0" t="0" r="635" b="635"/>
            <wp:docPr id="2027056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38895" name="Picture 240538895"/>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724F8A" w:rsidRPr="00986999">
        <w:rPr>
          <w:rFonts w:ascii="Verdana" w:hAnsi="Verdana"/>
          <w:b/>
          <w:bCs/>
          <w:color w:val="000000"/>
        </w:rPr>
        <w:t>Mandatory Disclaimer:</w:t>
      </w:r>
    </w:p>
    <w:p w14:paraId="4FD58755" w14:textId="3C851562" w:rsidR="00724F8A" w:rsidRPr="00830F9F" w:rsidRDefault="00724F8A" w:rsidP="00724F8A">
      <w:pPr>
        <w:spacing w:before="120" w:after="120"/>
        <w:rPr>
          <w:rFonts w:ascii="Verdana" w:hAnsi="Verdana"/>
          <w:color w:val="000000"/>
        </w:rPr>
      </w:pPr>
      <w:r>
        <w:rPr>
          <w:noProof/>
        </w:rPr>
        <w:drawing>
          <wp:inline distT="0" distB="0" distL="0" distR="0" wp14:anchorId="5D0B223B" wp14:editId="6E440C7A">
            <wp:extent cx="238158" cy="209579"/>
            <wp:effectExtent l="0" t="0" r="9525" b="0"/>
            <wp:docPr id="527137192" name="Picture 527137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1F1F6C36">
        <w:rPr>
          <w:rFonts w:ascii="Verdana" w:hAnsi="Verdana"/>
          <w:color w:val="000000" w:themeColor="text1"/>
        </w:rPr>
        <w:t xml:space="preserve"> The alternatives provided are suggestions and not an all-inclusive list. </w:t>
      </w:r>
      <w:r w:rsidR="33E6D8D8" w:rsidRPr="1F1F6C36">
        <w:rPr>
          <w:rFonts w:ascii="Verdana" w:hAnsi="Verdana"/>
          <w:color w:val="000000" w:themeColor="text1"/>
        </w:rPr>
        <w:t xml:space="preserve">You </w:t>
      </w:r>
      <w:r w:rsidRPr="1F1F6C36">
        <w:rPr>
          <w:rFonts w:ascii="Verdana" w:hAnsi="Verdana"/>
          <w:color w:val="000000" w:themeColor="text1"/>
        </w:rPr>
        <w:t xml:space="preserve">should discuss these and other treatment options with </w:t>
      </w:r>
      <w:r w:rsidR="4AD190A3" w:rsidRPr="1F1F6C36">
        <w:rPr>
          <w:rFonts w:ascii="Verdana" w:hAnsi="Verdana"/>
          <w:color w:val="000000" w:themeColor="text1"/>
        </w:rPr>
        <w:t xml:space="preserve">your </w:t>
      </w:r>
      <w:r w:rsidRPr="1F1F6C36">
        <w:rPr>
          <w:rFonts w:ascii="Verdana" w:hAnsi="Verdana"/>
          <w:color w:val="000000" w:themeColor="text1"/>
        </w:rPr>
        <w:t xml:space="preserve">physician.  </w:t>
      </w:r>
    </w:p>
    <w:p w14:paraId="05B711A3" w14:textId="77777777" w:rsidR="00B06ACC" w:rsidRDefault="00B06ACC" w:rsidP="006C73B1">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0D6D39" w:rsidRPr="00DC296B" w14:paraId="304025FD" w14:textId="77777777" w:rsidTr="00CA08A9">
        <w:tc>
          <w:tcPr>
            <w:tcW w:w="5000" w:type="pct"/>
            <w:shd w:val="clear" w:color="auto" w:fill="C0C0C0"/>
          </w:tcPr>
          <w:p w14:paraId="2EA94EC8" w14:textId="6CAA9337" w:rsidR="000D6D39" w:rsidRPr="000D6356" w:rsidRDefault="000D6D39" w:rsidP="00EC3C72">
            <w:pPr>
              <w:pStyle w:val="Heading2"/>
              <w:spacing w:before="120" w:after="120"/>
              <w:rPr>
                <w:rFonts w:ascii="Verdana" w:hAnsi="Verdana"/>
                <w:i w:val="0"/>
              </w:rPr>
            </w:pPr>
            <w:bookmarkStart w:id="1" w:name="_Toc208411464"/>
            <w:r>
              <w:rPr>
                <w:rFonts w:ascii="Verdana" w:hAnsi="Verdana"/>
                <w:i w:val="0"/>
              </w:rPr>
              <w:t>Process</w:t>
            </w:r>
            <w:bookmarkEnd w:id="1"/>
          </w:p>
        </w:tc>
      </w:tr>
    </w:tbl>
    <w:p w14:paraId="27FE1625" w14:textId="77777777" w:rsidR="000D6D39" w:rsidRDefault="000D6D39" w:rsidP="00EC3C72">
      <w:pPr>
        <w:spacing w:before="120" w:after="120"/>
        <w:rPr>
          <w:rFonts w:ascii="Verdana" w:hAnsi="Verdana"/>
          <w:noProof/>
          <w:color w:val="3333FF"/>
          <w:u w:val="single"/>
        </w:rPr>
      </w:pPr>
      <w:r w:rsidRPr="000D6D39">
        <w:rPr>
          <w:rFonts w:ascii="Verdana" w:hAnsi="Verdana"/>
          <w:noProof/>
          <w:color w:val="000000"/>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09"/>
        <w:gridCol w:w="12041"/>
      </w:tblGrid>
      <w:tr w:rsidR="00036329" w:rsidRPr="00F55D9A" w14:paraId="2E54488F" w14:textId="77777777" w:rsidTr="00DB51F4">
        <w:tc>
          <w:tcPr>
            <w:tcW w:w="351" w:type="pct"/>
            <w:shd w:val="clear" w:color="auto" w:fill="D9D9D9"/>
          </w:tcPr>
          <w:p w14:paraId="59A44040" w14:textId="77777777" w:rsidR="00036329" w:rsidRDefault="006C1CBD" w:rsidP="00EC3C72">
            <w:pPr>
              <w:spacing w:before="120" w:after="120"/>
              <w:jc w:val="center"/>
              <w:rPr>
                <w:rFonts w:ascii="Verdana" w:hAnsi="Verdana"/>
                <w:b/>
              </w:rPr>
            </w:pPr>
            <w:r>
              <w:rPr>
                <w:rFonts w:ascii="Verdana" w:hAnsi="Verdana"/>
              </w:rPr>
              <w:t xml:space="preserve"> </w:t>
            </w:r>
            <w:r w:rsidR="00036329">
              <w:rPr>
                <w:rFonts w:ascii="Verdana" w:hAnsi="Verdana"/>
                <w:b/>
              </w:rPr>
              <w:t>Step</w:t>
            </w:r>
          </w:p>
        </w:tc>
        <w:tc>
          <w:tcPr>
            <w:tcW w:w="4649" w:type="pct"/>
            <w:shd w:val="clear" w:color="auto" w:fill="D9D9D9"/>
          </w:tcPr>
          <w:p w14:paraId="0D41BF4B" w14:textId="77777777" w:rsidR="00036329" w:rsidRPr="00036329" w:rsidRDefault="00036329" w:rsidP="00EC3C72">
            <w:pPr>
              <w:spacing w:before="120" w:after="120"/>
              <w:jc w:val="center"/>
              <w:rPr>
                <w:rFonts w:ascii="Verdana" w:hAnsi="Verdana"/>
                <w:b/>
                <w:color w:val="000000"/>
              </w:rPr>
            </w:pPr>
            <w:r w:rsidRPr="00036329">
              <w:rPr>
                <w:rFonts w:ascii="Verdana" w:hAnsi="Verdana"/>
                <w:b/>
                <w:color w:val="000000"/>
              </w:rPr>
              <w:t>Action</w:t>
            </w:r>
          </w:p>
        </w:tc>
      </w:tr>
      <w:tr w:rsidR="00036329" w:rsidRPr="00F55D9A" w14:paraId="14C8EB1F" w14:textId="77777777" w:rsidTr="00DB51F4">
        <w:tc>
          <w:tcPr>
            <w:tcW w:w="351" w:type="pct"/>
          </w:tcPr>
          <w:p w14:paraId="72706525" w14:textId="77777777" w:rsidR="00036329" w:rsidRDefault="00036329" w:rsidP="00EC3C72">
            <w:pPr>
              <w:spacing w:before="120" w:after="120"/>
              <w:jc w:val="center"/>
              <w:rPr>
                <w:rFonts w:ascii="Verdana" w:hAnsi="Verdana"/>
                <w:b/>
              </w:rPr>
            </w:pPr>
            <w:r>
              <w:rPr>
                <w:rFonts w:ascii="Verdana" w:hAnsi="Verdana"/>
                <w:b/>
              </w:rPr>
              <w:t>1</w:t>
            </w:r>
          </w:p>
        </w:tc>
        <w:tc>
          <w:tcPr>
            <w:tcW w:w="4649" w:type="pct"/>
          </w:tcPr>
          <w:p w14:paraId="5CE53C6B" w14:textId="33749567" w:rsidR="00CA08A9" w:rsidRPr="00FD0798" w:rsidRDefault="00CA08A9" w:rsidP="00EC3C72">
            <w:pPr>
              <w:spacing w:before="120" w:after="120"/>
              <w:rPr>
                <w:noProof/>
              </w:rPr>
            </w:pPr>
            <w:r w:rsidRPr="00726854">
              <w:rPr>
                <w:rFonts w:ascii="Verdana" w:hAnsi="Verdana"/>
                <w:color w:val="000000"/>
              </w:rPr>
              <w:t>Upon running the Test Claim</w:t>
            </w:r>
            <w:r w:rsidR="00194FE0">
              <w:rPr>
                <w:rFonts w:ascii="Verdana" w:hAnsi="Verdana"/>
                <w:color w:val="000000"/>
              </w:rPr>
              <w:t>,</w:t>
            </w:r>
            <w:r w:rsidRPr="00726854">
              <w:rPr>
                <w:rFonts w:ascii="Verdana" w:hAnsi="Verdana"/>
                <w:color w:val="000000"/>
              </w:rPr>
              <w:t xml:space="preserve"> </w:t>
            </w:r>
            <w:r w:rsidR="005271C0">
              <w:rPr>
                <w:rFonts w:ascii="Verdana" w:hAnsi="Verdana"/>
                <w:color w:val="000000"/>
              </w:rPr>
              <w:t xml:space="preserve">if </w:t>
            </w:r>
            <w:r w:rsidRPr="00726854">
              <w:rPr>
                <w:rFonts w:ascii="Verdana" w:hAnsi="Verdana"/>
                <w:color w:val="000000"/>
              </w:rPr>
              <w:t>a Non-Formulary message displays</w:t>
            </w:r>
            <w:r w:rsidR="003270CD">
              <w:rPr>
                <w:rFonts w:ascii="Verdana" w:hAnsi="Verdana"/>
                <w:color w:val="000000"/>
              </w:rPr>
              <w:t xml:space="preserve"> in the Details hyperlink</w:t>
            </w:r>
            <w:r w:rsidRPr="00726854">
              <w:rPr>
                <w:rFonts w:ascii="Verdana" w:hAnsi="Verdana"/>
                <w:color w:val="000000"/>
              </w:rPr>
              <w:t xml:space="preserve">, determine if the member is interested in a </w:t>
            </w:r>
            <w:bookmarkStart w:id="2" w:name="FormularyAlternative"/>
            <w:r w:rsidRPr="00726854">
              <w:rPr>
                <w:rFonts w:ascii="Verdana" w:hAnsi="Verdana"/>
                <w:color w:val="000000"/>
              </w:rPr>
              <w:t xml:space="preserve">Formulary </w:t>
            </w:r>
            <w:bookmarkEnd w:id="2"/>
            <w:r w:rsidRPr="00726854">
              <w:rPr>
                <w:rFonts w:ascii="Verdana" w:hAnsi="Verdana"/>
                <w:color w:val="000000"/>
              </w:rPr>
              <w:t xml:space="preserve">Alternative, which may result in savings. </w:t>
            </w:r>
          </w:p>
          <w:p w14:paraId="614BB800" w14:textId="375EC3F6" w:rsidR="00CA08A9" w:rsidRDefault="00CA08A9" w:rsidP="00C536DD">
            <w:pPr>
              <w:spacing w:before="120" w:after="120"/>
              <w:ind w:left="360"/>
              <w:rPr>
                <w:rFonts w:ascii="Verdana" w:hAnsi="Verdana"/>
                <w:color w:val="000000"/>
              </w:rPr>
            </w:pPr>
            <w:r w:rsidRPr="00FD0798">
              <w:rPr>
                <w:rFonts w:ascii="Verdana" w:hAnsi="Verdana"/>
                <w:b/>
                <w:color w:val="000000"/>
              </w:rPr>
              <w:t>Note:</w:t>
            </w:r>
            <w:r>
              <w:rPr>
                <w:rFonts w:ascii="Verdana" w:hAnsi="Verdana"/>
                <w:color w:val="000000"/>
              </w:rPr>
              <w:t xml:space="preserve"> The message may display even if the medication is already </w:t>
            </w:r>
            <w:r w:rsidR="00620243">
              <w:rPr>
                <w:rFonts w:ascii="Verdana" w:hAnsi="Verdana"/>
                <w:color w:val="000000"/>
              </w:rPr>
              <w:t xml:space="preserve">a </w:t>
            </w:r>
            <w:r>
              <w:rPr>
                <w:rFonts w:ascii="Verdana" w:hAnsi="Verdana"/>
                <w:color w:val="000000"/>
              </w:rPr>
              <w:t>formulary, as some classes of drugs have multiple formulary options.</w:t>
            </w:r>
            <w:r w:rsidRPr="00726854">
              <w:rPr>
                <w:rFonts w:ascii="Verdana" w:hAnsi="Verdana"/>
                <w:color w:val="000000"/>
              </w:rPr>
              <w:t xml:space="preserve"> </w:t>
            </w:r>
          </w:p>
          <w:p w14:paraId="30DEBDC1" w14:textId="77777777" w:rsidR="00CA08A9" w:rsidRPr="00BA1E5D" w:rsidRDefault="00CA08A9" w:rsidP="00417F51">
            <w:pPr>
              <w:numPr>
                <w:ilvl w:val="0"/>
                <w:numId w:val="3"/>
              </w:numPr>
              <w:spacing w:before="120" w:after="120"/>
              <w:rPr>
                <w:rFonts w:ascii="Verdana" w:hAnsi="Verdana"/>
                <w:color w:val="000000"/>
              </w:rPr>
            </w:pPr>
            <w:r w:rsidRPr="00BA1E5D">
              <w:rPr>
                <w:rFonts w:ascii="Verdana" w:hAnsi="Verdana"/>
                <w:color w:val="000000"/>
              </w:rPr>
              <w:t>If yes,</w:t>
            </w:r>
            <w:r w:rsidRPr="00726854">
              <w:rPr>
                <w:rFonts w:ascii="Verdana" w:hAnsi="Verdana"/>
                <w:color w:val="000000"/>
                <w:sz w:val="28"/>
                <w:szCs w:val="28"/>
              </w:rPr>
              <w:t xml:space="preserve"> </w:t>
            </w:r>
            <w:r w:rsidRPr="00BA1E5D">
              <w:rPr>
                <w:rFonts w:ascii="Verdana" w:hAnsi="Verdana"/>
                <w:color w:val="000000"/>
              </w:rPr>
              <w:t xml:space="preserve">select the </w:t>
            </w:r>
            <w:bookmarkStart w:id="3" w:name="Savingsoption"/>
            <w:r w:rsidRPr="00BA1E5D">
              <w:rPr>
                <w:rFonts w:ascii="Verdana" w:hAnsi="Verdana"/>
                <w:b/>
                <w:color w:val="000000"/>
              </w:rPr>
              <w:t>Saving</w:t>
            </w:r>
            <w:bookmarkEnd w:id="3"/>
            <w:r w:rsidRPr="00BA1E5D">
              <w:rPr>
                <w:rFonts w:ascii="Verdana" w:hAnsi="Verdana"/>
                <w:b/>
                <w:color w:val="000000"/>
              </w:rPr>
              <w:t>s</w:t>
            </w:r>
            <w:r w:rsidRPr="00BA1E5D">
              <w:rPr>
                <w:rFonts w:ascii="Verdana" w:hAnsi="Verdana"/>
                <w:color w:val="000000"/>
              </w:rPr>
              <w:t xml:space="preserve"> option.</w:t>
            </w:r>
          </w:p>
          <w:p w14:paraId="6C226236" w14:textId="499091BA" w:rsidR="00CA08A9" w:rsidRPr="00BA1E5D" w:rsidRDefault="00CA08A9" w:rsidP="00EC3C72">
            <w:pPr>
              <w:spacing w:before="120" w:after="120"/>
              <w:ind w:left="360"/>
              <w:rPr>
                <w:rFonts w:ascii="Verdana" w:hAnsi="Verdana"/>
                <w:color w:val="000000"/>
              </w:rPr>
            </w:pPr>
            <w:r w:rsidRPr="00BA1E5D">
              <w:rPr>
                <w:rFonts w:ascii="Verdana" w:hAnsi="Verdana"/>
                <w:b/>
                <w:color w:val="000000"/>
              </w:rPr>
              <w:t>Note:</w:t>
            </w:r>
            <w:r w:rsidRPr="00BA1E5D">
              <w:rPr>
                <w:rFonts w:ascii="Verdana" w:hAnsi="Verdana"/>
                <w:color w:val="000000"/>
              </w:rPr>
              <w:t xml:space="preserve"> If the Savings button is not displaying, this indicates it is not a capsule or tablet form and not eligible.</w:t>
            </w:r>
          </w:p>
          <w:p w14:paraId="7E1EAE4B" w14:textId="77777777" w:rsidR="00CA08A9" w:rsidRDefault="0046483E" w:rsidP="00EC3C72">
            <w:pPr>
              <w:autoSpaceDE w:val="0"/>
              <w:autoSpaceDN w:val="0"/>
              <w:adjustRightInd w:val="0"/>
              <w:spacing w:before="120" w:after="120"/>
              <w:jc w:val="center"/>
              <w:rPr>
                <w:noProof/>
              </w:rPr>
            </w:pPr>
            <w:r>
              <w:rPr>
                <w:noProof/>
              </w:rPr>
              <w:drawing>
                <wp:inline distT="0" distB="0" distL="0" distR="0" wp14:anchorId="0EAD9B73" wp14:editId="3DCCB005">
                  <wp:extent cx="6400800" cy="48207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4820728"/>
                          </a:xfrm>
                          <a:prstGeom prst="rect">
                            <a:avLst/>
                          </a:prstGeom>
                        </pic:spPr>
                      </pic:pic>
                    </a:graphicData>
                  </a:graphic>
                </wp:inline>
              </w:drawing>
            </w:r>
          </w:p>
          <w:p w14:paraId="7A117D09" w14:textId="4A3372D9" w:rsidR="00CA08A9" w:rsidRPr="00CD4358" w:rsidRDefault="00CA08A9" w:rsidP="00EC3C72">
            <w:pPr>
              <w:spacing w:before="120" w:after="120"/>
              <w:rPr>
                <w:rFonts w:ascii="Verdana" w:hAnsi="Verdana"/>
                <w:color w:val="000000"/>
              </w:rPr>
            </w:pPr>
            <w:r w:rsidRPr="00CD4358">
              <w:rPr>
                <w:rFonts w:ascii="Verdana" w:hAnsi="Verdana"/>
                <w:b/>
                <w:color w:val="000000"/>
              </w:rPr>
              <w:t>Result:</w:t>
            </w:r>
            <w:r w:rsidRPr="00CD4358">
              <w:rPr>
                <w:rFonts w:ascii="Verdana" w:hAnsi="Verdana"/>
                <w:color w:val="000000"/>
              </w:rPr>
              <w:t xml:space="preserve"> </w:t>
            </w:r>
            <w:r w:rsidR="00B04113">
              <w:rPr>
                <w:rFonts w:ascii="Verdana" w:hAnsi="Verdana"/>
                <w:color w:val="000000"/>
              </w:rPr>
              <w:t>U</w:t>
            </w:r>
            <w:r w:rsidR="00192B7E">
              <w:rPr>
                <w:rFonts w:ascii="Verdana" w:hAnsi="Verdana"/>
                <w:color w:val="000000"/>
              </w:rPr>
              <w:t>p to five</w:t>
            </w:r>
            <w:r w:rsidR="00EC3C72">
              <w:rPr>
                <w:rFonts w:ascii="Verdana" w:hAnsi="Verdana"/>
                <w:color w:val="000000"/>
              </w:rPr>
              <w:t xml:space="preserve"> </w:t>
            </w:r>
            <w:r w:rsidR="00192B7E">
              <w:rPr>
                <w:rFonts w:ascii="Verdana" w:hAnsi="Verdana"/>
                <w:color w:val="000000"/>
              </w:rPr>
              <w:t>drug</w:t>
            </w:r>
            <w:r w:rsidRPr="00CD4358">
              <w:rPr>
                <w:rFonts w:ascii="Verdana" w:hAnsi="Verdana"/>
                <w:color w:val="000000"/>
              </w:rPr>
              <w:t xml:space="preserve"> alternatives display with the usual daily dose.</w:t>
            </w:r>
          </w:p>
          <w:p w14:paraId="0BF6C3F9" w14:textId="32C9C659" w:rsidR="00036329" w:rsidRPr="00726854" w:rsidRDefault="00CA08A9" w:rsidP="00EC3C72">
            <w:pPr>
              <w:spacing w:before="120" w:after="120"/>
              <w:rPr>
                <w:rFonts w:ascii="Verdana" w:hAnsi="Verdana"/>
                <w:color w:val="000000"/>
              </w:rPr>
            </w:pPr>
            <w:r w:rsidRPr="00CD4358">
              <w:rPr>
                <w:rFonts w:ascii="Verdana" w:hAnsi="Verdana"/>
                <w:b/>
                <w:color w:val="000000"/>
              </w:rPr>
              <w:t>Example:</w:t>
            </w:r>
            <w:r w:rsidRPr="00CD4358">
              <w:rPr>
                <w:rFonts w:ascii="Verdana" w:hAnsi="Verdana"/>
                <w:color w:val="000000"/>
              </w:rPr>
              <w:t xml:space="preserve"> Alternate Drugs for Mail and POS</w:t>
            </w:r>
          </w:p>
        </w:tc>
      </w:tr>
      <w:tr w:rsidR="00036329" w:rsidRPr="00F55D9A" w14:paraId="1E19E5D2" w14:textId="77777777" w:rsidTr="00DB51F4">
        <w:tc>
          <w:tcPr>
            <w:tcW w:w="351" w:type="pct"/>
          </w:tcPr>
          <w:p w14:paraId="7AF0B88F" w14:textId="77777777" w:rsidR="00036329" w:rsidRDefault="00036329" w:rsidP="00EC3C72">
            <w:pPr>
              <w:spacing w:before="120" w:after="120"/>
              <w:jc w:val="center"/>
              <w:rPr>
                <w:rFonts w:ascii="Verdana" w:hAnsi="Verdana"/>
                <w:b/>
              </w:rPr>
            </w:pPr>
            <w:r>
              <w:rPr>
                <w:rFonts w:ascii="Verdana" w:hAnsi="Verdana"/>
                <w:b/>
              </w:rPr>
              <w:t>2</w:t>
            </w:r>
          </w:p>
        </w:tc>
        <w:tc>
          <w:tcPr>
            <w:tcW w:w="4649" w:type="pct"/>
          </w:tcPr>
          <w:p w14:paraId="7FE53DE8" w14:textId="77777777" w:rsidR="00CA08A9" w:rsidRDefault="00CA08A9" w:rsidP="00EC3C72">
            <w:pPr>
              <w:spacing w:before="120" w:after="120"/>
              <w:rPr>
                <w:rFonts w:ascii="Verdana" w:hAnsi="Verdana"/>
                <w:color w:val="000000"/>
              </w:rPr>
            </w:pPr>
            <w:r w:rsidRPr="00CD4358">
              <w:rPr>
                <w:rFonts w:ascii="Verdana" w:hAnsi="Verdana"/>
                <w:b/>
                <w:color w:val="000000"/>
              </w:rPr>
              <w:t xml:space="preserve">Read the mandatory disclaimer </w:t>
            </w:r>
            <w:r w:rsidRPr="005D6E33">
              <w:rPr>
                <w:rFonts w:ascii="Verdana" w:hAnsi="Verdana"/>
                <w:color w:val="000000"/>
              </w:rPr>
              <w:t>to the member displaying on the screen</w:t>
            </w:r>
            <w:r>
              <w:rPr>
                <w:rFonts w:ascii="Verdana" w:hAnsi="Verdana"/>
                <w:color w:val="000000"/>
              </w:rPr>
              <w:t>:</w:t>
            </w:r>
          </w:p>
          <w:p w14:paraId="1884E625" w14:textId="0248CCCE" w:rsidR="00CA08A9" w:rsidRPr="00986999" w:rsidRDefault="00CA08A9" w:rsidP="00986999">
            <w:pPr>
              <w:spacing w:before="120" w:after="120"/>
              <w:rPr>
                <w:rFonts w:ascii="Verdana" w:hAnsi="Verdana"/>
                <w:color w:val="000000"/>
              </w:rPr>
            </w:pPr>
            <w:r w:rsidRPr="00986999">
              <w:rPr>
                <w:rFonts w:ascii="Verdana" w:hAnsi="Verdana"/>
                <w:color w:val="000000"/>
              </w:rPr>
              <w:t xml:space="preserve">The alternatives provided are suggestions and not an all-inclusive list. </w:t>
            </w:r>
            <w:r w:rsidR="00EC3C72" w:rsidRPr="00986999">
              <w:rPr>
                <w:rFonts w:ascii="Verdana" w:hAnsi="Verdana"/>
                <w:color w:val="000000"/>
              </w:rPr>
              <w:t xml:space="preserve">The member </w:t>
            </w:r>
            <w:r w:rsidRPr="00986999">
              <w:rPr>
                <w:rFonts w:ascii="Verdana" w:hAnsi="Verdana"/>
                <w:color w:val="000000"/>
              </w:rPr>
              <w:t xml:space="preserve">should discuss these and other treatment options with </w:t>
            </w:r>
            <w:r w:rsidR="00EC3C72" w:rsidRPr="00986999">
              <w:rPr>
                <w:rFonts w:ascii="Verdana" w:hAnsi="Verdana"/>
                <w:color w:val="000000"/>
              </w:rPr>
              <w:t xml:space="preserve">their </w:t>
            </w:r>
            <w:r w:rsidRPr="00986999">
              <w:rPr>
                <w:rFonts w:ascii="Verdana" w:hAnsi="Verdana"/>
                <w:color w:val="000000"/>
              </w:rPr>
              <w:t xml:space="preserve">physician.  </w:t>
            </w:r>
          </w:p>
          <w:p w14:paraId="031981C9" w14:textId="3A7A670C" w:rsidR="006F659D" w:rsidRPr="00986999" w:rsidRDefault="0072097A" w:rsidP="00986999">
            <w:pPr>
              <w:autoSpaceDE w:val="0"/>
              <w:autoSpaceDN w:val="0"/>
              <w:adjustRightInd w:val="0"/>
              <w:spacing w:before="120" w:after="120"/>
              <w:rPr>
                <w:rFonts w:ascii="Verdana" w:hAnsi="Verdana"/>
                <w:color w:val="000000"/>
              </w:rPr>
            </w:pPr>
            <w:r>
              <w:rPr>
                <w:rFonts w:ascii="Verdana" w:hAnsi="Verdana"/>
                <w:b/>
                <w:noProof/>
                <w:color w:val="000000"/>
              </w:rPr>
              <w:drawing>
                <wp:inline distT="0" distB="0" distL="0" distR="0" wp14:anchorId="59AF3647" wp14:editId="1C8AABA1">
                  <wp:extent cx="304762" cy="304762"/>
                  <wp:effectExtent l="0" t="0" r="635" b="635"/>
                  <wp:docPr id="1403845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45135" name="Picture 1403845135"/>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6F659D" w:rsidRPr="000F7A56">
              <w:rPr>
                <w:rFonts w:ascii="Verdana" w:hAnsi="Verdana"/>
                <w:b/>
                <w:color w:val="000000"/>
              </w:rPr>
              <w:t>Note:</w:t>
            </w:r>
            <w:r>
              <w:rPr>
                <w:rFonts w:ascii="Verdana" w:hAnsi="Verdana"/>
                <w:color w:val="000000"/>
              </w:rPr>
              <w:t xml:space="preserve"> </w:t>
            </w:r>
            <w:r w:rsidR="006F659D">
              <w:rPr>
                <w:rFonts w:ascii="Verdana" w:hAnsi="Verdana"/>
                <w:color w:val="000000"/>
              </w:rPr>
              <w:t>The Test Claim Alternative functionality is always the primary option for determining the availability of additional formulary and non-formulary alternatives. If alternatives do not display or if the Test Claim Alternative functionality is down, warm transfer the member to Clinical Care Services for assistance.</w:t>
            </w:r>
          </w:p>
          <w:p w14:paraId="703E6AC6" w14:textId="77777777" w:rsidR="00830F9F" w:rsidRPr="00830F9F" w:rsidRDefault="00830F9F" w:rsidP="00830F9F">
            <w:pPr>
              <w:spacing w:before="120" w:after="120"/>
              <w:ind w:left="360"/>
              <w:rPr>
                <w:rFonts w:ascii="Verdana" w:hAnsi="Verdana"/>
                <w:color w:val="000000"/>
              </w:rPr>
            </w:pPr>
          </w:p>
          <w:p w14:paraId="778A3B12" w14:textId="77777777" w:rsidR="00036329" w:rsidRDefault="0046483E" w:rsidP="0046483E">
            <w:pPr>
              <w:spacing w:before="120" w:after="120"/>
              <w:ind w:left="360"/>
              <w:jc w:val="center"/>
              <w:rPr>
                <w:rFonts w:ascii="Verdana" w:hAnsi="Verdana"/>
                <w:color w:val="000000"/>
              </w:rPr>
            </w:pPr>
            <w:r>
              <w:rPr>
                <w:noProof/>
              </w:rPr>
              <w:drawing>
                <wp:inline distT="0" distB="0" distL="0" distR="0" wp14:anchorId="0B59CFF6" wp14:editId="0C1F7601">
                  <wp:extent cx="6400800" cy="47503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4750346"/>
                          </a:xfrm>
                          <a:prstGeom prst="rect">
                            <a:avLst/>
                          </a:prstGeom>
                        </pic:spPr>
                      </pic:pic>
                    </a:graphicData>
                  </a:graphic>
                </wp:inline>
              </w:drawing>
            </w:r>
          </w:p>
          <w:p w14:paraId="3D7DCC78" w14:textId="76DF81FA" w:rsidR="00830F9F" w:rsidRPr="00CD4358" w:rsidRDefault="00830F9F" w:rsidP="0046483E">
            <w:pPr>
              <w:spacing w:before="120" w:after="120"/>
              <w:ind w:left="360"/>
              <w:jc w:val="center"/>
              <w:rPr>
                <w:rFonts w:ascii="Verdana" w:hAnsi="Verdana"/>
                <w:color w:val="000000"/>
              </w:rPr>
            </w:pPr>
          </w:p>
        </w:tc>
      </w:tr>
      <w:tr w:rsidR="00036329" w:rsidRPr="00F55D9A" w14:paraId="4E7C4C1F" w14:textId="77777777" w:rsidTr="00DB51F4">
        <w:tc>
          <w:tcPr>
            <w:tcW w:w="351" w:type="pct"/>
          </w:tcPr>
          <w:p w14:paraId="6292750A" w14:textId="77777777" w:rsidR="00036329" w:rsidRDefault="00036329" w:rsidP="00EC3C72">
            <w:pPr>
              <w:spacing w:before="120" w:after="120"/>
              <w:jc w:val="center"/>
              <w:rPr>
                <w:rFonts w:ascii="Verdana" w:hAnsi="Verdana"/>
                <w:b/>
              </w:rPr>
            </w:pPr>
            <w:r>
              <w:rPr>
                <w:rFonts w:ascii="Verdana" w:hAnsi="Verdana"/>
                <w:b/>
              </w:rPr>
              <w:t>3</w:t>
            </w:r>
          </w:p>
        </w:tc>
        <w:tc>
          <w:tcPr>
            <w:tcW w:w="4649" w:type="pct"/>
          </w:tcPr>
          <w:p w14:paraId="27A0F2FA" w14:textId="77777777" w:rsidR="00CA08A9" w:rsidRDefault="00CA08A9" w:rsidP="00EC3C72">
            <w:pPr>
              <w:spacing w:before="120" w:after="120"/>
              <w:rPr>
                <w:rFonts w:ascii="Verdana" w:hAnsi="Verdana"/>
                <w:color w:val="000000"/>
              </w:rPr>
            </w:pPr>
            <w:r w:rsidRPr="00CD4358">
              <w:rPr>
                <w:rFonts w:ascii="Verdana" w:hAnsi="Verdana"/>
                <w:color w:val="000000"/>
              </w:rPr>
              <w:t xml:space="preserve">Locate the </w:t>
            </w:r>
            <w:r w:rsidRPr="00CD4358">
              <w:rPr>
                <w:rFonts w:ascii="Verdana" w:hAnsi="Verdana"/>
                <w:b/>
                <w:color w:val="000000"/>
              </w:rPr>
              <w:t>Discussed with Member</w:t>
            </w:r>
            <w:r w:rsidRPr="00CD4358">
              <w:rPr>
                <w:rFonts w:ascii="Verdana" w:hAnsi="Verdana"/>
                <w:color w:val="000000"/>
              </w:rPr>
              <w:t xml:space="preserve"> field; select the checkbox for each alternative discussed.</w:t>
            </w:r>
          </w:p>
          <w:p w14:paraId="3CBEF7BE" w14:textId="77777777" w:rsidR="00785772" w:rsidRPr="00CD4358" w:rsidRDefault="00785772" w:rsidP="00EC3C72">
            <w:pPr>
              <w:spacing w:before="120" w:after="120"/>
              <w:rPr>
                <w:rFonts w:ascii="Verdana" w:hAnsi="Verdana"/>
                <w:color w:val="000000"/>
              </w:rPr>
            </w:pPr>
          </w:p>
          <w:p w14:paraId="64961B56" w14:textId="77777777" w:rsidR="00CA08A9" w:rsidRDefault="0046483E" w:rsidP="00EC3C72">
            <w:pPr>
              <w:autoSpaceDE w:val="0"/>
              <w:autoSpaceDN w:val="0"/>
              <w:adjustRightInd w:val="0"/>
              <w:spacing w:before="120" w:after="120"/>
              <w:jc w:val="center"/>
              <w:rPr>
                <w:noProof/>
              </w:rPr>
            </w:pPr>
            <w:r>
              <w:rPr>
                <w:noProof/>
              </w:rPr>
              <w:drawing>
                <wp:inline distT="0" distB="0" distL="0" distR="0" wp14:anchorId="00638174" wp14:editId="0469FCA9">
                  <wp:extent cx="6401355" cy="12574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1355" cy="1257409"/>
                          </a:xfrm>
                          <a:prstGeom prst="rect">
                            <a:avLst/>
                          </a:prstGeom>
                        </pic:spPr>
                      </pic:pic>
                    </a:graphicData>
                  </a:graphic>
                </wp:inline>
              </w:drawing>
            </w:r>
          </w:p>
          <w:p w14:paraId="6DA3AD1F" w14:textId="77777777" w:rsidR="00CA08A9" w:rsidRPr="00CD4358" w:rsidRDefault="00CA08A9" w:rsidP="00EC3C72">
            <w:pPr>
              <w:spacing w:before="120" w:after="120"/>
              <w:rPr>
                <w:rFonts w:ascii="Verdana" w:hAnsi="Verdana"/>
                <w:color w:val="000000"/>
              </w:rPr>
            </w:pPr>
            <w:r w:rsidRPr="00CD4358">
              <w:rPr>
                <w:rFonts w:ascii="Verdana" w:hAnsi="Verdana"/>
                <w:b/>
                <w:color w:val="000000"/>
              </w:rPr>
              <w:t>Notes:</w:t>
            </w:r>
            <w:r w:rsidRPr="00CD4358">
              <w:rPr>
                <w:rFonts w:ascii="Verdana" w:hAnsi="Verdana"/>
                <w:color w:val="000000"/>
              </w:rPr>
              <w:t xml:space="preserve">  </w:t>
            </w:r>
          </w:p>
          <w:p w14:paraId="3B357A45" w14:textId="77777777" w:rsidR="00CA08A9" w:rsidRPr="00CD4358" w:rsidRDefault="00CA08A9" w:rsidP="00417F51">
            <w:pPr>
              <w:numPr>
                <w:ilvl w:val="0"/>
                <w:numId w:val="3"/>
              </w:numPr>
              <w:spacing w:before="120" w:after="120"/>
              <w:rPr>
                <w:rFonts w:ascii="Verdana" w:hAnsi="Verdana"/>
                <w:color w:val="000000"/>
              </w:rPr>
            </w:pPr>
            <w:r w:rsidRPr="00CD4358">
              <w:rPr>
                <w:rFonts w:ascii="Verdana" w:hAnsi="Verdana"/>
                <w:color w:val="000000"/>
              </w:rPr>
              <w:t>Only the medications included in the member’s formulary displays.</w:t>
            </w:r>
          </w:p>
          <w:p w14:paraId="0DA07439" w14:textId="77777777" w:rsidR="00CA08A9" w:rsidRPr="00CD4358" w:rsidRDefault="00CA08A9" w:rsidP="00417F51">
            <w:pPr>
              <w:numPr>
                <w:ilvl w:val="0"/>
                <w:numId w:val="3"/>
              </w:numPr>
              <w:spacing w:before="120" w:after="120"/>
              <w:contextualSpacing/>
              <w:rPr>
                <w:rFonts w:ascii="Verdana" w:hAnsi="Verdana"/>
                <w:color w:val="000000"/>
              </w:rPr>
            </w:pPr>
            <w:r w:rsidRPr="00CD4358">
              <w:rPr>
                <w:rFonts w:ascii="Verdana" w:hAnsi="Verdana"/>
                <w:color w:val="000000"/>
              </w:rPr>
              <w:t xml:space="preserve">If no alternative medications display this may indicate:  </w:t>
            </w:r>
          </w:p>
          <w:p w14:paraId="5F97694D" w14:textId="77777777" w:rsidR="00CA08A9" w:rsidRPr="00CD4358" w:rsidRDefault="00CA08A9" w:rsidP="00417F51">
            <w:pPr>
              <w:numPr>
                <w:ilvl w:val="1"/>
                <w:numId w:val="4"/>
              </w:numPr>
              <w:spacing w:before="120" w:after="120"/>
              <w:ind w:left="671"/>
              <w:contextualSpacing/>
              <w:rPr>
                <w:rFonts w:ascii="Verdana" w:hAnsi="Verdana"/>
                <w:color w:val="000000"/>
              </w:rPr>
            </w:pPr>
            <w:r w:rsidRPr="00CD4358">
              <w:rPr>
                <w:rFonts w:ascii="Verdana" w:hAnsi="Verdana"/>
                <w:color w:val="000000"/>
              </w:rPr>
              <w:t>There are more than five alternatives available</w:t>
            </w:r>
            <w:r>
              <w:rPr>
                <w:rFonts w:ascii="Verdana" w:hAnsi="Verdana"/>
                <w:color w:val="000000"/>
              </w:rPr>
              <w:t>.</w:t>
            </w:r>
            <w:r w:rsidRPr="00CD4358">
              <w:rPr>
                <w:rFonts w:ascii="Verdana" w:hAnsi="Verdana"/>
                <w:color w:val="000000"/>
              </w:rPr>
              <w:t xml:space="preserve"> </w:t>
            </w:r>
          </w:p>
          <w:p w14:paraId="4EAF8A76" w14:textId="77777777" w:rsidR="00CA08A9" w:rsidRPr="00CD4358" w:rsidRDefault="00CA08A9" w:rsidP="00417F51">
            <w:pPr>
              <w:numPr>
                <w:ilvl w:val="1"/>
                <w:numId w:val="4"/>
              </w:numPr>
              <w:spacing w:before="120" w:after="120"/>
              <w:ind w:left="671"/>
              <w:contextualSpacing/>
              <w:rPr>
                <w:rFonts w:ascii="Verdana" w:hAnsi="Verdana"/>
                <w:color w:val="000000"/>
              </w:rPr>
            </w:pPr>
            <w:r w:rsidRPr="00CD4358">
              <w:rPr>
                <w:rFonts w:ascii="Verdana" w:hAnsi="Verdana"/>
                <w:color w:val="000000"/>
              </w:rPr>
              <w:t>Alternate drugs belong to a higher tier or are not co</w:t>
            </w:r>
            <w:r>
              <w:rPr>
                <w:rFonts w:ascii="Verdana" w:hAnsi="Verdana"/>
                <w:color w:val="000000"/>
              </w:rPr>
              <w:t>vered by the member’s formulary.</w:t>
            </w:r>
          </w:p>
          <w:p w14:paraId="3F5FA264" w14:textId="77777777" w:rsidR="00CA08A9" w:rsidRPr="00CD4358" w:rsidRDefault="00CA08A9" w:rsidP="00417F51">
            <w:pPr>
              <w:numPr>
                <w:ilvl w:val="1"/>
                <w:numId w:val="4"/>
              </w:numPr>
              <w:spacing w:before="120" w:after="120"/>
              <w:ind w:left="671"/>
              <w:contextualSpacing/>
              <w:rPr>
                <w:rFonts w:ascii="Verdana" w:hAnsi="Verdana"/>
                <w:color w:val="000000"/>
              </w:rPr>
            </w:pPr>
            <w:r>
              <w:rPr>
                <w:rFonts w:ascii="Verdana" w:hAnsi="Verdana"/>
              </w:rPr>
              <w:t xml:space="preserve">A </w:t>
            </w:r>
            <w:r w:rsidRPr="00CD4358">
              <w:rPr>
                <w:rFonts w:ascii="Verdana" w:hAnsi="Verdana"/>
              </w:rPr>
              <w:t>Maintenance Drug</w:t>
            </w:r>
            <w:r>
              <w:rPr>
                <w:rFonts w:ascii="Verdana" w:hAnsi="Verdana"/>
              </w:rPr>
              <w:t>.</w:t>
            </w:r>
          </w:p>
          <w:p w14:paraId="52E5A1C8" w14:textId="3B7E96BA" w:rsidR="00036329" w:rsidRPr="00CD4358" w:rsidRDefault="00CA08A9" w:rsidP="00EC3C72">
            <w:pPr>
              <w:spacing w:before="120" w:after="120"/>
              <w:ind w:left="671"/>
              <w:contextualSpacing/>
              <w:rPr>
                <w:rFonts w:ascii="Verdana" w:hAnsi="Verdana"/>
                <w:color w:val="000000"/>
              </w:rPr>
            </w:pPr>
            <w:r w:rsidRPr="00D76079">
              <w:rPr>
                <w:rFonts w:ascii="Verdana" w:hAnsi="Verdana"/>
                <w:b/>
                <w:color w:val="000000"/>
              </w:rPr>
              <w:t>Note:</w:t>
            </w:r>
            <w:r>
              <w:rPr>
                <w:rFonts w:ascii="Verdana" w:hAnsi="Verdana"/>
                <w:color w:val="000000"/>
              </w:rPr>
              <w:t xml:space="preserve"> </w:t>
            </w:r>
            <w:r w:rsidRPr="00CD4358">
              <w:rPr>
                <w:rFonts w:ascii="Verdana" w:hAnsi="Verdana"/>
                <w:color w:val="000000"/>
              </w:rPr>
              <w:t xml:space="preserve">Due to </w:t>
            </w:r>
            <w:r w:rsidR="00B601AA" w:rsidRPr="00CD4358">
              <w:rPr>
                <w:rFonts w:ascii="Verdana" w:hAnsi="Verdana"/>
                <w:color w:val="000000"/>
              </w:rPr>
              <w:t>the above</w:t>
            </w:r>
            <w:r w:rsidRPr="00CD4358">
              <w:rPr>
                <w:rFonts w:ascii="Verdana" w:hAnsi="Verdana"/>
                <w:color w:val="000000"/>
              </w:rPr>
              <w:t xml:space="preserve"> </w:t>
            </w:r>
            <w:r w:rsidR="00B601AA" w:rsidRPr="00CD4358">
              <w:rPr>
                <w:rFonts w:ascii="Verdana" w:hAnsi="Verdana"/>
                <w:color w:val="000000"/>
              </w:rPr>
              <w:t>reasons,</w:t>
            </w:r>
            <w:r w:rsidRPr="00CD4358">
              <w:rPr>
                <w:rFonts w:ascii="Verdana" w:hAnsi="Verdana"/>
                <w:color w:val="000000"/>
              </w:rPr>
              <w:t xml:space="preserve"> there may be situations in which the database does not supply any alternatives although alternatives exist.</w:t>
            </w:r>
            <w:r w:rsidR="00AE316A">
              <w:rPr>
                <w:rFonts w:ascii="Verdana" w:hAnsi="Verdana"/>
                <w:color w:val="000000"/>
              </w:rPr>
              <w:t xml:space="preserve"> </w:t>
            </w:r>
            <w:r w:rsidRPr="00CD4358">
              <w:rPr>
                <w:rFonts w:ascii="Verdana" w:hAnsi="Verdana"/>
                <w:color w:val="000000"/>
              </w:rPr>
              <w:t>Follow current processes for your specific Line of Business to determine if an alternative exists in these scenarios.</w:t>
            </w:r>
          </w:p>
        </w:tc>
      </w:tr>
      <w:tr w:rsidR="00036329" w:rsidRPr="00F55D9A" w14:paraId="231E0CB0" w14:textId="77777777" w:rsidTr="00DB51F4">
        <w:tc>
          <w:tcPr>
            <w:tcW w:w="351" w:type="pct"/>
          </w:tcPr>
          <w:p w14:paraId="118132A2" w14:textId="77777777" w:rsidR="00036329" w:rsidRDefault="00036329" w:rsidP="00EC3C72">
            <w:pPr>
              <w:spacing w:before="120" w:after="120"/>
              <w:jc w:val="center"/>
              <w:rPr>
                <w:rFonts w:ascii="Verdana" w:hAnsi="Verdana"/>
                <w:b/>
              </w:rPr>
            </w:pPr>
            <w:r>
              <w:rPr>
                <w:rFonts w:ascii="Verdana" w:hAnsi="Verdana"/>
                <w:b/>
              </w:rPr>
              <w:t>4</w:t>
            </w:r>
          </w:p>
        </w:tc>
        <w:tc>
          <w:tcPr>
            <w:tcW w:w="4649" w:type="pct"/>
          </w:tcPr>
          <w:p w14:paraId="24801D83" w14:textId="77777777" w:rsidR="00CA08A9" w:rsidRDefault="00CA08A9" w:rsidP="00EC3C72">
            <w:pPr>
              <w:pStyle w:val="ListParagraph"/>
              <w:spacing w:before="120" w:after="120"/>
              <w:ind w:left="0"/>
              <w:rPr>
                <w:rFonts w:ascii="Verdana" w:hAnsi="Verdana"/>
                <w:color w:val="000000"/>
              </w:rPr>
            </w:pPr>
            <w:bookmarkStart w:id="4" w:name="AdditionalAlternatives"/>
            <w:r>
              <w:rPr>
                <w:rFonts w:ascii="Verdana" w:hAnsi="Verdana"/>
                <w:b/>
                <w:color w:val="000000"/>
              </w:rPr>
              <w:t>Additional Alternatives</w:t>
            </w:r>
            <w:bookmarkEnd w:id="4"/>
            <w:r>
              <w:rPr>
                <w:rFonts w:ascii="Verdana" w:hAnsi="Verdana"/>
                <w:b/>
                <w:color w:val="000000"/>
              </w:rPr>
              <w:t>:</w:t>
            </w:r>
          </w:p>
          <w:p w14:paraId="61F8E7F4" w14:textId="52DA7AA6" w:rsidR="00CA08A9" w:rsidRPr="00B73B6B" w:rsidRDefault="00CA08A9" w:rsidP="00EC3C72">
            <w:pPr>
              <w:spacing w:before="120" w:after="120"/>
              <w:rPr>
                <w:rFonts w:ascii="Verdana" w:hAnsi="Verdana"/>
                <w:color w:val="1F497D"/>
                <w:sz w:val="22"/>
                <w:szCs w:val="22"/>
              </w:rPr>
            </w:pPr>
            <w:r>
              <w:rPr>
                <w:rFonts w:ascii="Verdana" w:hAnsi="Verdana"/>
              </w:rPr>
              <w:t xml:space="preserve">Select </w:t>
            </w:r>
            <w:r w:rsidR="00B601AA" w:rsidRPr="00F60C27">
              <w:rPr>
                <w:rFonts w:ascii="Verdana" w:hAnsi="Verdana"/>
                <w:b/>
              </w:rPr>
              <w:t>the Additional</w:t>
            </w:r>
            <w:r w:rsidRPr="00F60C27">
              <w:rPr>
                <w:rFonts w:ascii="Verdana" w:hAnsi="Verdana"/>
                <w:b/>
              </w:rPr>
              <w:t xml:space="preserve"> Alternatives</w:t>
            </w:r>
            <w:r w:rsidRPr="00F60C27">
              <w:rPr>
                <w:rFonts w:ascii="Verdana" w:hAnsi="Verdana"/>
              </w:rPr>
              <w:t xml:space="preserve"> button (bottom of screen) to display another list of Formulary and Therapeutic alternatives</w:t>
            </w:r>
            <w:r w:rsidRPr="00F60C27">
              <w:rPr>
                <w:rFonts w:ascii="Verdana" w:hAnsi="Verdana"/>
                <w:color w:val="1F497D"/>
              </w:rPr>
              <w:t>.</w:t>
            </w:r>
            <w:r>
              <w:rPr>
                <w:rFonts w:ascii="Verdana" w:hAnsi="Verdana"/>
                <w:color w:val="1F497D"/>
              </w:rPr>
              <w:t xml:space="preserve">  </w:t>
            </w:r>
          </w:p>
          <w:p w14:paraId="24E772C7" w14:textId="77777777" w:rsidR="00CA08A9" w:rsidRDefault="0046483E" w:rsidP="0046483E">
            <w:pPr>
              <w:spacing w:before="120" w:after="120"/>
              <w:jc w:val="center"/>
              <w:rPr>
                <w:rFonts w:ascii="Verdana" w:hAnsi="Verdana"/>
                <w:b/>
              </w:rPr>
            </w:pPr>
            <w:r>
              <w:rPr>
                <w:noProof/>
              </w:rPr>
              <w:drawing>
                <wp:inline distT="0" distB="0" distL="0" distR="0" wp14:anchorId="710E97BD" wp14:editId="121912C3">
                  <wp:extent cx="6400800" cy="15466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1546604"/>
                          </a:xfrm>
                          <a:prstGeom prst="rect">
                            <a:avLst/>
                          </a:prstGeom>
                        </pic:spPr>
                      </pic:pic>
                    </a:graphicData>
                  </a:graphic>
                </wp:inline>
              </w:drawing>
            </w:r>
          </w:p>
          <w:p w14:paraId="5E2B0ECA" w14:textId="02693F6E" w:rsidR="00CA08A9" w:rsidRPr="00FD7536" w:rsidRDefault="00CA08A9" w:rsidP="00EC3C72">
            <w:pPr>
              <w:spacing w:before="120" w:after="120"/>
              <w:rPr>
                <w:rFonts w:ascii="Verdana" w:hAnsi="Verdana"/>
                <w:color w:val="1F497D"/>
                <w:sz w:val="22"/>
                <w:szCs w:val="22"/>
              </w:rPr>
            </w:pPr>
            <w:r w:rsidRPr="00B73B6B">
              <w:rPr>
                <w:rFonts w:ascii="Verdana" w:hAnsi="Verdana"/>
                <w:b/>
              </w:rPr>
              <w:t>Tip</w:t>
            </w:r>
            <w:r w:rsidRPr="00B73B6B">
              <w:rPr>
                <w:rFonts w:ascii="Verdana" w:hAnsi="Verdana"/>
                <w:b/>
                <w:color w:val="000000"/>
              </w:rPr>
              <w:t>:</w:t>
            </w:r>
            <w:r>
              <w:rPr>
                <w:rFonts w:ascii="Verdana" w:hAnsi="Verdana"/>
                <w:color w:val="000000"/>
              </w:rPr>
              <w:t xml:space="preserve"> </w:t>
            </w:r>
            <w:r w:rsidRPr="008528B6">
              <w:rPr>
                <w:rFonts w:ascii="Verdana" w:hAnsi="Verdana"/>
                <w:color w:val="000000"/>
              </w:rPr>
              <w:t>This is good w</w:t>
            </w:r>
            <w:r w:rsidRPr="00F60C27">
              <w:rPr>
                <w:rFonts w:ascii="Verdana" w:hAnsi="Verdana"/>
              </w:rPr>
              <w:t>hen no results are displayed within the initial results, or if member indicates that the current list of Alternative Drugs does not work for them, for example have used prior or ineffective</w:t>
            </w:r>
            <w:r>
              <w:rPr>
                <w:rFonts w:ascii="Verdana" w:hAnsi="Verdana"/>
              </w:rPr>
              <w:t>.</w:t>
            </w:r>
          </w:p>
          <w:p w14:paraId="34E334B3" w14:textId="77777777" w:rsidR="00CA08A9" w:rsidRDefault="00627394" w:rsidP="00EC3C72">
            <w:pPr>
              <w:pStyle w:val="ListParagraph"/>
              <w:spacing w:before="120" w:after="120"/>
              <w:ind w:left="41"/>
              <w:rPr>
                <w:rFonts w:ascii="Verdana" w:hAnsi="Verdana"/>
                <w:color w:val="000000"/>
              </w:rPr>
            </w:pPr>
            <w:r w:rsidRPr="00CA08A9">
              <w:rPr>
                <w:rFonts w:ascii="Verdana" w:hAnsi="Verdana"/>
                <w:b/>
                <w:noProof/>
                <w:color w:val="000000"/>
              </w:rPr>
              <w:drawing>
                <wp:inline distT="0" distB="0" distL="0" distR="0" wp14:anchorId="4E1DC115" wp14:editId="6685283B">
                  <wp:extent cx="236220" cy="213360"/>
                  <wp:effectExtent l="0" t="0" r="0" b="0"/>
                  <wp:docPr id="5" name="Picture 49"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con - Important Inform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CA08A9">
              <w:rPr>
                <w:rFonts w:ascii="Verdana" w:hAnsi="Verdana"/>
                <w:b/>
                <w:color w:val="000000"/>
              </w:rPr>
              <w:t xml:space="preserve"> </w:t>
            </w:r>
            <w:r w:rsidR="00CA08A9">
              <w:rPr>
                <w:rFonts w:ascii="Verdana" w:hAnsi="Verdana"/>
                <w:color w:val="000000"/>
              </w:rPr>
              <w:t>Medications may include both Formulary and Therapeutic alternatives and is indicated by the “Formulary (Y/N)” column with test results.</w:t>
            </w:r>
          </w:p>
          <w:p w14:paraId="0B697E4A" w14:textId="77777777" w:rsidR="00CA08A9" w:rsidRPr="00904508" w:rsidRDefault="00CA08A9" w:rsidP="00EC3C72">
            <w:pPr>
              <w:spacing w:before="120" w:after="120"/>
              <w:ind w:left="360"/>
              <w:rPr>
                <w:rFonts w:ascii="Verdana" w:hAnsi="Verdana"/>
                <w:color w:val="1F497D"/>
                <w:sz w:val="22"/>
                <w:szCs w:val="22"/>
              </w:rPr>
            </w:pPr>
          </w:p>
          <w:p w14:paraId="691E8664" w14:textId="77777777" w:rsidR="00CA08A9" w:rsidRDefault="0046483E" w:rsidP="00EC3C72">
            <w:pPr>
              <w:spacing w:before="120" w:after="120"/>
              <w:jc w:val="center"/>
              <w:rPr>
                <w:rFonts w:ascii="Verdana" w:hAnsi="Verdana"/>
                <w:color w:val="1F497D"/>
                <w:sz w:val="22"/>
                <w:szCs w:val="22"/>
              </w:rPr>
            </w:pPr>
            <w:r>
              <w:rPr>
                <w:noProof/>
              </w:rPr>
              <w:drawing>
                <wp:inline distT="0" distB="0" distL="0" distR="0" wp14:anchorId="1D6544F7" wp14:editId="3D0F3873">
                  <wp:extent cx="6400800" cy="26403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2640330"/>
                          </a:xfrm>
                          <a:prstGeom prst="rect">
                            <a:avLst/>
                          </a:prstGeom>
                        </pic:spPr>
                      </pic:pic>
                    </a:graphicData>
                  </a:graphic>
                </wp:inline>
              </w:drawing>
            </w:r>
          </w:p>
          <w:p w14:paraId="53169C4B" w14:textId="77777777" w:rsidR="00CA08A9" w:rsidRPr="00B73B6B" w:rsidRDefault="00CA08A9" w:rsidP="0046483E">
            <w:pPr>
              <w:spacing w:before="120" w:after="120"/>
              <w:rPr>
                <w:rFonts w:ascii="Verdana" w:hAnsi="Verdana"/>
                <w:color w:val="000000"/>
              </w:rPr>
            </w:pPr>
            <w:r>
              <w:rPr>
                <w:rFonts w:ascii="Verdana" w:hAnsi="Verdana" w:cs="Segoe UI"/>
                <w:b/>
                <w:color w:val="333333"/>
              </w:rPr>
              <w:t xml:space="preserve"> </w:t>
            </w:r>
            <w:r w:rsidR="00627394" w:rsidRPr="00CA08A9">
              <w:rPr>
                <w:rFonts w:ascii="Verdana" w:hAnsi="Verdana"/>
                <w:noProof/>
                <w:color w:val="000000"/>
              </w:rPr>
              <w:drawing>
                <wp:inline distT="0" distB="0" distL="0" distR="0" wp14:anchorId="71B9B9C7" wp14:editId="7D18E998">
                  <wp:extent cx="236220" cy="21336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Pr>
                <w:rFonts w:ascii="Verdana" w:hAnsi="Verdana"/>
                <w:color w:val="000000"/>
              </w:rPr>
              <w:t xml:space="preserve"> </w:t>
            </w:r>
            <w:r w:rsidRPr="00B73B6B">
              <w:rPr>
                <w:rFonts w:ascii="Verdana" w:hAnsi="Verdana"/>
                <w:color w:val="000000"/>
              </w:rPr>
              <w:t xml:space="preserve">The alternatives displayed with these results </w:t>
            </w:r>
            <w:r w:rsidRPr="00B73B6B">
              <w:rPr>
                <w:rFonts w:ascii="Verdana" w:hAnsi="Verdana"/>
                <w:b/>
                <w:color w:val="000000"/>
              </w:rPr>
              <w:t>will NOT include</w:t>
            </w:r>
            <w:r w:rsidRPr="00B73B6B">
              <w:rPr>
                <w:rFonts w:ascii="Verdana" w:hAnsi="Verdana"/>
                <w:color w:val="000000"/>
              </w:rPr>
              <w:t xml:space="preserve"> formulary alternatives previously displayed with the initial results shown previously.</w:t>
            </w:r>
          </w:p>
          <w:p w14:paraId="2576CDA7" w14:textId="77777777" w:rsidR="00CA08A9" w:rsidRPr="00C91B3D" w:rsidRDefault="00CA08A9" w:rsidP="00EC3C72">
            <w:pPr>
              <w:pStyle w:val="ListParagraph"/>
              <w:spacing w:before="120" w:after="120"/>
              <w:rPr>
                <w:rFonts w:ascii="Verdana" w:hAnsi="Verdana"/>
                <w:color w:val="000000"/>
              </w:rPr>
            </w:pPr>
          </w:p>
          <w:p w14:paraId="59BC426E" w14:textId="3DAD3AA4" w:rsidR="00CA08A9" w:rsidRDefault="00CA08A9" w:rsidP="00EC3C72">
            <w:pPr>
              <w:autoSpaceDE w:val="0"/>
              <w:autoSpaceDN w:val="0"/>
              <w:adjustRightInd w:val="0"/>
              <w:spacing w:before="120" w:after="120"/>
              <w:rPr>
                <w:rFonts w:ascii="Verdana" w:hAnsi="Verdana"/>
                <w:color w:val="000000"/>
              </w:rPr>
            </w:pPr>
            <w:r w:rsidRPr="000F7A56">
              <w:rPr>
                <w:rFonts w:ascii="Verdana" w:hAnsi="Verdana"/>
                <w:b/>
                <w:color w:val="000000"/>
              </w:rPr>
              <w:t>Note:</w:t>
            </w:r>
            <w:r>
              <w:rPr>
                <w:rFonts w:ascii="Verdana" w:hAnsi="Verdana"/>
                <w:color w:val="000000"/>
              </w:rPr>
              <w:t xml:space="preserve"> </w:t>
            </w:r>
          </w:p>
          <w:p w14:paraId="7E12679E" w14:textId="6FC05ECB" w:rsidR="00036329" w:rsidRPr="00CC2769" w:rsidRDefault="00C00484" w:rsidP="00CC2769">
            <w:pPr>
              <w:numPr>
                <w:ilvl w:val="0"/>
                <w:numId w:val="5"/>
              </w:numPr>
              <w:autoSpaceDE w:val="0"/>
              <w:autoSpaceDN w:val="0"/>
              <w:adjustRightInd w:val="0"/>
              <w:spacing w:before="120" w:after="120"/>
              <w:ind w:left="360"/>
              <w:rPr>
                <w:rFonts w:ascii="Verdana" w:hAnsi="Verdana"/>
                <w:color w:val="000000"/>
              </w:rPr>
            </w:pPr>
            <w:r>
              <w:rPr>
                <w:rFonts w:ascii="Verdana" w:hAnsi="Verdana"/>
                <w:noProof/>
                <w:color w:val="000000"/>
              </w:rPr>
              <w:drawing>
                <wp:inline distT="0" distB="0" distL="0" distR="0" wp14:anchorId="62EA0347" wp14:editId="35E4AEF8">
                  <wp:extent cx="304762" cy="304762"/>
                  <wp:effectExtent l="0" t="0" r="635" b="635"/>
                  <wp:docPr id="7149075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07524" name="Picture 714907524"/>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CA08A9">
              <w:rPr>
                <w:rFonts w:ascii="Verdana" w:hAnsi="Verdana"/>
                <w:color w:val="000000"/>
              </w:rPr>
              <w:t xml:space="preserve">The Test Claim Alternative functionality is always the primary option for determining the availability of additional formulary and non-formulary alternatives. </w:t>
            </w:r>
            <w:r w:rsidR="00DC45B9">
              <w:rPr>
                <w:rFonts w:ascii="Verdana" w:hAnsi="Verdana"/>
                <w:color w:val="000000"/>
              </w:rPr>
              <w:t>If alternatives do not display</w:t>
            </w:r>
            <w:r w:rsidR="005045C0">
              <w:rPr>
                <w:rFonts w:ascii="Verdana" w:hAnsi="Verdana"/>
                <w:color w:val="000000"/>
              </w:rPr>
              <w:t xml:space="preserve"> or if the Test Claim Alternative functionality is down, warm transfer the member to </w:t>
            </w:r>
            <w:r w:rsidR="00190940">
              <w:rPr>
                <w:rFonts w:ascii="Verdana" w:hAnsi="Verdana"/>
                <w:color w:val="000000"/>
              </w:rPr>
              <w:t>Clinical Care Services for assistance.</w:t>
            </w:r>
          </w:p>
        </w:tc>
      </w:tr>
      <w:tr w:rsidR="00595A36" w:rsidRPr="00F55D9A" w14:paraId="55752565" w14:textId="77777777" w:rsidTr="00DB51F4">
        <w:tc>
          <w:tcPr>
            <w:tcW w:w="351" w:type="pct"/>
          </w:tcPr>
          <w:p w14:paraId="52D9922E" w14:textId="77777777" w:rsidR="00595A36" w:rsidRDefault="00595A36" w:rsidP="00EC3C72">
            <w:pPr>
              <w:spacing w:before="120" w:after="120"/>
              <w:jc w:val="center"/>
              <w:rPr>
                <w:rFonts w:ascii="Verdana" w:hAnsi="Verdana"/>
                <w:b/>
              </w:rPr>
            </w:pPr>
            <w:r>
              <w:rPr>
                <w:rFonts w:ascii="Verdana" w:hAnsi="Verdana"/>
                <w:b/>
              </w:rPr>
              <w:t>5</w:t>
            </w:r>
          </w:p>
        </w:tc>
        <w:tc>
          <w:tcPr>
            <w:tcW w:w="4649" w:type="pct"/>
          </w:tcPr>
          <w:p w14:paraId="0DF5F55A" w14:textId="4AABE6D5" w:rsidR="008A2C72" w:rsidRDefault="00CA08A9" w:rsidP="008A2C72">
            <w:pPr>
              <w:pStyle w:val="ListParagraph"/>
              <w:numPr>
                <w:ilvl w:val="0"/>
                <w:numId w:val="12"/>
              </w:numPr>
              <w:spacing w:before="120" w:after="120"/>
              <w:ind w:left="421"/>
              <w:contextualSpacing/>
              <w:rPr>
                <w:rFonts w:ascii="Verdana" w:hAnsi="Verdana"/>
                <w:color w:val="000000"/>
              </w:rPr>
            </w:pPr>
            <w:r>
              <w:rPr>
                <w:rFonts w:ascii="Verdana" w:hAnsi="Verdana"/>
                <w:color w:val="000000"/>
              </w:rPr>
              <w:t>For</w:t>
            </w:r>
            <w:r w:rsidRPr="003F6CC2">
              <w:rPr>
                <w:rFonts w:ascii="Verdana" w:hAnsi="Verdana"/>
                <w:color w:val="000000"/>
              </w:rPr>
              <w:t xml:space="preserve"> pricing </w:t>
            </w:r>
            <w:r w:rsidR="005C2390" w:rsidRPr="005C2390">
              <w:rPr>
                <w:rFonts w:ascii="Verdana" w:hAnsi="Verdana"/>
                <w:color w:val="000000"/>
              </w:rPr>
              <w:t>the</w:t>
            </w:r>
            <w:r w:rsidRPr="005C2390">
              <w:rPr>
                <w:rFonts w:ascii="Verdana" w:hAnsi="Verdana"/>
                <w:color w:val="000000"/>
              </w:rPr>
              <w:t xml:space="preserve"> results </w:t>
            </w:r>
            <w:r w:rsidR="005C2390" w:rsidRPr="005C2390">
              <w:rPr>
                <w:rFonts w:ascii="Verdana" w:hAnsi="Verdana"/>
                <w:color w:val="000000"/>
              </w:rPr>
              <w:t>are</w:t>
            </w:r>
            <w:r w:rsidR="005C2390">
              <w:rPr>
                <w:color w:val="000000"/>
              </w:rPr>
              <w:t xml:space="preserve"> </w:t>
            </w:r>
            <w:r w:rsidRPr="003F6CC2">
              <w:rPr>
                <w:rFonts w:ascii="Verdana" w:hAnsi="Verdana"/>
                <w:color w:val="000000"/>
              </w:rPr>
              <w:t>displayed under “</w:t>
            </w:r>
            <w:r w:rsidRPr="003F6CC2">
              <w:rPr>
                <w:rFonts w:ascii="Verdana" w:hAnsi="Verdana"/>
                <w:b/>
                <w:color w:val="000000"/>
              </w:rPr>
              <w:t>Additional Alternatives</w:t>
            </w:r>
            <w:r>
              <w:rPr>
                <w:rFonts w:ascii="Verdana" w:hAnsi="Verdana"/>
                <w:color w:val="000000"/>
              </w:rPr>
              <w:t xml:space="preserve">,” click the </w:t>
            </w:r>
            <w:r w:rsidRPr="008A2C72">
              <w:rPr>
                <w:rFonts w:ascii="Verdana" w:hAnsi="Verdana"/>
                <w:b/>
                <w:bCs/>
                <w:color w:val="000000"/>
              </w:rPr>
              <w:t>radial button</w:t>
            </w:r>
            <w:r>
              <w:rPr>
                <w:rFonts w:ascii="Verdana" w:hAnsi="Verdana"/>
                <w:color w:val="000000"/>
              </w:rPr>
              <w:t xml:space="preserve"> (left of the drug name)</w:t>
            </w:r>
            <w:r w:rsidRPr="003F6CC2">
              <w:rPr>
                <w:rFonts w:ascii="Verdana" w:hAnsi="Verdana"/>
                <w:color w:val="000000"/>
              </w:rPr>
              <w:t xml:space="preserve"> to display </w:t>
            </w:r>
            <w:r>
              <w:rPr>
                <w:rFonts w:ascii="Verdana" w:hAnsi="Verdana"/>
                <w:color w:val="000000"/>
              </w:rPr>
              <w:t xml:space="preserve">the </w:t>
            </w:r>
            <w:r w:rsidRPr="003F6CC2">
              <w:rPr>
                <w:rFonts w:ascii="Verdana" w:hAnsi="Verdana"/>
                <w:color w:val="000000"/>
              </w:rPr>
              <w:t>test claim</w:t>
            </w:r>
            <w:r>
              <w:rPr>
                <w:rFonts w:ascii="Verdana" w:hAnsi="Verdana"/>
                <w:color w:val="000000"/>
              </w:rPr>
              <w:t xml:space="preserve"> prefilled Selection Criteria fields</w:t>
            </w:r>
            <w:r w:rsidR="008A2C72">
              <w:rPr>
                <w:rFonts w:ascii="Verdana" w:hAnsi="Verdana"/>
                <w:color w:val="000000"/>
              </w:rPr>
              <w:t>.</w:t>
            </w:r>
          </w:p>
          <w:p w14:paraId="7FC9CB2B" w14:textId="3B3E6F0C" w:rsidR="00CA08A9" w:rsidRDefault="008A2C72" w:rsidP="008A2C72">
            <w:pPr>
              <w:pStyle w:val="ListParagraph"/>
              <w:numPr>
                <w:ilvl w:val="0"/>
                <w:numId w:val="12"/>
              </w:numPr>
              <w:spacing w:before="120" w:after="120"/>
              <w:ind w:left="421"/>
              <w:contextualSpacing/>
              <w:rPr>
                <w:rFonts w:ascii="Verdana" w:hAnsi="Verdana"/>
                <w:color w:val="000000"/>
              </w:rPr>
            </w:pPr>
            <w:r>
              <w:rPr>
                <w:rFonts w:ascii="Verdana" w:hAnsi="Verdana"/>
                <w:color w:val="000000"/>
              </w:rPr>
              <w:t>Add</w:t>
            </w:r>
            <w:r w:rsidR="00CA08A9" w:rsidRPr="005C2390">
              <w:rPr>
                <w:rFonts w:ascii="Verdana" w:hAnsi="Verdana"/>
                <w:color w:val="000000"/>
              </w:rPr>
              <w:t xml:space="preserve"> </w:t>
            </w:r>
            <w:r w:rsidR="005C2390" w:rsidRPr="005C2390">
              <w:rPr>
                <w:rFonts w:ascii="Verdana" w:hAnsi="Verdana"/>
                <w:color w:val="000000"/>
              </w:rPr>
              <w:t xml:space="preserve">the </w:t>
            </w:r>
            <w:r w:rsidR="00CA08A9" w:rsidRPr="005C2390">
              <w:rPr>
                <w:rFonts w:ascii="Verdana" w:hAnsi="Verdana"/>
                <w:color w:val="000000"/>
              </w:rPr>
              <w:t>required</w:t>
            </w:r>
            <w:r w:rsidR="00CA08A9">
              <w:rPr>
                <w:rFonts w:ascii="Verdana" w:hAnsi="Verdana"/>
                <w:color w:val="000000"/>
              </w:rPr>
              <w:t xml:space="preserve"> information for the </w:t>
            </w:r>
            <w:r w:rsidR="00CA08A9" w:rsidRPr="0033287A">
              <w:rPr>
                <w:rFonts w:ascii="Verdana" w:hAnsi="Verdana"/>
                <w:b/>
                <w:color w:val="000000"/>
              </w:rPr>
              <w:t>Quantity</w:t>
            </w:r>
            <w:r w:rsidR="00CA08A9">
              <w:rPr>
                <w:rFonts w:ascii="Verdana" w:hAnsi="Verdana"/>
                <w:color w:val="000000"/>
              </w:rPr>
              <w:t xml:space="preserve"> and </w:t>
            </w:r>
            <w:r w:rsidR="00B601AA" w:rsidRPr="0033287A">
              <w:rPr>
                <w:rFonts w:ascii="Verdana" w:hAnsi="Verdana"/>
                <w:b/>
                <w:color w:val="000000"/>
              </w:rPr>
              <w:t>Day</w:t>
            </w:r>
            <w:r w:rsidR="00B601AA">
              <w:rPr>
                <w:rFonts w:ascii="Verdana" w:hAnsi="Verdana"/>
                <w:b/>
                <w:color w:val="000000"/>
              </w:rPr>
              <w:t>s’</w:t>
            </w:r>
            <w:r w:rsidR="00CA08A9" w:rsidRPr="0033287A">
              <w:rPr>
                <w:rFonts w:ascii="Verdana" w:hAnsi="Verdana"/>
                <w:b/>
                <w:color w:val="000000"/>
              </w:rPr>
              <w:t xml:space="preserve"> Supply</w:t>
            </w:r>
            <w:r w:rsidR="00CA08A9">
              <w:rPr>
                <w:rFonts w:ascii="Verdana" w:hAnsi="Verdana"/>
                <w:color w:val="000000"/>
              </w:rPr>
              <w:t xml:space="preserve">, and then select </w:t>
            </w:r>
            <w:r w:rsidR="00CA08A9" w:rsidRPr="0033287A">
              <w:rPr>
                <w:rFonts w:ascii="Verdana" w:hAnsi="Verdana"/>
                <w:b/>
                <w:color w:val="000000"/>
              </w:rPr>
              <w:t>Run Test</w:t>
            </w:r>
            <w:r w:rsidR="00CA08A9">
              <w:rPr>
                <w:rFonts w:ascii="Verdana" w:hAnsi="Verdana"/>
                <w:color w:val="000000"/>
              </w:rPr>
              <w:t xml:space="preserve"> claim to generate pricing information the alternative</w:t>
            </w:r>
            <w:r w:rsidR="00CA08A9" w:rsidRPr="003F6CC2">
              <w:rPr>
                <w:rFonts w:ascii="Verdana" w:hAnsi="Verdana"/>
                <w:color w:val="000000"/>
              </w:rPr>
              <w:t xml:space="preserve">. </w:t>
            </w:r>
          </w:p>
          <w:p w14:paraId="751A0F2A" w14:textId="77777777" w:rsidR="00303887" w:rsidRDefault="00303887" w:rsidP="00EC3C72">
            <w:pPr>
              <w:pStyle w:val="ListParagraph"/>
              <w:spacing w:before="120" w:after="120"/>
              <w:ind w:left="0"/>
              <w:contextualSpacing/>
              <w:rPr>
                <w:rFonts w:ascii="Verdana" w:hAnsi="Verdana"/>
                <w:color w:val="000000"/>
              </w:rPr>
            </w:pPr>
          </w:p>
          <w:p w14:paraId="7B84365D" w14:textId="39ECAB2B" w:rsidR="00CA08A9" w:rsidRDefault="009C1CBA" w:rsidP="00EC3C72">
            <w:pPr>
              <w:spacing w:before="120" w:after="120"/>
              <w:ind w:left="1440" w:right="781"/>
              <w:jc w:val="center"/>
              <w:rPr>
                <w:rFonts w:ascii="Verdana" w:hAnsi="Verdana"/>
                <w:noProof/>
                <w:color w:val="000000"/>
              </w:rPr>
            </w:pPr>
            <w:r>
              <w:rPr>
                <w:noProof/>
              </w:rPr>
              <w:drawing>
                <wp:inline distT="0" distB="0" distL="0" distR="0" wp14:anchorId="476F50E9" wp14:editId="147FCEA4">
                  <wp:extent cx="5638095" cy="2628571"/>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8095" cy="2628571"/>
                          </a:xfrm>
                          <a:prstGeom prst="rect">
                            <a:avLst/>
                          </a:prstGeom>
                        </pic:spPr>
                      </pic:pic>
                    </a:graphicData>
                  </a:graphic>
                </wp:inline>
              </w:drawing>
            </w:r>
          </w:p>
          <w:p w14:paraId="2A16F14B" w14:textId="77777777" w:rsidR="00303887" w:rsidRDefault="00303887" w:rsidP="00EC3C72">
            <w:pPr>
              <w:spacing w:before="120" w:after="120"/>
              <w:ind w:left="1440" w:right="781"/>
              <w:jc w:val="center"/>
              <w:rPr>
                <w:rFonts w:ascii="Verdana" w:hAnsi="Verdana"/>
                <w:noProof/>
                <w:color w:val="000000"/>
              </w:rPr>
            </w:pPr>
          </w:p>
          <w:p w14:paraId="1A2696D5" w14:textId="5BE67CDE" w:rsidR="00595A36" w:rsidRPr="00CD4358" w:rsidRDefault="00CA08A9" w:rsidP="00EC3C72">
            <w:pPr>
              <w:pStyle w:val="ListParagraph"/>
              <w:spacing w:before="120" w:after="120"/>
              <w:ind w:left="0"/>
              <w:rPr>
                <w:rFonts w:ascii="Verdana" w:hAnsi="Verdana"/>
                <w:color w:val="000000"/>
              </w:rPr>
            </w:pPr>
            <w:r w:rsidRPr="00A42446">
              <w:rPr>
                <w:rFonts w:ascii="Verdana" w:hAnsi="Verdana"/>
                <w:b/>
                <w:color w:val="000000"/>
              </w:rPr>
              <w:t>Result:</w:t>
            </w:r>
            <w:r w:rsidRPr="00A42446">
              <w:rPr>
                <w:rFonts w:ascii="Verdana" w:hAnsi="Verdana"/>
                <w:color w:val="000000"/>
              </w:rPr>
              <w:t xml:space="preserve"> The </w:t>
            </w:r>
            <w:r>
              <w:rPr>
                <w:rFonts w:ascii="Verdana" w:hAnsi="Verdana"/>
                <w:color w:val="000000"/>
              </w:rPr>
              <w:t>T</w:t>
            </w:r>
            <w:r w:rsidRPr="00A42446">
              <w:rPr>
                <w:rFonts w:ascii="Verdana" w:hAnsi="Verdana"/>
                <w:color w:val="000000"/>
              </w:rPr>
              <w:t xml:space="preserve">est </w:t>
            </w:r>
            <w:r>
              <w:rPr>
                <w:rFonts w:ascii="Verdana" w:hAnsi="Verdana"/>
                <w:color w:val="000000"/>
              </w:rPr>
              <w:t>C</w:t>
            </w:r>
            <w:r w:rsidRPr="00A42446">
              <w:rPr>
                <w:rFonts w:ascii="Verdana" w:hAnsi="Verdana"/>
                <w:color w:val="000000"/>
              </w:rPr>
              <w:t xml:space="preserve">laim results </w:t>
            </w:r>
            <w:r>
              <w:rPr>
                <w:rFonts w:ascii="Verdana" w:hAnsi="Verdana"/>
                <w:color w:val="000000"/>
              </w:rPr>
              <w:t>are</w:t>
            </w:r>
            <w:r w:rsidRPr="00A42446">
              <w:rPr>
                <w:rFonts w:ascii="Verdana" w:hAnsi="Verdana"/>
                <w:color w:val="000000"/>
              </w:rPr>
              <w:t xml:space="preserve"> auto documented.</w:t>
            </w:r>
            <w:r>
              <w:rPr>
                <w:rFonts w:ascii="Verdana" w:hAnsi="Verdana"/>
                <w:color w:val="000000"/>
              </w:rPr>
              <w:t xml:space="preserve">  </w:t>
            </w:r>
          </w:p>
        </w:tc>
      </w:tr>
      <w:tr w:rsidR="00595A36" w:rsidRPr="00F55D9A" w14:paraId="047E9AFF" w14:textId="77777777" w:rsidTr="00DB51F4">
        <w:tc>
          <w:tcPr>
            <w:tcW w:w="351" w:type="pct"/>
          </w:tcPr>
          <w:p w14:paraId="0A28807E" w14:textId="77777777" w:rsidR="00595A36" w:rsidRDefault="00595A36" w:rsidP="00EC3C72">
            <w:pPr>
              <w:spacing w:before="120" w:after="120"/>
              <w:jc w:val="center"/>
              <w:rPr>
                <w:rFonts w:ascii="Verdana" w:hAnsi="Verdana"/>
                <w:b/>
              </w:rPr>
            </w:pPr>
            <w:r>
              <w:rPr>
                <w:rFonts w:ascii="Verdana" w:hAnsi="Verdana"/>
                <w:b/>
              </w:rPr>
              <w:t>6</w:t>
            </w:r>
          </w:p>
        </w:tc>
        <w:tc>
          <w:tcPr>
            <w:tcW w:w="4649" w:type="pct"/>
          </w:tcPr>
          <w:p w14:paraId="7FFDC4BF" w14:textId="77777777" w:rsidR="00B51227" w:rsidRDefault="00CA08A9" w:rsidP="008A2C72">
            <w:pPr>
              <w:pStyle w:val="ListParagraph"/>
              <w:numPr>
                <w:ilvl w:val="0"/>
                <w:numId w:val="7"/>
              </w:numPr>
              <w:spacing w:before="120" w:after="120"/>
              <w:ind w:left="421"/>
              <w:rPr>
                <w:rFonts w:ascii="Verdana" w:hAnsi="Verdana"/>
                <w:color w:val="000000"/>
              </w:rPr>
            </w:pPr>
            <w:r w:rsidRPr="00B51227">
              <w:rPr>
                <w:rFonts w:ascii="Verdana" w:hAnsi="Verdana"/>
                <w:color w:val="000000"/>
              </w:rPr>
              <w:t xml:space="preserve">Verify that alternative medications are covered at a lesser copay and that there are no prior authorizations required for step therapy or quantity limits.  </w:t>
            </w:r>
          </w:p>
          <w:p w14:paraId="4ED60B5C" w14:textId="04E27DB9" w:rsidR="00595A36" w:rsidRPr="00B51227" w:rsidRDefault="00CA08A9" w:rsidP="008A2C72">
            <w:pPr>
              <w:pStyle w:val="ListParagraph"/>
              <w:numPr>
                <w:ilvl w:val="0"/>
                <w:numId w:val="7"/>
              </w:numPr>
              <w:spacing w:before="120" w:after="120"/>
              <w:ind w:left="421"/>
              <w:rPr>
                <w:rFonts w:ascii="Verdana" w:hAnsi="Verdana"/>
                <w:color w:val="000000"/>
              </w:rPr>
            </w:pPr>
            <w:r w:rsidRPr="00B51227">
              <w:rPr>
                <w:rFonts w:ascii="Verdana" w:hAnsi="Verdana"/>
                <w:color w:val="000000"/>
              </w:rPr>
              <w:t xml:space="preserve">Review the </w:t>
            </w:r>
            <w:r w:rsidRPr="00B51227">
              <w:rPr>
                <w:rFonts w:ascii="Verdana" w:hAnsi="Verdana" w:cs="Arial"/>
                <w:bCs/>
              </w:rPr>
              <w:t>member’s formulary as needed to verify the medications listed and to determine if one requires an additional prior authorization.</w:t>
            </w:r>
          </w:p>
        </w:tc>
      </w:tr>
      <w:tr w:rsidR="00595A36" w:rsidRPr="00F55D9A" w14:paraId="719565EE" w14:textId="77777777" w:rsidTr="00DB51F4">
        <w:tc>
          <w:tcPr>
            <w:tcW w:w="351" w:type="pct"/>
          </w:tcPr>
          <w:p w14:paraId="080CE28F" w14:textId="77777777" w:rsidR="00595A36" w:rsidRDefault="00595A36" w:rsidP="00EC3C72">
            <w:pPr>
              <w:spacing w:before="120" w:after="120"/>
              <w:jc w:val="center"/>
              <w:rPr>
                <w:rFonts w:ascii="Verdana" w:hAnsi="Verdana"/>
                <w:b/>
              </w:rPr>
            </w:pPr>
            <w:r>
              <w:rPr>
                <w:rFonts w:ascii="Verdana" w:hAnsi="Verdana"/>
                <w:b/>
              </w:rPr>
              <w:t>7</w:t>
            </w:r>
          </w:p>
        </w:tc>
        <w:tc>
          <w:tcPr>
            <w:tcW w:w="4649" w:type="pct"/>
          </w:tcPr>
          <w:p w14:paraId="715C4B15" w14:textId="77777777" w:rsidR="00CA08A9" w:rsidRPr="004D5979" w:rsidRDefault="00CA08A9" w:rsidP="00EC3C72">
            <w:pPr>
              <w:spacing w:before="120" w:after="120"/>
              <w:ind w:right="781"/>
              <w:rPr>
                <w:rFonts w:ascii="Verdana" w:hAnsi="Verdana"/>
              </w:rPr>
            </w:pPr>
            <w:r w:rsidRPr="001F70E8">
              <w:rPr>
                <w:rFonts w:ascii="Verdana" w:hAnsi="Verdana"/>
                <w:b/>
                <w:color w:val="000000"/>
              </w:rPr>
              <w:t xml:space="preserve">Read the mandatory disclaimer </w:t>
            </w:r>
            <w:r w:rsidRPr="00B73B6B">
              <w:rPr>
                <w:rFonts w:ascii="Verdana" w:hAnsi="Verdana"/>
                <w:color w:val="000000"/>
              </w:rPr>
              <w:t xml:space="preserve">displayed on the screen when discussing alternative options.  </w:t>
            </w:r>
          </w:p>
          <w:p w14:paraId="6DEE21AD" w14:textId="3C1899E0" w:rsidR="00CA08A9" w:rsidRPr="00B73B6B" w:rsidRDefault="00627394" w:rsidP="00EC3C72">
            <w:pPr>
              <w:spacing w:before="120" w:after="120"/>
              <w:ind w:left="360" w:right="781"/>
              <w:rPr>
                <w:rFonts w:ascii="Verdana" w:hAnsi="Verdana"/>
              </w:rPr>
            </w:pPr>
            <w:r w:rsidRPr="00CA08A9">
              <w:rPr>
                <w:rFonts w:ascii="Verdana" w:hAnsi="Verdana"/>
                <w:noProof/>
                <w:color w:val="000000"/>
              </w:rPr>
              <w:drawing>
                <wp:inline distT="0" distB="0" distL="0" distR="0" wp14:anchorId="5344780C" wp14:editId="04BE440C">
                  <wp:extent cx="236220" cy="213360"/>
                  <wp:effectExtent l="0" t="0" r="0" b="0"/>
                  <wp:docPr id="10" name="Picture 3"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 Convers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CA08A9" w:rsidRPr="004D5979">
              <w:rPr>
                <w:rFonts w:ascii="Verdana" w:hAnsi="Verdana"/>
                <w:color w:val="000000"/>
              </w:rPr>
              <w:t xml:space="preserve"> </w:t>
            </w:r>
            <w:r w:rsidR="00DB51F4" w:rsidRPr="1F1F6C36">
              <w:rPr>
                <w:rFonts w:ascii="Verdana" w:hAnsi="Verdana"/>
                <w:color w:val="000000" w:themeColor="text1"/>
              </w:rPr>
              <w:t xml:space="preserve">The alternatives provided are suggestions and not an all-inclusive list. You should discuss these and other treatment options with your physician.  </w:t>
            </w:r>
            <w:r w:rsidR="00CA08A9" w:rsidRPr="00B73B6B">
              <w:rPr>
                <w:rFonts w:ascii="Verdana" w:hAnsi="Verdana"/>
              </w:rPr>
              <w:t xml:space="preserve"> </w:t>
            </w:r>
          </w:p>
          <w:p w14:paraId="36D9BDE0" w14:textId="71FD4E73" w:rsidR="00637790" w:rsidRPr="00986999" w:rsidRDefault="00625BE2" w:rsidP="00986999">
            <w:pPr>
              <w:autoSpaceDE w:val="0"/>
              <w:autoSpaceDN w:val="0"/>
              <w:adjustRightInd w:val="0"/>
              <w:spacing w:before="120" w:after="120"/>
              <w:rPr>
                <w:rStyle w:val="Hyperlink"/>
                <w:rFonts w:ascii="Verdana" w:hAnsi="Verdana"/>
                <w:color w:val="auto"/>
                <w:u w:val="none"/>
              </w:rPr>
            </w:pPr>
            <w:r>
              <w:rPr>
                <w:rFonts w:ascii="Verdana" w:hAnsi="Verdana"/>
                <w:noProof/>
                <w:color w:val="000000"/>
              </w:rPr>
              <w:drawing>
                <wp:inline distT="0" distB="0" distL="0" distR="0" wp14:anchorId="0F502B9A" wp14:editId="11A5715D">
                  <wp:extent cx="304762" cy="304762"/>
                  <wp:effectExtent l="0" t="0" r="635" b="635"/>
                  <wp:docPr id="4932448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07524" name="Picture 714907524"/>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CA08A9" w:rsidRPr="00986999">
              <w:rPr>
                <w:rFonts w:ascii="Verdana" w:hAnsi="Verdana" w:cs="Arial"/>
                <w:bCs/>
              </w:rPr>
              <w:t xml:space="preserve">If </w:t>
            </w:r>
            <w:r w:rsidR="00CA08A9" w:rsidRPr="00986999">
              <w:rPr>
                <w:rFonts w:ascii="Verdana" w:hAnsi="Verdana"/>
              </w:rPr>
              <w:t xml:space="preserve">the member has </w:t>
            </w:r>
            <w:r w:rsidR="00CA08A9" w:rsidRPr="00986999">
              <w:rPr>
                <w:rFonts w:ascii="Verdana" w:hAnsi="Verdana"/>
                <w:b/>
              </w:rPr>
              <w:t>Clinical</w:t>
            </w:r>
            <w:r w:rsidR="00CA08A9" w:rsidRPr="00986999">
              <w:rPr>
                <w:rFonts w:ascii="Verdana" w:hAnsi="Verdana"/>
              </w:rPr>
              <w:t xml:space="preserve"> questions in response to the formulary equivalents you provided, refer to </w:t>
            </w:r>
            <w:hyperlink r:id="rId22" w:anchor="!/view?docid=ff2706a9-6f42-4ccd-87e1-59cb2ce103a8" w:history="1">
              <w:r w:rsidR="004E2DDD" w:rsidRPr="002666EE">
                <w:rPr>
                  <w:rStyle w:val="Hyperlink"/>
                  <w:rFonts w:ascii="Verdana" w:hAnsi="Verdana"/>
                </w:rPr>
                <w:t>PeopleSafe - W</w:t>
              </w:r>
              <w:r w:rsidR="00303887" w:rsidRPr="002666EE">
                <w:rPr>
                  <w:rStyle w:val="Hyperlink"/>
                  <w:rFonts w:ascii="Verdana" w:hAnsi="Verdana"/>
                </w:rPr>
                <w:t>hen to Transfer Calls to Clinical Care (</w:t>
              </w:r>
              <w:r w:rsidR="00AD7661" w:rsidRPr="002666EE">
                <w:rPr>
                  <w:rStyle w:val="Hyperlink"/>
                  <w:rFonts w:ascii="Verdana" w:hAnsi="Verdana"/>
                </w:rPr>
                <w:t>0</w:t>
              </w:r>
              <w:r w:rsidR="00303887" w:rsidRPr="002666EE">
                <w:rPr>
                  <w:rStyle w:val="Hyperlink"/>
                  <w:rFonts w:ascii="Verdana" w:hAnsi="Verdana"/>
                </w:rPr>
                <w:t>24833)</w:t>
              </w:r>
            </w:hyperlink>
            <w:r w:rsidR="00EC3C72" w:rsidRPr="002666EE">
              <w:rPr>
                <w:rStyle w:val="Hyperlink"/>
                <w:rFonts w:ascii="Verdana" w:hAnsi="Verdana"/>
              </w:rPr>
              <w:t xml:space="preserve"> </w:t>
            </w:r>
            <w:r w:rsidR="00EC3C72" w:rsidRPr="002666EE">
              <w:rPr>
                <w:rStyle w:val="Hyperlink"/>
                <w:rFonts w:ascii="Verdana" w:hAnsi="Verdana"/>
                <w:color w:val="000000" w:themeColor="text1"/>
                <w:u w:val="none"/>
              </w:rPr>
              <w:t xml:space="preserve">and </w:t>
            </w:r>
            <w:r w:rsidR="00B11A4C" w:rsidRPr="00986999">
              <w:rPr>
                <w:rFonts w:ascii="Verdana" w:hAnsi="Verdana" w:cs="Helvetica"/>
                <w:bCs/>
                <w:shd w:val="clear" w:color="auto" w:fill="FFFFFF"/>
              </w:rPr>
              <w:t xml:space="preserve">Basic Call </w:t>
            </w:r>
            <w:r w:rsidR="00B11A4C" w:rsidRPr="00986999">
              <w:rPr>
                <w:rFonts w:ascii="Verdana" w:hAnsi="Verdana" w:cs="Helvetica"/>
                <w:bCs/>
                <w:color w:val="000000" w:themeColor="text1"/>
                <w:shd w:val="clear" w:color="auto" w:fill="FFFFFF"/>
              </w:rPr>
              <w:t>Handling</w:t>
            </w:r>
            <w:r w:rsidR="002F071F" w:rsidRPr="002666EE">
              <w:rPr>
                <w:rStyle w:val="Hyperlink"/>
                <w:rFonts w:ascii="Verdana" w:hAnsi="Verdana" w:cs="Helvetica"/>
                <w:bCs/>
                <w:color w:val="000000" w:themeColor="text1"/>
                <w:u w:val="none"/>
                <w:shd w:val="clear" w:color="auto" w:fill="FFFFFF"/>
              </w:rPr>
              <w:t xml:space="preserve"> for transferring a call</w:t>
            </w:r>
            <w:r w:rsidR="00EC3C72" w:rsidRPr="002666EE">
              <w:rPr>
                <w:rStyle w:val="Hyperlink"/>
                <w:rFonts w:ascii="Verdana" w:hAnsi="Verdana" w:cs="Helvetica"/>
                <w:bCs/>
                <w:color w:val="000000" w:themeColor="text1"/>
                <w:u w:val="none"/>
                <w:shd w:val="clear" w:color="auto" w:fill="FFFFFF"/>
              </w:rPr>
              <w:t>.</w:t>
            </w:r>
          </w:p>
          <w:p w14:paraId="73BAD220" w14:textId="318B43B0" w:rsidR="00025E12" w:rsidRPr="00986999" w:rsidRDefault="00625BE2" w:rsidP="00986999">
            <w:pPr>
              <w:autoSpaceDE w:val="0"/>
              <w:autoSpaceDN w:val="0"/>
              <w:adjustRightInd w:val="0"/>
              <w:spacing w:before="120" w:after="120"/>
              <w:rPr>
                <w:rFonts w:ascii="Verdana" w:hAnsi="Verdana"/>
              </w:rPr>
            </w:pPr>
            <w:r>
              <w:rPr>
                <w:rFonts w:ascii="Verdana" w:hAnsi="Verdana"/>
                <w:noProof/>
                <w:color w:val="000000"/>
              </w:rPr>
              <w:drawing>
                <wp:inline distT="0" distB="0" distL="0" distR="0" wp14:anchorId="46B084CA" wp14:editId="7CE308A7">
                  <wp:extent cx="304762" cy="304762"/>
                  <wp:effectExtent l="0" t="0" r="635" b="635"/>
                  <wp:docPr id="54077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07524" name="Picture 714907524"/>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025E12" w:rsidRPr="00986999">
              <w:rPr>
                <w:rFonts w:ascii="Verdana" w:hAnsi="Verdana"/>
                <w:b/>
                <w:bCs/>
              </w:rPr>
              <w:t>Examples</w:t>
            </w:r>
            <w:r w:rsidR="00025E12" w:rsidRPr="00986999">
              <w:rPr>
                <w:rFonts w:ascii="Verdana" w:hAnsi="Verdana"/>
              </w:rPr>
              <w:t xml:space="preserve"> of clinical questions include:</w:t>
            </w:r>
          </w:p>
          <w:p w14:paraId="611C1287" w14:textId="77777777" w:rsidR="00025E12" w:rsidRPr="00986999" w:rsidRDefault="00025E12" w:rsidP="00053B6A">
            <w:pPr>
              <w:pStyle w:val="ListParagraph"/>
              <w:numPr>
                <w:ilvl w:val="0"/>
                <w:numId w:val="9"/>
              </w:numPr>
              <w:autoSpaceDE w:val="0"/>
              <w:autoSpaceDN w:val="0"/>
              <w:adjustRightInd w:val="0"/>
              <w:spacing w:before="120" w:after="120"/>
              <w:ind w:left="871"/>
              <w:rPr>
                <w:rFonts w:ascii="Verdana" w:hAnsi="Verdana"/>
              </w:rPr>
            </w:pPr>
            <w:r w:rsidRPr="00986999">
              <w:rPr>
                <w:rFonts w:ascii="Verdana" w:hAnsi="Verdana"/>
              </w:rPr>
              <w:t>Drug interactions</w:t>
            </w:r>
          </w:p>
          <w:p w14:paraId="0CFFBD75" w14:textId="77777777" w:rsidR="00025E12" w:rsidRPr="00986999" w:rsidRDefault="00025E12" w:rsidP="00053B6A">
            <w:pPr>
              <w:pStyle w:val="ListParagraph"/>
              <w:numPr>
                <w:ilvl w:val="0"/>
                <w:numId w:val="9"/>
              </w:numPr>
              <w:autoSpaceDE w:val="0"/>
              <w:autoSpaceDN w:val="0"/>
              <w:adjustRightInd w:val="0"/>
              <w:spacing w:before="120" w:after="120"/>
              <w:ind w:left="871"/>
              <w:rPr>
                <w:rFonts w:ascii="Verdana" w:hAnsi="Verdana"/>
              </w:rPr>
            </w:pPr>
            <w:r w:rsidRPr="00986999">
              <w:rPr>
                <w:rFonts w:ascii="Verdana" w:hAnsi="Verdana"/>
              </w:rPr>
              <w:t>Side effects and adverse reactions</w:t>
            </w:r>
          </w:p>
          <w:p w14:paraId="13AE0101" w14:textId="77777777" w:rsidR="00C92551" w:rsidRPr="00986999" w:rsidRDefault="00025E12" w:rsidP="00053B6A">
            <w:pPr>
              <w:pStyle w:val="ListParagraph"/>
              <w:numPr>
                <w:ilvl w:val="0"/>
                <w:numId w:val="9"/>
              </w:numPr>
              <w:autoSpaceDE w:val="0"/>
              <w:autoSpaceDN w:val="0"/>
              <w:adjustRightInd w:val="0"/>
              <w:spacing w:before="120" w:after="120"/>
              <w:ind w:left="871"/>
              <w:rPr>
                <w:rFonts w:ascii="Verdana" w:hAnsi="Verdana"/>
              </w:rPr>
            </w:pPr>
            <w:r w:rsidRPr="00986999">
              <w:rPr>
                <w:rFonts w:ascii="Verdana" w:hAnsi="Verdana"/>
              </w:rPr>
              <w:t>Allergies</w:t>
            </w:r>
          </w:p>
          <w:p w14:paraId="098D0631" w14:textId="15CDCFEA" w:rsidR="00025E12" w:rsidRDefault="00025E12" w:rsidP="00053B6A">
            <w:pPr>
              <w:pStyle w:val="ListParagraph"/>
              <w:numPr>
                <w:ilvl w:val="0"/>
                <w:numId w:val="9"/>
              </w:numPr>
              <w:autoSpaceDE w:val="0"/>
              <w:autoSpaceDN w:val="0"/>
              <w:adjustRightInd w:val="0"/>
              <w:spacing w:before="120" w:after="120"/>
              <w:ind w:left="871"/>
              <w:rPr>
                <w:rFonts w:ascii="Verdana" w:hAnsi="Verdana"/>
              </w:rPr>
            </w:pPr>
            <w:r w:rsidRPr="00986999">
              <w:rPr>
                <w:rFonts w:ascii="Verdana" w:hAnsi="Verdana"/>
              </w:rPr>
              <w:t>Differences and similarities between ingredients and fillers.</w:t>
            </w:r>
          </w:p>
          <w:p w14:paraId="7DA9BFF5" w14:textId="76AFF19C" w:rsidR="00E85BDA" w:rsidRPr="00986999" w:rsidRDefault="00E85BDA" w:rsidP="00053B6A">
            <w:pPr>
              <w:pStyle w:val="ListParagraph"/>
              <w:numPr>
                <w:ilvl w:val="0"/>
                <w:numId w:val="9"/>
              </w:numPr>
              <w:autoSpaceDE w:val="0"/>
              <w:autoSpaceDN w:val="0"/>
              <w:adjustRightInd w:val="0"/>
              <w:spacing w:before="120" w:after="120"/>
              <w:ind w:left="871"/>
              <w:rPr>
                <w:rFonts w:ascii="Verdana" w:hAnsi="Verdana"/>
              </w:rPr>
            </w:pPr>
            <w:r>
              <w:rPr>
                <w:rFonts w:ascii="Verdana" w:hAnsi="Verdana"/>
              </w:rPr>
              <w:t>D</w:t>
            </w:r>
            <w:r w:rsidR="00F3624B">
              <w:rPr>
                <w:rFonts w:ascii="Verdana" w:hAnsi="Verdana"/>
              </w:rPr>
              <w:t>o Synthroid and Levothyroxine</w:t>
            </w:r>
            <w:r w:rsidR="008E2FA3">
              <w:rPr>
                <w:rFonts w:ascii="Verdana" w:hAnsi="Verdana"/>
              </w:rPr>
              <w:t xml:space="preserve"> work the same way?</w:t>
            </w:r>
          </w:p>
          <w:p w14:paraId="03D7A553" w14:textId="77777777" w:rsidR="00025E12" w:rsidRDefault="00025E12" w:rsidP="00EC3C72">
            <w:pPr>
              <w:pStyle w:val="ListParagraph"/>
              <w:spacing w:before="120" w:after="120"/>
              <w:ind w:left="360"/>
              <w:rPr>
                <w:rFonts w:ascii="Verdana" w:hAnsi="Verdana"/>
                <w:b/>
                <w:bCs/>
                <w:color w:val="000000"/>
              </w:rPr>
            </w:pPr>
          </w:p>
          <w:p w14:paraId="65BE31FE" w14:textId="77777777" w:rsidR="0040200D" w:rsidRPr="00303887" w:rsidRDefault="0040200D" w:rsidP="00EC3C72">
            <w:pPr>
              <w:pStyle w:val="ListParagraph"/>
              <w:spacing w:before="120" w:after="120"/>
              <w:ind w:left="360"/>
              <w:rPr>
                <w:rFonts w:ascii="Verdana" w:hAnsi="Verdana"/>
                <w:color w:val="1F497D"/>
                <w:sz w:val="22"/>
                <w:szCs w:val="22"/>
              </w:rPr>
            </w:pPr>
          </w:p>
          <w:p w14:paraId="67EFF825" w14:textId="77777777" w:rsidR="00595A36" w:rsidRDefault="0040200D" w:rsidP="006145FF">
            <w:pPr>
              <w:autoSpaceDE w:val="0"/>
              <w:autoSpaceDN w:val="0"/>
              <w:adjustRightInd w:val="0"/>
              <w:spacing w:before="120" w:after="120"/>
              <w:ind w:left="1800"/>
              <w:jc w:val="center"/>
              <w:rPr>
                <w:rFonts w:ascii="Verdana" w:hAnsi="Verdana"/>
                <w:color w:val="000000"/>
              </w:rPr>
            </w:pPr>
            <w:r>
              <w:rPr>
                <w:noProof/>
              </w:rPr>
              <w:drawing>
                <wp:inline distT="0" distB="0" distL="0" distR="0" wp14:anchorId="1FC0B5A4" wp14:editId="0AC8D1EA">
                  <wp:extent cx="6400800" cy="2151089"/>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2151089"/>
                          </a:xfrm>
                          <a:prstGeom prst="rect">
                            <a:avLst/>
                          </a:prstGeom>
                        </pic:spPr>
                      </pic:pic>
                    </a:graphicData>
                  </a:graphic>
                </wp:inline>
              </w:drawing>
            </w:r>
          </w:p>
          <w:p w14:paraId="627D077E" w14:textId="4C90BEAE" w:rsidR="0040200D" w:rsidRPr="00CD4358" w:rsidRDefault="0040200D" w:rsidP="006145FF">
            <w:pPr>
              <w:autoSpaceDE w:val="0"/>
              <w:autoSpaceDN w:val="0"/>
              <w:adjustRightInd w:val="0"/>
              <w:spacing w:before="120" w:after="120"/>
              <w:ind w:left="1800"/>
              <w:jc w:val="center"/>
              <w:rPr>
                <w:rFonts w:ascii="Verdana" w:hAnsi="Verdana"/>
                <w:color w:val="000000"/>
              </w:rPr>
            </w:pPr>
          </w:p>
        </w:tc>
      </w:tr>
      <w:tr w:rsidR="00595A36" w:rsidRPr="00F55D9A" w14:paraId="1F44396D" w14:textId="77777777" w:rsidTr="00DB51F4">
        <w:tc>
          <w:tcPr>
            <w:tcW w:w="351" w:type="pct"/>
          </w:tcPr>
          <w:p w14:paraId="0B7450A7" w14:textId="77777777" w:rsidR="00595A36" w:rsidRDefault="00595A36" w:rsidP="00EC3C72">
            <w:pPr>
              <w:spacing w:before="120" w:after="120"/>
              <w:jc w:val="center"/>
              <w:rPr>
                <w:rFonts w:ascii="Verdana" w:hAnsi="Verdana"/>
                <w:b/>
              </w:rPr>
            </w:pPr>
            <w:r>
              <w:rPr>
                <w:rFonts w:ascii="Verdana" w:hAnsi="Verdana"/>
                <w:b/>
              </w:rPr>
              <w:t>8</w:t>
            </w:r>
          </w:p>
        </w:tc>
        <w:tc>
          <w:tcPr>
            <w:tcW w:w="4649" w:type="pct"/>
          </w:tcPr>
          <w:p w14:paraId="0846CD72" w14:textId="77777777" w:rsidR="00595A36" w:rsidRPr="00CD4358" w:rsidRDefault="00CA08A9" w:rsidP="00EC3C72">
            <w:pPr>
              <w:pStyle w:val="ListParagraph"/>
              <w:spacing w:before="120" w:after="120"/>
              <w:ind w:left="0"/>
              <w:contextualSpacing/>
              <w:rPr>
                <w:rFonts w:ascii="Verdana" w:hAnsi="Verdana"/>
                <w:color w:val="000000"/>
              </w:rPr>
            </w:pPr>
            <w:r w:rsidRPr="00A02E8C">
              <w:rPr>
                <w:rFonts w:ascii="Verdana" w:hAnsi="Verdana"/>
              </w:rPr>
              <w:t>Instruct the member to contact their prescriber with the alternative medication information to determine if they will allow a formulary substitution and if approved, the prescriber will need to write a new prescription.</w:t>
            </w:r>
          </w:p>
        </w:tc>
      </w:tr>
      <w:tr w:rsidR="0046483E" w:rsidRPr="00F55D9A" w14:paraId="4EF39CCC" w14:textId="77777777" w:rsidTr="00DB51F4">
        <w:tc>
          <w:tcPr>
            <w:tcW w:w="351" w:type="pct"/>
            <w:tcBorders>
              <w:top w:val="single" w:sz="4" w:space="0" w:color="auto"/>
              <w:left w:val="single" w:sz="4" w:space="0" w:color="auto"/>
              <w:bottom w:val="single" w:sz="4" w:space="0" w:color="auto"/>
              <w:right w:val="single" w:sz="4" w:space="0" w:color="auto"/>
            </w:tcBorders>
          </w:tcPr>
          <w:p w14:paraId="175BC81E" w14:textId="77777777" w:rsidR="0046483E" w:rsidRDefault="0046483E" w:rsidP="00464CBF">
            <w:pPr>
              <w:spacing w:before="120" w:after="120"/>
              <w:jc w:val="center"/>
              <w:rPr>
                <w:rFonts w:ascii="Verdana" w:hAnsi="Verdana"/>
                <w:b/>
              </w:rPr>
            </w:pPr>
            <w:r>
              <w:rPr>
                <w:rFonts w:ascii="Verdana" w:hAnsi="Verdana"/>
                <w:b/>
              </w:rPr>
              <w:t>9</w:t>
            </w:r>
          </w:p>
        </w:tc>
        <w:tc>
          <w:tcPr>
            <w:tcW w:w="4649" w:type="pct"/>
            <w:tcBorders>
              <w:top w:val="single" w:sz="4" w:space="0" w:color="auto"/>
              <w:left w:val="single" w:sz="4" w:space="0" w:color="auto"/>
              <w:bottom w:val="single" w:sz="4" w:space="0" w:color="auto"/>
              <w:right w:val="single" w:sz="4" w:space="0" w:color="auto"/>
            </w:tcBorders>
          </w:tcPr>
          <w:p w14:paraId="3718DF3F" w14:textId="77777777" w:rsidR="0046483E" w:rsidRDefault="0046483E" w:rsidP="00464CBF">
            <w:pPr>
              <w:pStyle w:val="ListParagraph"/>
              <w:spacing w:before="120" w:after="120"/>
              <w:ind w:left="0"/>
              <w:contextualSpacing/>
              <w:rPr>
                <w:rFonts w:ascii="Verdana" w:hAnsi="Verdana"/>
                <w:color w:val="000000"/>
              </w:rPr>
            </w:pPr>
            <w:r>
              <w:rPr>
                <w:rFonts w:ascii="Verdana" w:hAnsi="Verdana"/>
              </w:rPr>
              <w:t>Document the call in PeopleSafe and a</w:t>
            </w:r>
            <w:r w:rsidRPr="00CD4358">
              <w:rPr>
                <w:rFonts w:ascii="Verdana" w:hAnsi="Verdana"/>
                <w:color w:val="000000"/>
              </w:rPr>
              <w:t>sk the plan member if they have their written prescription</w:t>
            </w:r>
            <w:r>
              <w:rPr>
                <w:rFonts w:ascii="Verdana" w:hAnsi="Verdana"/>
                <w:color w:val="000000"/>
              </w:rPr>
              <w:t>.</w:t>
            </w:r>
          </w:p>
          <w:p w14:paraId="50393E24" w14:textId="77777777" w:rsidR="0046483E" w:rsidRDefault="0046483E" w:rsidP="00464CBF">
            <w:pPr>
              <w:pStyle w:val="ListParagraph"/>
              <w:spacing w:before="120" w:after="120"/>
              <w:ind w:left="0"/>
              <w:contextualSpacing/>
              <w:rPr>
                <w:rFonts w:ascii="Verdana" w:hAnsi="Verdana"/>
              </w:rPr>
            </w:pPr>
          </w:p>
          <w:p w14:paraId="3F11C524" w14:textId="77777777" w:rsidR="0046483E" w:rsidRDefault="0046483E" w:rsidP="00417F51">
            <w:pPr>
              <w:pStyle w:val="ListParagraph"/>
              <w:numPr>
                <w:ilvl w:val="0"/>
                <w:numId w:val="6"/>
              </w:numPr>
              <w:spacing w:before="120" w:after="120"/>
              <w:contextualSpacing/>
              <w:rPr>
                <w:rFonts w:ascii="Verdana" w:hAnsi="Verdana"/>
                <w:color w:val="000000"/>
              </w:rPr>
            </w:pPr>
            <w:r>
              <w:rPr>
                <w:rFonts w:ascii="Verdana" w:hAnsi="Verdana"/>
              </w:rPr>
              <w:t>If yes, s</w:t>
            </w:r>
            <w:r w:rsidRPr="00CD4358">
              <w:rPr>
                <w:rFonts w:ascii="Verdana" w:hAnsi="Verdana"/>
                <w:color w:val="000000"/>
              </w:rPr>
              <w:t>uggest mailing their written prescription to our</w:t>
            </w:r>
            <w:r>
              <w:rPr>
                <w:rFonts w:ascii="Verdana" w:hAnsi="Verdana"/>
                <w:color w:val="000000"/>
              </w:rPr>
              <w:t xml:space="preserve"> </w:t>
            </w:r>
            <w:r w:rsidRPr="00CD4358">
              <w:rPr>
                <w:rFonts w:ascii="Verdana" w:hAnsi="Verdana"/>
                <w:color w:val="000000"/>
              </w:rPr>
              <w:t>Mail Order pharmacy</w:t>
            </w:r>
            <w:r>
              <w:rPr>
                <w:rFonts w:ascii="Verdana" w:hAnsi="Verdana"/>
                <w:color w:val="000000"/>
              </w:rPr>
              <w:t>.</w:t>
            </w:r>
          </w:p>
          <w:p w14:paraId="27C4DCA8" w14:textId="02A1B9E4" w:rsidR="0046483E" w:rsidRPr="0046483E" w:rsidRDefault="0046483E" w:rsidP="00417F51">
            <w:pPr>
              <w:pStyle w:val="ListParagraph"/>
              <w:numPr>
                <w:ilvl w:val="0"/>
                <w:numId w:val="6"/>
              </w:numPr>
              <w:spacing w:before="120" w:after="120"/>
              <w:rPr>
                <w:rFonts w:ascii="Verdana" w:hAnsi="Verdana"/>
                <w:color w:val="000000"/>
              </w:rPr>
            </w:pPr>
            <w:r w:rsidRPr="0046483E">
              <w:rPr>
                <w:rFonts w:ascii="Verdana" w:hAnsi="Verdana"/>
                <w:color w:val="000000"/>
              </w:rPr>
              <w:t xml:space="preserve">If no, and if the member wants to begin using the Mail Order pharmacy, offer to reach out to the prescriber by following the </w:t>
            </w:r>
            <w:hyperlink r:id="rId24" w:anchor="!/view?docid=a1443f4f-499e-442c-be11-fd2b207bf86c" w:history="1">
              <w:r w:rsidR="008B06A8">
                <w:rPr>
                  <w:rStyle w:val="Hyperlink"/>
                  <w:rFonts w:ascii="Verdana" w:hAnsi="Verdana" w:cs="Helvetica"/>
                  <w:bCs/>
                  <w:shd w:val="clear" w:color="auto" w:fill="FFFFFF"/>
                </w:rPr>
                <w:t>PeopleSafe - O</w:t>
              </w:r>
              <w:r w:rsidRPr="00AD7661">
                <w:rPr>
                  <w:rStyle w:val="Hyperlink"/>
                  <w:rFonts w:ascii="Verdana" w:hAnsi="Verdana" w:cs="Helvetica"/>
                  <w:bCs/>
                  <w:shd w:val="clear" w:color="auto" w:fill="FFFFFF"/>
                </w:rPr>
                <w:t>btaining a New Prescription (Rx) for the Member</w:t>
              </w:r>
            </w:hyperlink>
            <w:r w:rsidR="00774DB4" w:rsidRPr="00AD7661">
              <w:rPr>
                <w:rStyle w:val="Hyperlink"/>
                <w:rFonts w:ascii="Verdana" w:hAnsi="Verdana" w:cs="Helvetica"/>
                <w:bCs/>
                <w:shd w:val="clear" w:color="auto" w:fill="FFFFFF"/>
              </w:rPr>
              <w:t xml:space="preserve"> </w:t>
            </w:r>
            <w:r w:rsidR="00774DB4" w:rsidRPr="004D7CB2">
              <w:rPr>
                <w:rStyle w:val="Hyperlink"/>
                <w:rFonts w:ascii="Verdana" w:hAnsi="Verdana" w:cs="Helvetica"/>
                <w:shd w:val="clear" w:color="auto" w:fill="FFFFFF"/>
              </w:rPr>
              <w:t>(</w:t>
            </w:r>
            <w:r w:rsidR="00AD7661" w:rsidRPr="004D7CB2">
              <w:rPr>
                <w:rStyle w:val="Hyperlink"/>
                <w:rFonts w:ascii="Verdana" w:hAnsi="Verdana" w:cs="Helvetica"/>
                <w:shd w:val="clear" w:color="auto" w:fill="FFFFFF"/>
              </w:rPr>
              <w:t>0</w:t>
            </w:r>
            <w:r w:rsidR="00774DB4" w:rsidRPr="004D7CB2">
              <w:rPr>
                <w:rStyle w:val="Hyperlink"/>
                <w:rFonts w:ascii="Verdana" w:hAnsi="Verdana" w:cs="Helvetica"/>
                <w:shd w:val="clear" w:color="auto" w:fill="FFFFFF"/>
              </w:rPr>
              <w:t>58827)</w:t>
            </w:r>
            <w:r w:rsidRPr="00AD7661">
              <w:rPr>
                <w:rStyle w:val="Hyperlink"/>
                <w:rFonts w:ascii="Verdana" w:hAnsi="Verdana" w:cs="Helvetica"/>
                <w:bCs/>
                <w:shd w:val="clear" w:color="auto" w:fill="FFFFFF"/>
              </w:rPr>
              <w:t>.</w:t>
            </w:r>
            <w:r w:rsidRPr="0046483E">
              <w:rPr>
                <w:rFonts w:ascii="Verdana" w:hAnsi="Verdana"/>
                <w:color w:val="000000"/>
              </w:rPr>
              <w:t xml:space="preserve">  </w:t>
            </w:r>
            <w:r w:rsidRPr="0046483E" w:rsidDel="0006522F">
              <w:rPr>
                <w:rFonts w:ascii="Verdana" w:hAnsi="Verdana"/>
                <w:color w:val="000000"/>
              </w:rPr>
              <w:t xml:space="preserve"> </w:t>
            </w:r>
            <w:r w:rsidRPr="0046483E">
              <w:rPr>
                <w:rFonts w:ascii="Verdana" w:hAnsi="Verdana"/>
                <w:color w:val="000000"/>
              </w:rPr>
              <w:t xml:space="preserve"> </w:t>
            </w:r>
          </w:p>
          <w:p w14:paraId="4651E60F" w14:textId="29630E71" w:rsidR="0046483E" w:rsidRPr="0046483E" w:rsidRDefault="0046483E" w:rsidP="0046483E">
            <w:pPr>
              <w:pStyle w:val="ListParagraph"/>
              <w:spacing w:before="120" w:after="120"/>
              <w:ind w:left="0"/>
              <w:contextualSpacing/>
              <w:rPr>
                <w:rFonts w:ascii="Verdana" w:hAnsi="Verdana"/>
              </w:rPr>
            </w:pPr>
            <w:r w:rsidRPr="00192B7E">
              <w:rPr>
                <w:rFonts w:ascii="Verdana" w:hAnsi="Verdana"/>
                <w:b/>
                <w:noProof/>
                <w:color w:val="000000"/>
              </w:rPr>
              <w:drawing>
                <wp:inline distT="0" distB="0" distL="0" distR="0" wp14:anchorId="3FFB60EC" wp14:editId="29C21746">
                  <wp:extent cx="236220" cy="213360"/>
                  <wp:effectExtent l="0" t="0" r="0" b="0"/>
                  <wp:docPr id="12" name="Picture 21"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con - Important Inform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AE316A">
              <w:rPr>
                <w:rFonts w:ascii="Verdana" w:hAnsi="Verdana"/>
                <w:color w:val="000000"/>
              </w:rPr>
              <w:t xml:space="preserve"> </w:t>
            </w:r>
            <w:r w:rsidRPr="00CD4358">
              <w:rPr>
                <w:rFonts w:ascii="Verdana" w:hAnsi="Verdana"/>
                <w:color w:val="000000"/>
              </w:rPr>
              <w:t>Under no circumstances should a CCR advise a member of the covered diagnosis</w:t>
            </w:r>
          </w:p>
        </w:tc>
      </w:tr>
    </w:tbl>
    <w:p w14:paraId="72D325A8" w14:textId="77777777" w:rsidR="00496FE4" w:rsidRDefault="00496FE4" w:rsidP="000D63DB">
      <w:pPr>
        <w:jc w:val="right"/>
        <w:rPr>
          <w:rStyle w:val="Hyperlink"/>
          <w:rFonts w:ascii="Verdana" w:hAnsi="Verdana"/>
        </w:rPr>
      </w:pPr>
      <w:bookmarkStart w:id="5" w:name="_Overview"/>
      <w:bookmarkEnd w:id="5"/>
    </w:p>
    <w:bookmarkStart w:id="6" w:name="_Updating_a_PBO"/>
    <w:bookmarkEnd w:id="6"/>
    <w:p w14:paraId="29589F49" w14:textId="77777777" w:rsidR="00026454" w:rsidRDefault="00026454" w:rsidP="00026454">
      <w:pPr>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Pr="00026454">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B4496A" w:rsidRPr="00DC296B" w14:paraId="7BDBC052" w14:textId="77777777" w:rsidTr="00B04113">
        <w:tc>
          <w:tcPr>
            <w:tcW w:w="5000" w:type="pct"/>
            <w:shd w:val="clear" w:color="auto" w:fill="C0C0C0"/>
          </w:tcPr>
          <w:p w14:paraId="47E373BC" w14:textId="77777777" w:rsidR="00B4496A" w:rsidRPr="000D6356" w:rsidRDefault="00B4496A" w:rsidP="006145FF">
            <w:pPr>
              <w:pStyle w:val="Heading2"/>
              <w:spacing w:before="120" w:after="120"/>
              <w:rPr>
                <w:rFonts w:ascii="Verdana" w:hAnsi="Verdana"/>
                <w:i w:val="0"/>
              </w:rPr>
            </w:pPr>
            <w:bookmarkStart w:id="7" w:name="_Toc525628632"/>
            <w:bookmarkStart w:id="8" w:name="_Toc208411465"/>
            <w:r>
              <w:rPr>
                <w:rFonts w:ascii="Verdana" w:hAnsi="Verdana"/>
                <w:i w:val="0"/>
              </w:rPr>
              <w:t>Related Document</w:t>
            </w:r>
            <w:bookmarkEnd w:id="7"/>
            <w:r>
              <w:rPr>
                <w:rFonts w:ascii="Verdana" w:hAnsi="Verdana"/>
                <w:i w:val="0"/>
              </w:rPr>
              <w:t>s</w:t>
            </w:r>
            <w:bookmarkEnd w:id="8"/>
          </w:p>
        </w:tc>
      </w:tr>
    </w:tbl>
    <w:p w14:paraId="588D1311" w14:textId="77777777" w:rsidR="0018654E" w:rsidRDefault="00E9789A" w:rsidP="0018654E">
      <w:pPr>
        <w:spacing w:before="120" w:after="120"/>
        <w:rPr>
          <w:rFonts w:ascii="Verdana" w:hAnsi="Verdana"/>
        </w:rPr>
      </w:pPr>
      <w:r w:rsidRPr="00496FE4">
        <w:rPr>
          <w:rFonts w:ascii="Verdana" w:hAnsi="Verdana"/>
          <w:b/>
        </w:rPr>
        <w:t>Parent Documents:</w:t>
      </w:r>
      <w:r w:rsidRPr="00496FE4">
        <w:rPr>
          <w:rFonts w:ascii="Verdana" w:hAnsi="Verdana"/>
        </w:rPr>
        <w:t xml:space="preserve"> </w:t>
      </w:r>
      <w:hyperlink r:id="rId26" w:tgtFrame="_blank" w:history="1">
        <w:r w:rsidRPr="00496FE4">
          <w:rPr>
            <w:rFonts w:ascii="Verdana" w:hAnsi="Verdana"/>
            <w:color w:val="0000FF"/>
            <w:u w:val="single"/>
          </w:rPr>
          <w:t>CALL 0049 Customer Care Internal and External Call Handling</w:t>
        </w:r>
      </w:hyperlink>
      <w:r w:rsidR="006145FF">
        <w:t xml:space="preserve">, </w:t>
      </w:r>
      <w:r w:rsidR="0018654E">
        <w:rPr>
          <w:rFonts w:ascii="Verdana" w:hAnsi="Verdana"/>
          <w:color w:val="0000FF"/>
          <w:u w:val="single"/>
        </w:rPr>
        <w:t xml:space="preserve"> </w:t>
      </w:r>
      <w:hyperlink r:id="rId27" w:history="1">
        <w:r w:rsidR="0018654E" w:rsidRPr="00665287">
          <w:rPr>
            <w:rFonts w:ascii="Verdana" w:hAnsi="Verdana"/>
            <w:color w:val="0000FF"/>
            <w:u w:val="single"/>
          </w:rPr>
          <w:t>CALL-0011 Authenticating Callers</w:t>
        </w:r>
      </w:hyperlink>
    </w:p>
    <w:p w14:paraId="7D9DE27A" w14:textId="37215BB4" w:rsidR="00E9789A" w:rsidRPr="00496FE4" w:rsidRDefault="00E9789A" w:rsidP="006145FF">
      <w:pPr>
        <w:spacing w:before="120" w:after="120"/>
        <w:rPr>
          <w:rFonts w:ascii="Verdana" w:hAnsi="Verdana"/>
          <w:color w:val="0000FF"/>
          <w:u w:val="single"/>
        </w:rPr>
      </w:pPr>
    </w:p>
    <w:p w14:paraId="6A4BF16C" w14:textId="60356B60" w:rsidR="000D6D39" w:rsidRDefault="008B06A8" w:rsidP="006C73B1">
      <w:pPr>
        <w:spacing w:before="120" w:after="120"/>
        <w:rPr>
          <w:rStyle w:val="Hyperlink"/>
          <w:rFonts w:ascii="Verdana" w:eastAsia="Calibri" w:hAnsi="Verdana" w:cs="Verdana"/>
        </w:rPr>
      </w:pPr>
      <w:hyperlink r:id="rId28" w:anchor="!/view?docid=59c4e7fa-4a87-43c4-89cd-5d4f8c6c3421" w:history="1">
        <w:r>
          <w:rPr>
            <w:rStyle w:val="Hyperlink"/>
            <w:rFonts w:ascii="Verdana" w:eastAsia="Calibri" w:hAnsi="Verdana" w:cs="Verdana"/>
          </w:rPr>
          <w:t>PeopleSafe - Test Claim (004573)</w:t>
        </w:r>
      </w:hyperlink>
    </w:p>
    <w:p w14:paraId="29414E3F" w14:textId="368E09A3" w:rsidR="006C73B1" w:rsidRPr="000D6D39" w:rsidRDefault="00774DB4" w:rsidP="006C73B1">
      <w:pPr>
        <w:spacing w:before="120" w:after="120"/>
        <w:rPr>
          <w:rFonts w:ascii="Verdana" w:hAnsi="Verdana"/>
          <w:b/>
          <w:color w:val="000000"/>
        </w:rPr>
      </w:pPr>
      <w:hyperlink r:id="rId29" w:anchor="!/view?docid=c1f1028b-e42c-4b4f-a4cf-cc0b42c91606" w:history="1">
        <w:r>
          <w:rPr>
            <w:rStyle w:val="Hyperlink"/>
            <w:rFonts w:ascii="Verdana" w:eastAsia="Calibri" w:hAnsi="Verdana" w:cs="Verdana"/>
          </w:rPr>
          <w:t>Customer Care Abbreviations, Definitions and Terms Index (</w:t>
        </w:r>
        <w:r w:rsidR="00AD7661">
          <w:rPr>
            <w:rStyle w:val="Hyperlink"/>
            <w:rFonts w:ascii="Verdana" w:eastAsia="Calibri" w:hAnsi="Verdana" w:cs="Verdana"/>
          </w:rPr>
          <w:t>0</w:t>
        </w:r>
        <w:r>
          <w:rPr>
            <w:rStyle w:val="Hyperlink"/>
            <w:rFonts w:ascii="Verdana" w:eastAsia="Calibri" w:hAnsi="Verdana" w:cs="Verdana"/>
          </w:rPr>
          <w:t>17428)</w:t>
        </w:r>
      </w:hyperlink>
    </w:p>
    <w:p w14:paraId="7E79B145" w14:textId="77777777" w:rsidR="00026454" w:rsidRDefault="00026454" w:rsidP="00026454">
      <w:pPr>
        <w:jc w:val="right"/>
        <w:rPr>
          <w:rFonts w:ascii="Verdana" w:hAnsi="Verdana"/>
        </w:rPr>
      </w:pPr>
      <w:hyperlink w:anchor="_top" w:history="1">
        <w:r w:rsidRPr="00026454">
          <w:rPr>
            <w:rStyle w:val="Hyperlink"/>
            <w:rFonts w:ascii="Verdana" w:hAnsi="Verdana"/>
          </w:rPr>
          <w:t>Top of the Document</w:t>
        </w:r>
      </w:hyperlink>
    </w:p>
    <w:p w14:paraId="1D9299A2" w14:textId="77777777" w:rsidR="00496FE4" w:rsidRPr="00496FE4" w:rsidRDefault="00496FE4" w:rsidP="00496FE4">
      <w:pPr>
        <w:jc w:val="center"/>
        <w:rPr>
          <w:rFonts w:ascii="Verdana" w:hAnsi="Verdana"/>
          <w:color w:val="000000"/>
          <w:sz w:val="16"/>
          <w:szCs w:val="16"/>
        </w:rPr>
      </w:pPr>
      <w:r w:rsidRPr="00496FE4">
        <w:rPr>
          <w:rFonts w:ascii="Verdana" w:hAnsi="Verdana"/>
          <w:color w:val="000000"/>
          <w:sz w:val="16"/>
          <w:szCs w:val="16"/>
        </w:rPr>
        <w:t>Not to Be Reproduced or Disclosed to Others without Prior Written Approval</w:t>
      </w:r>
    </w:p>
    <w:p w14:paraId="1C1C8F2E" w14:textId="77777777" w:rsidR="00496FE4" w:rsidRPr="00496FE4" w:rsidRDefault="00496FE4" w:rsidP="00496FE4">
      <w:pPr>
        <w:jc w:val="center"/>
        <w:rPr>
          <w:rFonts w:ascii="Verdana" w:hAnsi="Verdana"/>
          <w:sz w:val="16"/>
          <w:szCs w:val="16"/>
        </w:rPr>
      </w:pPr>
      <w:r w:rsidRPr="00496FE4">
        <w:rPr>
          <w:rFonts w:ascii="Verdana" w:hAnsi="Verdana"/>
          <w:b/>
          <w:bCs/>
          <w:color w:val="000000"/>
          <w:sz w:val="16"/>
          <w:szCs w:val="16"/>
        </w:rPr>
        <w:t>ELECTRONIC DATA = OFFICIAL VERSION – PAPER COPY – INFORMATIONAL ONLY</w:t>
      </w:r>
    </w:p>
    <w:sectPr w:rsidR="00496FE4" w:rsidRPr="00496FE4" w:rsidSect="00F2751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B464B9" w14:textId="77777777" w:rsidR="00BA7FF2" w:rsidRDefault="00BA7FF2" w:rsidP="00AE316A">
      <w:r>
        <w:separator/>
      </w:r>
    </w:p>
  </w:endnote>
  <w:endnote w:type="continuationSeparator" w:id="0">
    <w:p w14:paraId="3B500CC4" w14:textId="77777777" w:rsidR="00BA7FF2" w:rsidRDefault="00BA7FF2" w:rsidP="00AE3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70B9F5" w14:textId="77777777" w:rsidR="00BA7FF2" w:rsidRDefault="00BA7FF2" w:rsidP="00AE316A">
      <w:r>
        <w:separator/>
      </w:r>
    </w:p>
  </w:footnote>
  <w:footnote w:type="continuationSeparator" w:id="0">
    <w:p w14:paraId="43513962" w14:textId="77777777" w:rsidR="00BA7FF2" w:rsidRDefault="00BA7FF2" w:rsidP="00AE31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75pt;height:16.5pt;visibility:visible;mso-wrap-style:square" o:bullet="t">
        <v:imagedata r:id="rId1" o:title=""/>
      </v:shape>
    </w:pict>
  </w:numPicBullet>
  <w:abstractNum w:abstractNumId="0" w15:restartNumberingAfterBreak="0">
    <w:nsid w:val="0C7F2874"/>
    <w:multiLevelType w:val="singleLevel"/>
    <w:tmpl w:val="A0A8C0AE"/>
    <w:lvl w:ilvl="0">
      <w:start w:val="1"/>
      <w:numFmt w:val="bullet"/>
      <w:pStyle w:val="Dotbullet"/>
      <w:lvlText w:val=""/>
      <w:lvlJc w:val="left"/>
      <w:pPr>
        <w:tabs>
          <w:tab w:val="num" w:pos="360"/>
        </w:tabs>
        <w:ind w:left="360" w:hanging="360"/>
      </w:pPr>
      <w:rPr>
        <w:rFonts w:ascii="Symbol" w:hAnsi="Symbol" w:hint="default"/>
        <w:color w:val="auto"/>
      </w:rPr>
    </w:lvl>
  </w:abstractNum>
  <w:abstractNum w:abstractNumId="1" w15:restartNumberingAfterBreak="0">
    <w:nsid w:val="15760B07"/>
    <w:multiLevelType w:val="hybridMultilevel"/>
    <w:tmpl w:val="6E1E105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B3A3D86"/>
    <w:multiLevelType w:val="hybridMultilevel"/>
    <w:tmpl w:val="468CBAC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1262B5"/>
    <w:multiLevelType w:val="hybridMultilevel"/>
    <w:tmpl w:val="094E7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3D1208"/>
    <w:multiLevelType w:val="hybridMultilevel"/>
    <w:tmpl w:val="DE70F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6FA4A9E"/>
    <w:multiLevelType w:val="hybridMultilevel"/>
    <w:tmpl w:val="8E5CE678"/>
    <w:lvl w:ilvl="0" w:tplc="C310C14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77409"/>
    <w:multiLevelType w:val="hybridMultilevel"/>
    <w:tmpl w:val="96BC2B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4612A"/>
    <w:multiLevelType w:val="hybridMultilevel"/>
    <w:tmpl w:val="9A52CFCE"/>
    <w:lvl w:ilvl="0" w:tplc="56DA4188">
      <w:start w:val="1"/>
      <w:numFmt w:val="bullet"/>
      <w:pStyle w:val="BulletText1"/>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7AD5753"/>
    <w:multiLevelType w:val="hybridMultilevel"/>
    <w:tmpl w:val="ABC2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7F730E"/>
    <w:multiLevelType w:val="hybridMultilevel"/>
    <w:tmpl w:val="7CF2B3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EA46D6"/>
    <w:multiLevelType w:val="hybridMultilevel"/>
    <w:tmpl w:val="AC3636B2"/>
    <w:lvl w:ilvl="0" w:tplc="92507B8A">
      <w:start w:val="1"/>
      <w:numFmt w:val="lowerLetter"/>
      <w:lvlText w:val="%1."/>
      <w:lvlJc w:val="left"/>
      <w:pPr>
        <w:ind w:left="360" w:hanging="360"/>
      </w:pPr>
      <w:rPr>
        <w:rFonts w:ascii="Verdana" w:eastAsia="Times New Roman" w:hAnsi="Verdana" w:cs="Times New Roman"/>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4D617B7"/>
    <w:multiLevelType w:val="hybridMultilevel"/>
    <w:tmpl w:val="189EB37A"/>
    <w:lvl w:ilvl="0" w:tplc="C310C146">
      <w:start w:val="1"/>
      <w:numFmt w:val="bullet"/>
      <w:lvlText w:val=""/>
      <w:lvlPicBulletId w:val="0"/>
      <w:lvlJc w:val="left"/>
      <w:pPr>
        <w:tabs>
          <w:tab w:val="num" w:pos="720"/>
        </w:tabs>
        <w:ind w:left="720" w:hanging="360"/>
      </w:pPr>
      <w:rPr>
        <w:rFonts w:ascii="Symbol" w:hAnsi="Symbol" w:hint="default"/>
      </w:rPr>
    </w:lvl>
    <w:lvl w:ilvl="1" w:tplc="568EE144" w:tentative="1">
      <w:start w:val="1"/>
      <w:numFmt w:val="bullet"/>
      <w:lvlText w:val=""/>
      <w:lvlJc w:val="left"/>
      <w:pPr>
        <w:tabs>
          <w:tab w:val="num" w:pos="1440"/>
        </w:tabs>
        <w:ind w:left="1440" w:hanging="360"/>
      </w:pPr>
      <w:rPr>
        <w:rFonts w:ascii="Symbol" w:hAnsi="Symbol" w:hint="default"/>
      </w:rPr>
    </w:lvl>
    <w:lvl w:ilvl="2" w:tplc="75B89EEA" w:tentative="1">
      <w:start w:val="1"/>
      <w:numFmt w:val="bullet"/>
      <w:lvlText w:val=""/>
      <w:lvlJc w:val="left"/>
      <w:pPr>
        <w:tabs>
          <w:tab w:val="num" w:pos="2160"/>
        </w:tabs>
        <w:ind w:left="2160" w:hanging="360"/>
      </w:pPr>
      <w:rPr>
        <w:rFonts w:ascii="Symbol" w:hAnsi="Symbol" w:hint="default"/>
      </w:rPr>
    </w:lvl>
    <w:lvl w:ilvl="3" w:tplc="04A0DB62" w:tentative="1">
      <w:start w:val="1"/>
      <w:numFmt w:val="bullet"/>
      <w:lvlText w:val=""/>
      <w:lvlJc w:val="left"/>
      <w:pPr>
        <w:tabs>
          <w:tab w:val="num" w:pos="2880"/>
        </w:tabs>
        <w:ind w:left="2880" w:hanging="360"/>
      </w:pPr>
      <w:rPr>
        <w:rFonts w:ascii="Symbol" w:hAnsi="Symbol" w:hint="default"/>
      </w:rPr>
    </w:lvl>
    <w:lvl w:ilvl="4" w:tplc="DFE86AA6" w:tentative="1">
      <w:start w:val="1"/>
      <w:numFmt w:val="bullet"/>
      <w:lvlText w:val=""/>
      <w:lvlJc w:val="left"/>
      <w:pPr>
        <w:tabs>
          <w:tab w:val="num" w:pos="3600"/>
        </w:tabs>
        <w:ind w:left="3600" w:hanging="360"/>
      </w:pPr>
      <w:rPr>
        <w:rFonts w:ascii="Symbol" w:hAnsi="Symbol" w:hint="default"/>
      </w:rPr>
    </w:lvl>
    <w:lvl w:ilvl="5" w:tplc="BFB4DC06" w:tentative="1">
      <w:start w:val="1"/>
      <w:numFmt w:val="bullet"/>
      <w:lvlText w:val=""/>
      <w:lvlJc w:val="left"/>
      <w:pPr>
        <w:tabs>
          <w:tab w:val="num" w:pos="4320"/>
        </w:tabs>
        <w:ind w:left="4320" w:hanging="360"/>
      </w:pPr>
      <w:rPr>
        <w:rFonts w:ascii="Symbol" w:hAnsi="Symbol" w:hint="default"/>
      </w:rPr>
    </w:lvl>
    <w:lvl w:ilvl="6" w:tplc="8ADED4EC" w:tentative="1">
      <w:start w:val="1"/>
      <w:numFmt w:val="bullet"/>
      <w:lvlText w:val=""/>
      <w:lvlJc w:val="left"/>
      <w:pPr>
        <w:tabs>
          <w:tab w:val="num" w:pos="5040"/>
        </w:tabs>
        <w:ind w:left="5040" w:hanging="360"/>
      </w:pPr>
      <w:rPr>
        <w:rFonts w:ascii="Symbol" w:hAnsi="Symbol" w:hint="default"/>
      </w:rPr>
    </w:lvl>
    <w:lvl w:ilvl="7" w:tplc="11A42DA4" w:tentative="1">
      <w:start w:val="1"/>
      <w:numFmt w:val="bullet"/>
      <w:lvlText w:val=""/>
      <w:lvlJc w:val="left"/>
      <w:pPr>
        <w:tabs>
          <w:tab w:val="num" w:pos="5760"/>
        </w:tabs>
        <w:ind w:left="5760" w:hanging="360"/>
      </w:pPr>
      <w:rPr>
        <w:rFonts w:ascii="Symbol" w:hAnsi="Symbol" w:hint="default"/>
      </w:rPr>
    </w:lvl>
    <w:lvl w:ilvl="8" w:tplc="5CDE077E" w:tentative="1">
      <w:start w:val="1"/>
      <w:numFmt w:val="bullet"/>
      <w:lvlText w:val=""/>
      <w:lvlJc w:val="left"/>
      <w:pPr>
        <w:tabs>
          <w:tab w:val="num" w:pos="6480"/>
        </w:tabs>
        <w:ind w:left="6480" w:hanging="360"/>
      </w:pPr>
      <w:rPr>
        <w:rFonts w:ascii="Symbol" w:hAnsi="Symbol" w:hint="default"/>
      </w:rPr>
    </w:lvl>
  </w:abstractNum>
  <w:num w:numId="1" w16cid:durableId="876313727">
    <w:abstractNumId w:val="0"/>
  </w:num>
  <w:num w:numId="2" w16cid:durableId="886725759">
    <w:abstractNumId w:val="7"/>
  </w:num>
  <w:num w:numId="3" w16cid:durableId="1930969312">
    <w:abstractNumId w:val="2"/>
  </w:num>
  <w:num w:numId="4" w16cid:durableId="609703600">
    <w:abstractNumId w:val="10"/>
  </w:num>
  <w:num w:numId="5" w16cid:durableId="977804591">
    <w:abstractNumId w:val="4"/>
  </w:num>
  <w:num w:numId="6" w16cid:durableId="1269390445">
    <w:abstractNumId w:val="3"/>
  </w:num>
  <w:num w:numId="7" w16cid:durableId="1108156505">
    <w:abstractNumId w:val="9"/>
  </w:num>
  <w:num w:numId="8" w16cid:durableId="1453206045">
    <w:abstractNumId w:val="8"/>
  </w:num>
  <w:num w:numId="9" w16cid:durableId="793984115">
    <w:abstractNumId w:val="1"/>
  </w:num>
  <w:num w:numId="10" w16cid:durableId="1873424133">
    <w:abstractNumId w:val="11"/>
  </w:num>
  <w:num w:numId="11" w16cid:durableId="433673569">
    <w:abstractNumId w:val="5"/>
  </w:num>
  <w:num w:numId="12" w16cid:durableId="662396512">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518"/>
    <w:rsid w:val="0000480A"/>
    <w:rsid w:val="000132E7"/>
    <w:rsid w:val="00013963"/>
    <w:rsid w:val="00017D8F"/>
    <w:rsid w:val="00024F7B"/>
    <w:rsid w:val="00025E12"/>
    <w:rsid w:val="00026454"/>
    <w:rsid w:val="00026528"/>
    <w:rsid w:val="00036329"/>
    <w:rsid w:val="00040535"/>
    <w:rsid w:val="00040C00"/>
    <w:rsid w:val="00041376"/>
    <w:rsid w:val="0004309E"/>
    <w:rsid w:val="000462AC"/>
    <w:rsid w:val="0005013F"/>
    <w:rsid w:val="000516C5"/>
    <w:rsid w:val="00053B6A"/>
    <w:rsid w:val="000572B4"/>
    <w:rsid w:val="0005745E"/>
    <w:rsid w:val="00064098"/>
    <w:rsid w:val="00064809"/>
    <w:rsid w:val="00070749"/>
    <w:rsid w:val="00076553"/>
    <w:rsid w:val="00080F66"/>
    <w:rsid w:val="0008177D"/>
    <w:rsid w:val="0008674F"/>
    <w:rsid w:val="000938D7"/>
    <w:rsid w:val="00095254"/>
    <w:rsid w:val="00095E04"/>
    <w:rsid w:val="000A3EF9"/>
    <w:rsid w:val="000A4CCA"/>
    <w:rsid w:val="000A544C"/>
    <w:rsid w:val="000B13B9"/>
    <w:rsid w:val="000B32AE"/>
    <w:rsid w:val="000C0FE6"/>
    <w:rsid w:val="000C39C7"/>
    <w:rsid w:val="000C3FF3"/>
    <w:rsid w:val="000C50A4"/>
    <w:rsid w:val="000D564C"/>
    <w:rsid w:val="000D5688"/>
    <w:rsid w:val="000D63DB"/>
    <w:rsid w:val="000D6D39"/>
    <w:rsid w:val="000E4552"/>
    <w:rsid w:val="000F7A56"/>
    <w:rsid w:val="000F7CD7"/>
    <w:rsid w:val="0010140B"/>
    <w:rsid w:val="00103AEC"/>
    <w:rsid w:val="00111D9C"/>
    <w:rsid w:val="00112998"/>
    <w:rsid w:val="00113A5A"/>
    <w:rsid w:val="0013218F"/>
    <w:rsid w:val="00136C1D"/>
    <w:rsid w:val="00140889"/>
    <w:rsid w:val="001427CE"/>
    <w:rsid w:val="00146CA0"/>
    <w:rsid w:val="00147812"/>
    <w:rsid w:val="00152078"/>
    <w:rsid w:val="00152FA6"/>
    <w:rsid w:val="00157161"/>
    <w:rsid w:val="00165A5A"/>
    <w:rsid w:val="001664A7"/>
    <w:rsid w:val="00173802"/>
    <w:rsid w:val="0017651A"/>
    <w:rsid w:val="0018654E"/>
    <w:rsid w:val="00187C56"/>
    <w:rsid w:val="00190940"/>
    <w:rsid w:val="00192B7E"/>
    <w:rsid w:val="00194FE0"/>
    <w:rsid w:val="00195069"/>
    <w:rsid w:val="001A0587"/>
    <w:rsid w:val="001A304D"/>
    <w:rsid w:val="001B5C82"/>
    <w:rsid w:val="001B77D8"/>
    <w:rsid w:val="001C5D2E"/>
    <w:rsid w:val="001C673B"/>
    <w:rsid w:val="001C7D59"/>
    <w:rsid w:val="001C7F03"/>
    <w:rsid w:val="001D0F44"/>
    <w:rsid w:val="001D1C30"/>
    <w:rsid w:val="001D4A19"/>
    <w:rsid w:val="001E1951"/>
    <w:rsid w:val="001E2A52"/>
    <w:rsid w:val="001E2AC9"/>
    <w:rsid w:val="00201AA1"/>
    <w:rsid w:val="00201CBB"/>
    <w:rsid w:val="00202B1A"/>
    <w:rsid w:val="00204217"/>
    <w:rsid w:val="002075AD"/>
    <w:rsid w:val="00210602"/>
    <w:rsid w:val="00211DE7"/>
    <w:rsid w:val="00212235"/>
    <w:rsid w:val="00214254"/>
    <w:rsid w:val="0021596D"/>
    <w:rsid w:val="00216C1B"/>
    <w:rsid w:val="00222EB4"/>
    <w:rsid w:val="002300DE"/>
    <w:rsid w:val="00230B08"/>
    <w:rsid w:val="002355B1"/>
    <w:rsid w:val="00235A00"/>
    <w:rsid w:val="00241E94"/>
    <w:rsid w:val="00243946"/>
    <w:rsid w:val="002525D0"/>
    <w:rsid w:val="002600E9"/>
    <w:rsid w:val="002629A6"/>
    <w:rsid w:val="00264B75"/>
    <w:rsid w:val="002658A8"/>
    <w:rsid w:val="002666EE"/>
    <w:rsid w:val="00272418"/>
    <w:rsid w:val="00273550"/>
    <w:rsid w:val="00275458"/>
    <w:rsid w:val="00280BAA"/>
    <w:rsid w:val="00284B3F"/>
    <w:rsid w:val="00286241"/>
    <w:rsid w:val="00286443"/>
    <w:rsid w:val="00287D83"/>
    <w:rsid w:val="00296708"/>
    <w:rsid w:val="002A6088"/>
    <w:rsid w:val="002A645C"/>
    <w:rsid w:val="002A64B5"/>
    <w:rsid w:val="002A72EB"/>
    <w:rsid w:val="002C0ADF"/>
    <w:rsid w:val="002C19C5"/>
    <w:rsid w:val="002C4304"/>
    <w:rsid w:val="002C6229"/>
    <w:rsid w:val="002D24A2"/>
    <w:rsid w:val="002D5A7A"/>
    <w:rsid w:val="002E494D"/>
    <w:rsid w:val="002E4EE3"/>
    <w:rsid w:val="002F071F"/>
    <w:rsid w:val="002F75FB"/>
    <w:rsid w:val="00300BA3"/>
    <w:rsid w:val="00300C93"/>
    <w:rsid w:val="00301BB2"/>
    <w:rsid w:val="00303887"/>
    <w:rsid w:val="00310042"/>
    <w:rsid w:val="00322732"/>
    <w:rsid w:val="003270CD"/>
    <w:rsid w:val="00330185"/>
    <w:rsid w:val="003305A0"/>
    <w:rsid w:val="003340E5"/>
    <w:rsid w:val="003410BD"/>
    <w:rsid w:val="0034502F"/>
    <w:rsid w:val="00350697"/>
    <w:rsid w:val="00350D2C"/>
    <w:rsid w:val="00350E95"/>
    <w:rsid w:val="003571EF"/>
    <w:rsid w:val="003625E1"/>
    <w:rsid w:val="00377462"/>
    <w:rsid w:val="00382EF8"/>
    <w:rsid w:val="00393C93"/>
    <w:rsid w:val="00394369"/>
    <w:rsid w:val="003A13B3"/>
    <w:rsid w:val="003A14BA"/>
    <w:rsid w:val="003A1B91"/>
    <w:rsid w:val="003B04B2"/>
    <w:rsid w:val="003B0EC7"/>
    <w:rsid w:val="003B1FF4"/>
    <w:rsid w:val="003B71BC"/>
    <w:rsid w:val="003B73AF"/>
    <w:rsid w:val="003C37DC"/>
    <w:rsid w:val="003C59A3"/>
    <w:rsid w:val="003C6EB2"/>
    <w:rsid w:val="003C7C7D"/>
    <w:rsid w:val="003D02B8"/>
    <w:rsid w:val="003D03C6"/>
    <w:rsid w:val="003D38FC"/>
    <w:rsid w:val="003E0145"/>
    <w:rsid w:val="003F0464"/>
    <w:rsid w:val="003F05CD"/>
    <w:rsid w:val="003F5F0F"/>
    <w:rsid w:val="0040173A"/>
    <w:rsid w:val="0040200D"/>
    <w:rsid w:val="00411197"/>
    <w:rsid w:val="004135B9"/>
    <w:rsid w:val="00417F51"/>
    <w:rsid w:val="0042599E"/>
    <w:rsid w:val="004279E0"/>
    <w:rsid w:val="00440B72"/>
    <w:rsid w:val="004419F2"/>
    <w:rsid w:val="00456C14"/>
    <w:rsid w:val="004637C9"/>
    <w:rsid w:val="0046483E"/>
    <w:rsid w:val="0046564E"/>
    <w:rsid w:val="00466397"/>
    <w:rsid w:val="00466707"/>
    <w:rsid w:val="00492A50"/>
    <w:rsid w:val="00496A93"/>
    <w:rsid w:val="00496FE4"/>
    <w:rsid w:val="004A050A"/>
    <w:rsid w:val="004A0B39"/>
    <w:rsid w:val="004A65D1"/>
    <w:rsid w:val="004A7880"/>
    <w:rsid w:val="004C2659"/>
    <w:rsid w:val="004C2BE5"/>
    <w:rsid w:val="004C6190"/>
    <w:rsid w:val="004C7C74"/>
    <w:rsid w:val="004D4F7D"/>
    <w:rsid w:val="004D5979"/>
    <w:rsid w:val="004D6F62"/>
    <w:rsid w:val="004D7CB2"/>
    <w:rsid w:val="004E1C73"/>
    <w:rsid w:val="004E2DDD"/>
    <w:rsid w:val="004E5F22"/>
    <w:rsid w:val="004E7199"/>
    <w:rsid w:val="004F2847"/>
    <w:rsid w:val="004F66D6"/>
    <w:rsid w:val="00500780"/>
    <w:rsid w:val="005045C0"/>
    <w:rsid w:val="00512A0A"/>
    <w:rsid w:val="0051309D"/>
    <w:rsid w:val="00525BD3"/>
    <w:rsid w:val="00526672"/>
    <w:rsid w:val="005271C0"/>
    <w:rsid w:val="0053267E"/>
    <w:rsid w:val="00541F9B"/>
    <w:rsid w:val="0054248A"/>
    <w:rsid w:val="00544177"/>
    <w:rsid w:val="005557B9"/>
    <w:rsid w:val="00565247"/>
    <w:rsid w:val="00570FE9"/>
    <w:rsid w:val="005769A3"/>
    <w:rsid w:val="00577C14"/>
    <w:rsid w:val="00590F00"/>
    <w:rsid w:val="0059366A"/>
    <w:rsid w:val="00593EA4"/>
    <w:rsid w:val="00595A36"/>
    <w:rsid w:val="005A7CD9"/>
    <w:rsid w:val="005B07DA"/>
    <w:rsid w:val="005B1455"/>
    <w:rsid w:val="005B2707"/>
    <w:rsid w:val="005B34AE"/>
    <w:rsid w:val="005B435E"/>
    <w:rsid w:val="005B6C92"/>
    <w:rsid w:val="005C02DD"/>
    <w:rsid w:val="005C0DF3"/>
    <w:rsid w:val="005C13DE"/>
    <w:rsid w:val="005C1AE4"/>
    <w:rsid w:val="005C2079"/>
    <w:rsid w:val="005C2390"/>
    <w:rsid w:val="005D127B"/>
    <w:rsid w:val="005D42D0"/>
    <w:rsid w:val="005D6E33"/>
    <w:rsid w:val="005D7198"/>
    <w:rsid w:val="005E11ED"/>
    <w:rsid w:val="005E47DC"/>
    <w:rsid w:val="005E602B"/>
    <w:rsid w:val="005E6994"/>
    <w:rsid w:val="005F2E73"/>
    <w:rsid w:val="005F2EFA"/>
    <w:rsid w:val="006120A1"/>
    <w:rsid w:val="006145FF"/>
    <w:rsid w:val="00620243"/>
    <w:rsid w:val="00625BE2"/>
    <w:rsid w:val="00626007"/>
    <w:rsid w:val="0062723F"/>
    <w:rsid w:val="00627394"/>
    <w:rsid w:val="00627939"/>
    <w:rsid w:val="00630FE9"/>
    <w:rsid w:val="00634619"/>
    <w:rsid w:val="00637790"/>
    <w:rsid w:val="00644370"/>
    <w:rsid w:val="0067441D"/>
    <w:rsid w:val="00677033"/>
    <w:rsid w:val="00677229"/>
    <w:rsid w:val="006778FA"/>
    <w:rsid w:val="006827FF"/>
    <w:rsid w:val="00686541"/>
    <w:rsid w:val="00691F28"/>
    <w:rsid w:val="00693820"/>
    <w:rsid w:val="00693CA2"/>
    <w:rsid w:val="00694A8C"/>
    <w:rsid w:val="006966E6"/>
    <w:rsid w:val="006A354F"/>
    <w:rsid w:val="006A7774"/>
    <w:rsid w:val="006B5F6D"/>
    <w:rsid w:val="006C1CBD"/>
    <w:rsid w:val="006C4262"/>
    <w:rsid w:val="006C73B1"/>
    <w:rsid w:val="006E2465"/>
    <w:rsid w:val="006E32DD"/>
    <w:rsid w:val="006F659D"/>
    <w:rsid w:val="00715DA1"/>
    <w:rsid w:val="00716297"/>
    <w:rsid w:val="00716884"/>
    <w:rsid w:val="0072097A"/>
    <w:rsid w:val="00724F8A"/>
    <w:rsid w:val="00725672"/>
    <w:rsid w:val="00726854"/>
    <w:rsid w:val="00727D08"/>
    <w:rsid w:val="00744273"/>
    <w:rsid w:val="00756D3C"/>
    <w:rsid w:val="00757CB1"/>
    <w:rsid w:val="00761F5A"/>
    <w:rsid w:val="00767F96"/>
    <w:rsid w:val="007710BA"/>
    <w:rsid w:val="00774DB4"/>
    <w:rsid w:val="00775C3B"/>
    <w:rsid w:val="007779E9"/>
    <w:rsid w:val="00780205"/>
    <w:rsid w:val="00785772"/>
    <w:rsid w:val="007861B1"/>
    <w:rsid w:val="007A0C21"/>
    <w:rsid w:val="007B177E"/>
    <w:rsid w:val="007C327C"/>
    <w:rsid w:val="007C5D8D"/>
    <w:rsid w:val="007D0110"/>
    <w:rsid w:val="007D7922"/>
    <w:rsid w:val="007E08F5"/>
    <w:rsid w:val="007E0ADF"/>
    <w:rsid w:val="007E1C14"/>
    <w:rsid w:val="007E5A14"/>
    <w:rsid w:val="007E6138"/>
    <w:rsid w:val="007F7E6C"/>
    <w:rsid w:val="00800C58"/>
    <w:rsid w:val="00802BF9"/>
    <w:rsid w:val="00803488"/>
    <w:rsid w:val="0081032D"/>
    <w:rsid w:val="00813649"/>
    <w:rsid w:val="008155EE"/>
    <w:rsid w:val="00815753"/>
    <w:rsid w:val="00816230"/>
    <w:rsid w:val="00816E27"/>
    <w:rsid w:val="00817281"/>
    <w:rsid w:val="00817B18"/>
    <w:rsid w:val="00821F69"/>
    <w:rsid w:val="00824C8E"/>
    <w:rsid w:val="00825B82"/>
    <w:rsid w:val="00830F9F"/>
    <w:rsid w:val="00841910"/>
    <w:rsid w:val="008451B7"/>
    <w:rsid w:val="008517F0"/>
    <w:rsid w:val="008528B6"/>
    <w:rsid w:val="00856A87"/>
    <w:rsid w:val="00860F1C"/>
    <w:rsid w:val="00864578"/>
    <w:rsid w:val="00866E0A"/>
    <w:rsid w:val="00873A48"/>
    <w:rsid w:val="008741DE"/>
    <w:rsid w:val="00875302"/>
    <w:rsid w:val="008768FC"/>
    <w:rsid w:val="00880DC5"/>
    <w:rsid w:val="008830D0"/>
    <w:rsid w:val="008A2C72"/>
    <w:rsid w:val="008A2EBF"/>
    <w:rsid w:val="008B06A8"/>
    <w:rsid w:val="008B524D"/>
    <w:rsid w:val="008B658D"/>
    <w:rsid w:val="008C19AE"/>
    <w:rsid w:val="008C3B97"/>
    <w:rsid w:val="008C4DAC"/>
    <w:rsid w:val="008C6277"/>
    <w:rsid w:val="008D1504"/>
    <w:rsid w:val="008E099A"/>
    <w:rsid w:val="008E2FA3"/>
    <w:rsid w:val="008E571F"/>
    <w:rsid w:val="008E5B5B"/>
    <w:rsid w:val="008F1178"/>
    <w:rsid w:val="008F2AB4"/>
    <w:rsid w:val="008F5A39"/>
    <w:rsid w:val="008F665B"/>
    <w:rsid w:val="00904508"/>
    <w:rsid w:val="00907665"/>
    <w:rsid w:val="00907E67"/>
    <w:rsid w:val="00920716"/>
    <w:rsid w:val="009324E7"/>
    <w:rsid w:val="009342FA"/>
    <w:rsid w:val="00936ED9"/>
    <w:rsid w:val="00937072"/>
    <w:rsid w:val="009370F9"/>
    <w:rsid w:val="00941DD4"/>
    <w:rsid w:val="00944388"/>
    <w:rsid w:val="00944AE2"/>
    <w:rsid w:val="009460FA"/>
    <w:rsid w:val="0095000D"/>
    <w:rsid w:val="00964E88"/>
    <w:rsid w:val="00965D93"/>
    <w:rsid w:val="009774A8"/>
    <w:rsid w:val="00986297"/>
    <w:rsid w:val="00986999"/>
    <w:rsid w:val="00995CB6"/>
    <w:rsid w:val="00996F4D"/>
    <w:rsid w:val="009B0074"/>
    <w:rsid w:val="009B3759"/>
    <w:rsid w:val="009B697C"/>
    <w:rsid w:val="009C1CBA"/>
    <w:rsid w:val="009C3704"/>
    <w:rsid w:val="009D0137"/>
    <w:rsid w:val="009D1BCE"/>
    <w:rsid w:val="009D75C3"/>
    <w:rsid w:val="009D7A8C"/>
    <w:rsid w:val="009E082D"/>
    <w:rsid w:val="009E2DB9"/>
    <w:rsid w:val="009F2FE6"/>
    <w:rsid w:val="00A01C58"/>
    <w:rsid w:val="00A02C6A"/>
    <w:rsid w:val="00A04A3E"/>
    <w:rsid w:val="00A15753"/>
    <w:rsid w:val="00A16377"/>
    <w:rsid w:val="00A23C1B"/>
    <w:rsid w:val="00A34658"/>
    <w:rsid w:val="00A37523"/>
    <w:rsid w:val="00A37B5A"/>
    <w:rsid w:val="00A41892"/>
    <w:rsid w:val="00A42446"/>
    <w:rsid w:val="00A45D84"/>
    <w:rsid w:val="00A55373"/>
    <w:rsid w:val="00A57829"/>
    <w:rsid w:val="00A6769B"/>
    <w:rsid w:val="00A679F9"/>
    <w:rsid w:val="00A75858"/>
    <w:rsid w:val="00A7740F"/>
    <w:rsid w:val="00A83162"/>
    <w:rsid w:val="00A85DFA"/>
    <w:rsid w:val="00A94CB1"/>
    <w:rsid w:val="00A97071"/>
    <w:rsid w:val="00AA57C4"/>
    <w:rsid w:val="00AB3C07"/>
    <w:rsid w:val="00AB3FBB"/>
    <w:rsid w:val="00AB5041"/>
    <w:rsid w:val="00AC4440"/>
    <w:rsid w:val="00AC76CD"/>
    <w:rsid w:val="00AD0EF9"/>
    <w:rsid w:val="00AD2A9D"/>
    <w:rsid w:val="00AD3C75"/>
    <w:rsid w:val="00AD7661"/>
    <w:rsid w:val="00AE316A"/>
    <w:rsid w:val="00AF2D36"/>
    <w:rsid w:val="00AF3C92"/>
    <w:rsid w:val="00AF4696"/>
    <w:rsid w:val="00AF75FA"/>
    <w:rsid w:val="00B04113"/>
    <w:rsid w:val="00B06ACC"/>
    <w:rsid w:val="00B07948"/>
    <w:rsid w:val="00B11910"/>
    <w:rsid w:val="00B11A4C"/>
    <w:rsid w:val="00B24FE5"/>
    <w:rsid w:val="00B271DE"/>
    <w:rsid w:val="00B27207"/>
    <w:rsid w:val="00B3052E"/>
    <w:rsid w:val="00B4496A"/>
    <w:rsid w:val="00B51227"/>
    <w:rsid w:val="00B52B15"/>
    <w:rsid w:val="00B55058"/>
    <w:rsid w:val="00B601AA"/>
    <w:rsid w:val="00B640F7"/>
    <w:rsid w:val="00B64B4C"/>
    <w:rsid w:val="00B672D1"/>
    <w:rsid w:val="00B71F70"/>
    <w:rsid w:val="00B72219"/>
    <w:rsid w:val="00B73604"/>
    <w:rsid w:val="00B73B6B"/>
    <w:rsid w:val="00B74B00"/>
    <w:rsid w:val="00B77D93"/>
    <w:rsid w:val="00B82EBF"/>
    <w:rsid w:val="00B8639F"/>
    <w:rsid w:val="00B9335B"/>
    <w:rsid w:val="00B943D6"/>
    <w:rsid w:val="00BA1E5D"/>
    <w:rsid w:val="00BA5A93"/>
    <w:rsid w:val="00BA71C2"/>
    <w:rsid w:val="00BA7FF2"/>
    <w:rsid w:val="00BC326F"/>
    <w:rsid w:val="00BC34EA"/>
    <w:rsid w:val="00BC6206"/>
    <w:rsid w:val="00BD1B32"/>
    <w:rsid w:val="00BD2AB5"/>
    <w:rsid w:val="00BD49E5"/>
    <w:rsid w:val="00BE3CBB"/>
    <w:rsid w:val="00BE6662"/>
    <w:rsid w:val="00BF1D84"/>
    <w:rsid w:val="00C00484"/>
    <w:rsid w:val="00C0225C"/>
    <w:rsid w:val="00C07298"/>
    <w:rsid w:val="00C366FC"/>
    <w:rsid w:val="00C37F98"/>
    <w:rsid w:val="00C437E4"/>
    <w:rsid w:val="00C536DD"/>
    <w:rsid w:val="00C656F1"/>
    <w:rsid w:val="00C73701"/>
    <w:rsid w:val="00C757E7"/>
    <w:rsid w:val="00C83C63"/>
    <w:rsid w:val="00C87330"/>
    <w:rsid w:val="00C92551"/>
    <w:rsid w:val="00C93B26"/>
    <w:rsid w:val="00C96C79"/>
    <w:rsid w:val="00CA08A9"/>
    <w:rsid w:val="00CA508B"/>
    <w:rsid w:val="00CB12C5"/>
    <w:rsid w:val="00CB2315"/>
    <w:rsid w:val="00CB2D87"/>
    <w:rsid w:val="00CB6508"/>
    <w:rsid w:val="00CC06CE"/>
    <w:rsid w:val="00CC2176"/>
    <w:rsid w:val="00CC2769"/>
    <w:rsid w:val="00CC5013"/>
    <w:rsid w:val="00CC66BC"/>
    <w:rsid w:val="00CD4358"/>
    <w:rsid w:val="00CD7396"/>
    <w:rsid w:val="00CD7B9A"/>
    <w:rsid w:val="00CE2A16"/>
    <w:rsid w:val="00CE300B"/>
    <w:rsid w:val="00CE3C50"/>
    <w:rsid w:val="00CF1CDE"/>
    <w:rsid w:val="00CF35EC"/>
    <w:rsid w:val="00D033DE"/>
    <w:rsid w:val="00D05AA7"/>
    <w:rsid w:val="00D12A9B"/>
    <w:rsid w:val="00D162B0"/>
    <w:rsid w:val="00D20A9B"/>
    <w:rsid w:val="00D23128"/>
    <w:rsid w:val="00D238F9"/>
    <w:rsid w:val="00D3045F"/>
    <w:rsid w:val="00D41DF4"/>
    <w:rsid w:val="00D53DB7"/>
    <w:rsid w:val="00D65132"/>
    <w:rsid w:val="00D6562C"/>
    <w:rsid w:val="00D66D2E"/>
    <w:rsid w:val="00D67611"/>
    <w:rsid w:val="00D76079"/>
    <w:rsid w:val="00D76F2E"/>
    <w:rsid w:val="00D8509C"/>
    <w:rsid w:val="00D85478"/>
    <w:rsid w:val="00D94384"/>
    <w:rsid w:val="00DA3F9A"/>
    <w:rsid w:val="00DA7C37"/>
    <w:rsid w:val="00DB4A7C"/>
    <w:rsid w:val="00DB4B07"/>
    <w:rsid w:val="00DB51F4"/>
    <w:rsid w:val="00DB5906"/>
    <w:rsid w:val="00DB7E5A"/>
    <w:rsid w:val="00DC45B9"/>
    <w:rsid w:val="00DF0DED"/>
    <w:rsid w:val="00DF2836"/>
    <w:rsid w:val="00E018FC"/>
    <w:rsid w:val="00E06606"/>
    <w:rsid w:val="00E06BB7"/>
    <w:rsid w:val="00E10958"/>
    <w:rsid w:val="00E11908"/>
    <w:rsid w:val="00E20CFB"/>
    <w:rsid w:val="00E21EC6"/>
    <w:rsid w:val="00E3202C"/>
    <w:rsid w:val="00E50148"/>
    <w:rsid w:val="00E505CD"/>
    <w:rsid w:val="00E5147F"/>
    <w:rsid w:val="00E515A3"/>
    <w:rsid w:val="00E52944"/>
    <w:rsid w:val="00E56E45"/>
    <w:rsid w:val="00E659B8"/>
    <w:rsid w:val="00E663AF"/>
    <w:rsid w:val="00E678C0"/>
    <w:rsid w:val="00E718DB"/>
    <w:rsid w:val="00E723B7"/>
    <w:rsid w:val="00E73FCB"/>
    <w:rsid w:val="00E81409"/>
    <w:rsid w:val="00E82186"/>
    <w:rsid w:val="00E83C98"/>
    <w:rsid w:val="00E85BDA"/>
    <w:rsid w:val="00E95B84"/>
    <w:rsid w:val="00E9789A"/>
    <w:rsid w:val="00E97F05"/>
    <w:rsid w:val="00EA046C"/>
    <w:rsid w:val="00EA17EB"/>
    <w:rsid w:val="00EA459A"/>
    <w:rsid w:val="00EA522D"/>
    <w:rsid w:val="00EA5306"/>
    <w:rsid w:val="00EA5CB6"/>
    <w:rsid w:val="00EB087E"/>
    <w:rsid w:val="00EB6DF3"/>
    <w:rsid w:val="00EC090C"/>
    <w:rsid w:val="00EC2BA5"/>
    <w:rsid w:val="00EC3C72"/>
    <w:rsid w:val="00EC76D5"/>
    <w:rsid w:val="00EE065C"/>
    <w:rsid w:val="00EF0EBC"/>
    <w:rsid w:val="00EF7747"/>
    <w:rsid w:val="00F03201"/>
    <w:rsid w:val="00F102AC"/>
    <w:rsid w:val="00F25743"/>
    <w:rsid w:val="00F27518"/>
    <w:rsid w:val="00F316CA"/>
    <w:rsid w:val="00F32637"/>
    <w:rsid w:val="00F3624B"/>
    <w:rsid w:val="00F3710D"/>
    <w:rsid w:val="00F40503"/>
    <w:rsid w:val="00F425F1"/>
    <w:rsid w:val="00F43561"/>
    <w:rsid w:val="00F451F0"/>
    <w:rsid w:val="00F5178C"/>
    <w:rsid w:val="00F55D9A"/>
    <w:rsid w:val="00F55E62"/>
    <w:rsid w:val="00F5770B"/>
    <w:rsid w:val="00F60C27"/>
    <w:rsid w:val="00F731E2"/>
    <w:rsid w:val="00F775F2"/>
    <w:rsid w:val="00F8386D"/>
    <w:rsid w:val="00F86A35"/>
    <w:rsid w:val="00F87904"/>
    <w:rsid w:val="00F959A8"/>
    <w:rsid w:val="00FA67F8"/>
    <w:rsid w:val="00FA7AF9"/>
    <w:rsid w:val="00FB3364"/>
    <w:rsid w:val="00FB6B0A"/>
    <w:rsid w:val="00FC551F"/>
    <w:rsid w:val="00FD0798"/>
    <w:rsid w:val="00FD6095"/>
    <w:rsid w:val="00FD7536"/>
    <w:rsid w:val="00FE47C4"/>
    <w:rsid w:val="00FF1885"/>
    <w:rsid w:val="00FF6381"/>
    <w:rsid w:val="1F1F6C36"/>
    <w:rsid w:val="33E6D8D8"/>
    <w:rsid w:val="4AD19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2733EEBB"/>
  <w15:chartTrackingRefBased/>
  <w15:docId w15:val="{0BF256F7-2B64-45BA-AFD0-45EB64E5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2AC"/>
    <w:rPr>
      <w:rFonts w:ascii="Times New Roman" w:eastAsia="Times New Roman" w:hAnsi="Times New Roman"/>
      <w:sz w:val="24"/>
      <w:szCs w:val="24"/>
    </w:rPr>
  </w:style>
  <w:style w:type="paragraph" w:styleId="Heading1">
    <w:name w:val="heading 1"/>
    <w:basedOn w:val="Normal"/>
    <w:next w:val="Heading4"/>
    <w:link w:val="Heading1Char"/>
    <w:qFormat/>
    <w:rsid w:val="00F27518"/>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F27518"/>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
    <w:semiHidden/>
    <w:unhideWhenUsed/>
    <w:qFormat/>
    <w:rsid w:val="00F27518"/>
    <w:pPr>
      <w:keepNext/>
      <w:keepLines/>
      <w:spacing w:before="40"/>
      <w:outlineLvl w:val="3"/>
    </w:pPr>
    <w:rPr>
      <w:rFonts w:ascii="Calibri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7518"/>
    <w:rPr>
      <w:rFonts w:ascii="Arial" w:eastAsia="Times New Roman" w:hAnsi="Arial" w:cs="Arial"/>
      <w:b/>
      <w:color w:val="FF9900"/>
      <w:sz w:val="32"/>
      <w:szCs w:val="20"/>
    </w:rPr>
  </w:style>
  <w:style w:type="character" w:customStyle="1" w:styleId="Heading2Char">
    <w:name w:val="Heading 2 Char"/>
    <w:link w:val="Heading2"/>
    <w:rsid w:val="00F27518"/>
    <w:rPr>
      <w:rFonts w:ascii="Arial" w:eastAsia="Times New Roman" w:hAnsi="Arial" w:cs="Arial"/>
      <w:b/>
      <w:bCs/>
      <w:i/>
      <w:iCs/>
      <w:sz w:val="28"/>
      <w:szCs w:val="28"/>
    </w:rPr>
  </w:style>
  <w:style w:type="character" w:styleId="Hyperlink">
    <w:name w:val="Hyperlink"/>
    <w:uiPriority w:val="99"/>
    <w:rsid w:val="00F27518"/>
    <w:rPr>
      <w:color w:val="0000FF"/>
      <w:u w:val="single"/>
    </w:rPr>
  </w:style>
  <w:style w:type="paragraph" w:styleId="ListParagraph">
    <w:name w:val="List Paragraph"/>
    <w:basedOn w:val="Normal"/>
    <w:uiPriority w:val="34"/>
    <w:qFormat/>
    <w:rsid w:val="00F27518"/>
    <w:pPr>
      <w:ind w:left="720"/>
    </w:pPr>
  </w:style>
  <w:style w:type="paragraph" w:styleId="TOC2">
    <w:name w:val="toc 2"/>
    <w:basedOn w:val="Normal"/>
    <w:next w:val="Normal"/>
    <w:autoRedefine/>
    <w:uiPriority w:val="39"/>
    <w:rsid w:val="001E2AC9"/>
    <w:pPr>
      <w:tabs>
        <w:tab w:val="right" w:leader="dot" w:pos="12950"/>
      </w:tabs>
    </w:pPr>
    <w:rPr>
      <w:rFonts w:ascii="Verdana" w:hAnsi="Verdana"/>
      <w:noProof/>
      <w:color w:val="3333FF"/>
      <w:u w:val="single"/>
    </w:rPr>
  </w:style>
  <w:style w:type="character" w:customStyle="1" w:styleId="Heading4Char">
    <w:name w:val="Heading 4 Char"/>
    <w:link w:val="Heading4"/>
    <w:uiPriority w:val="9"/>
    <w:semiHidden/>
    <w:rsid w:val="00F27518"/>
    <w:rPr>
      <w:rFonts w:ascii="Calibri Light" w:eastAsia="Times New Roman" w:hAnsi="Calibri Light" w:cs="Times New Roman"/>
      <w:i/>
      <w:iCs/>
      <w:color w:val="2E74B5"/>
      <w:sz w:val="24"/>
      <w:szCs w:val="24"/>
    </w:rPr>
  </w:style>
  <w:style w:type="character" w:styleId="CommentReference">
    <w:name w:val="annotation reference"/>
    <w:uiPriority w:val="99"/>
    <w:unhideWhenUsed/>
    <w:rsid w:val="00F27518"/>
    <w:rPr>
      <w:sz w:val="16"/>
      <w:szCs w:val="16"/>
    </w:rPr>
  </w:style>
  <w:style w:type="paragraph" w:styleId="CommentText">
    <w:name w:val="annotation text"/>
    <w:basedOn w:val="Normal"/>
    <w:link w:val="CommentTextChar"/>
    <w:uiPriority w:val="99"/>
    <w:unhideWhenUsed/>
    <w:rsid w:val="00F27518"/>
    <w:rPr>
      <w:sz w:val="20"/>
      <w:szCs w:val="20"/>
    </w:rPr>
  </w:style>
  <w:style w:type="character" w:customStyle="1" w:styleId="CommentTextChar">
    <w:name w:val="Comment Text Char"/>
    <w:link w:val="CommentText"/>
    <w:uiPriority w:val="99"/>
    <w:rsid w:val="00F2751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7518"/>
    <w:rPr>
      <w:b/>
      <w:bCs/>
    </w:rPr>
  </w:style>
  <w:style w:type="character" w:customStyle="1" w:styleId="CommentSubjectChar">
    <w:name w:val="Comment Subject Char"/>
    <w:link w:val="CommentSubject"/>
    <w:uiPriority w:val="99"/>
    <w:semiHidden/>
    <w:rsid w:val="00F2751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27518"/>
    <w:rPr>
      <w:rFonts w:ascii="Segoe UI" w:hAnsi="Segoe UI" w:cs="Segoe UI"/>
      <w:sz w:val="18"/>
      <w:szCs w:val="18"/>
    </w:rPr>
  </w:style>
  <w:style w:type="character" w:customStyle="1" w:styleId="BalloonTextChar">
    <w:name w:val="Balloon Text Char"/>
    <w:link w:val="BalloonText"/>
    <w:uiPriority w:val="99"/>
    <w:semiHidden/>
    <w:rsid w:val="00F27518"/>
    <w:rPr>
      <w:rFonts w:ascii="Segoe UI" w:eastAsia="Times New Roman" w:hAnsi="Segoe UI" w:cs="Segoe UI"/>
      <w:sz w:val="18"/>
      <w:szCs w:val="18"/>
    </w:rPr>
  </w:style>
  <w:style w:type="table" w:styleId="TableGrid">
    <w:name w:val="Table Grid"/>
    <w:basedOn w:val="TableNormal"/>
    <w:uiPriority w:val="39"/>
    <w:rsid w:val="00727D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55EE"/>
    <w:pPr>
      <w:spacing w:before="100" w:beforeAutospacing="1" w:after="100" w:afterAutospacing="1"/>
    </w:pPr>
  </w:style>
  <w:style w:type="character" w:styleId="FollowedHyperlink">
    <w:name w:val="FollowedHyperlink"/>
    <w:uiPriority w:val="99"/>
    <w:semiHidden/>
    <w:unhideWhenUsed/>
    <w:rsid w:val="0095000D"/>
    <w:rPr>
      <w:color w:val="954F72"/>
      <w:u w:val="single"/>
    </w:rPr>
  </w:style>
  <w:style w:type="character" w:customStyle="1" w:styleId="apple-converted-space">
    <w:name w:val="apple-converted-space"/>
    <w:rsid w:val="009C3704"/>
  </w:style>
  <w:style w:type="paragraph" w:styleId="Revision">
    <w:name w:val="Revision"/>
    <w:hidden/>
    <w:uiPriority w:val="99"/>
    <w:semiHidden/>
    <w:rsid w:val="00B9335B"/>
    <w:rPr>
      <w:rFonts w:ascii="Times New Roman" w:eastAsia="Times New Roman" w:hAnsi="Times New Roman"/>
      <w:sz w:val="24"/>
      <w:szCs w:val="24"/>
    </w:rPr>
  </w:style>
  <w:style w:type="paragraph" w:styleId="BodyTextIndent2">
    <w:name w:val="Body Text Indent 2"/>
    <w:basedOn w:val="Normal"/>
    <w:link w:val="BodyTextIndent2Char"/>
    <w:rsid w:val="00B07948"/>
    <w:pPr>
      <w:spacing w:after="120" w:line="480" w:lineRule="auto"/>
      <w:ind w:left="360"/>
    </w:pPr>
  </w:style>
  <w:style w:type="character" w:customStyle="1" w:styleId="BodyTextIndent2Char">
    <w:name w:val="Body Text Indent 2 Char"/>
    <w:link w:val="BodyTextIndent2"/>
    <w:rsid w:val="00B07948"/>
    <w:rPr>
      <w:rFonts w:ascii="Times New Roman" w:eastAsia="Times New Roman" w:hAnsi="Times New Roman"/>
      <w:sz w:val="24"/>
      <w:szCs w:val="24"/>
    </w:rPr>
  </w:style>
  <w:style w:type="paragraph" w:customStyle="1" w:styleId="Dotbullet">
    <w:name w:val="Dot bullet"/>
    <w:basedOn w:val="Normal"/>
    <w:rsid w:val="00AF2D36"/>
    <w:pPr>
      <w:widowControl w:val="0"/>
      <w:numPr>
        <w:numId w:val="1"/>
      </w:numPr>
    </w:pPr>
    <w:rPr>
      <w:rFonts w:ascii="Verdana" w:hAnsi="Verdana"/>
      <w:snapToGrid w:val="0"/>
      <w:color w:val="000000"/>
      <w:szCs w:val="20"/>
    </w:rPr>
  </w:style>
  <w:style w:type="paragraph" w:customStyle="1" w:styleId="BulletText1">
    <w:name w:val="Bullet Text 1"/>
    <w:basedOn w:val="Normal"/>
    <w:rsid w:val="005B2707"/>
    <w:pPr>
      <w:numPr>
        <w:numId w:val="2"/>
      </w:numPr>
    </w:pPr>
    <w:rPr>
      <w:color w:val="000000"/>
      <w:szCs w:val="20"/>
    </w:rPr>
  </w:style>
  <w:style w:type="paragraph" w:styleId="Header">
    <w:name w:val="header"/>
    <w:basedOn w:val="Normal"/>
    <w:link w:val="HeaderChar"/>
    <w:uiPriority w:val="99"/>
    <w:semiHidden/>
    <w:unhideWhenUsed/>
    <w:rsid w:val="00BF1D84"/>
    <w:pPr>
      <w:tabs>
        <w:tab w:val="center" w:pos="4680"/>
        <w:tab w:val="right" w:pos="9360"/>
      </w:tabs>
    </w:pPr>
  </w:style>
  <w:style w:type="character" w:customStyle="1" w:styleId="HeaderChar">
    <w:name w:val="Header Char"/>
    <w:basedOn w:val="DefaultParagraphFont"/>
    <w:link w:val="Header"/>
    <w:uiPriority w:val="99"/>
    <w:semiHidden/>
    <w:rsid w:val="00BF1D84"/>
    <w:rPr>
      <w:rFonts w:ascii="Times New Roman" w:eastAsia="Times New Roman" w:hAnsi="Times New Roman"/>
      <w:sz w:val="24"/>
      <w:szCs w:val="24"/>
    </w:rPr>
  </w:style>
  <w:style w:type="paragraph" w:styleId="Footer">
    <w:name w:val="footer"/>
    <w:basedOn w:val="Normal"/>
    <w:link w:val="FooterChar"/>
    <w:uiPriority w:val="99"/>
    <w:semiHidden/>
    <w:unhideWhenUsed/>
    <w:rsid w:val="00BF1D84"/>
    <w:pPr>
      <w:tabs>
        <w:tab w:val="center" w:pos="4680"/>
        <w:tab w:val="right" w:pos="9360"/>
      </w:tabs>
    </w:pPr>
  </w:style>
  <w:style w:type="character" w:customStyle="1" w:styleId="FooterChar">
    <w:name w:val="Footer Char"/>
    <w:basedOn w:val="DefaultParagraphFont"/>
    <w:link w:val="Footer"/>
    <w:uiPriority w:val="99"/>
    <w:semiHidden/>
    <w:rsid w:val="00BF1D84"/>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35251">
      <w:bodyDiv w:val="1"/>
      <w:marLeft w:val="0"/>
      <w:marRight w:val="0"/>
      <w:marTop w:val="0"/>
      <w:marBottom w:val="0"/>
      <w:divBdr>
        <w:top w:val="none" w:sz="0" w:space="0" w:color="auto"/>
        <w:left w:val="none" w:sz="0" w:space="0" w:color="auto"/>
        <w:bottom w:val="none" w:sz="0" w:space="0" w:color="auto"/>
        <w:right w:val="none" w:sz="0" w:space="0" w:color="auto"/>
      </w:divBdr>
      <w:divsChild>
        <w:div w:id="986402370">
          <w:marLeft w:val="302"/>
          <w:marRight w:val="0"/>
          <w:marTop w:val="0"/>
          <w:marBottom w:val="0"/>
          <w:divBdr>
            <w:top w:val="none" w:sz="0" w:space="0" w:color="auto"/>
            <w:left w:val="none" w:sz="0" w:space="0" w:color="auto"/>
            <w:bottom w:val="none" w:sz="0" w:space="0" w:color="auto"/>
            <w:right w:val="none" w:sz="0" w:space="0" w:color="auto"/>
          </w:divBdr>
        </w:div>
        <w:div w:id="1399402966">
          <w:marLeft w:val="302"/>
          <w:marRight w:val="0"/>
          <w:marTop w:val="0"/>
          <w:marBottom w:val="0"/>
          <w:divBdr>
            <w:top w:val="none" w:sz="0" w:space="0" w:color="auto"/>
            <w:left w:val="none" w:sz="0" w:space="0" w:color="auto"/>
            <w:bottom w:val="none" w:sz="0" w:space="0" w:color="auto"/>
            <w:right w:val="none" w:sz="0" w:space="0" w:color="auto"/>
          </w:divBdr>
        </w:div>
      </w:divsChild>
    </w:div>
    <w:div w:id="212352426">
      <w:bodyDiv w:val="1"/>
      <w:marLeft w:val="0"/>
      <w:marRight w:val="0"/>
      <w:marTop w:val="0"/>
      <w:marBottom w:val="0"/>
      <w:divBdr>
        <w:top w:val="none" w:sz="0" w:space="0" w:color="auto"/>
        <w:left w:val="none" w:sz="0" w:space="0" w:color="auto"/>
        <w:bottom w:val="none" w:sz="0" w:space="0" w:color="auto"/>
        <w:right w:val="none" w:sz="0" w:space="0" w:color="auto"/>
      </w:divBdr>
    </w:div>
    <w:div w:id="227689123">
      <w:bodyDiv w:val="1"/>
      <w:marLeft w:val="0"/>
      <w:marRight w:val="0"/>
      <w:marTop w:val="0"/>
      <w:marBottom w:val="0"/>
      <w:divBdr>
        <w:top w:val="none" w:sz="0" w:space="0" w:color="auto"/>
        <w:left w:val="none" w:sz="0" w:space="0" w:color="auto"/>
        <w:bottom w:val="none" w:sz="0" w:space="0" w:color="auto"/>
        <w:right w:val="none" w:sz="0" w:space="0" w:color="auto"/>
      </w:divBdr>
      <w:divsChild>
        <w:div w:id="1282809921">
          <w:marLeft w:val="202"/>
          <w:marRight w:val="0"/>
          <w:marTop w:val="0"/>
          <w:marBottom w:val="0"/>
          <w:divBdr>
            <w:top w:val="none" w:sz="0" w:space="0" w:color="auto"/>
            <w:left w:val="none" w:sz="0" w:space="0" w:color="auto"/>
            <w:bottom w:val="none" w:sz="0" w:space="0" w:color="auto"/>
            <w:right w:val="none" w:sz="0" w:space="0" w:color="auto"/>
          </w:divBdr>
        </w:div>
        <w:div w:id="1526556796">
          <w:marLeft w:val="202"/>
          <w:marRight w:val="0"/>
          <w:marTop w:val="0"/>
          <w:marBottom w:val="0"/>
          <w:divBdr>
            <w:top w:val="none" w:sz="0" w:space="0" w:color="auto"/>
            <w:left w:val="none" w:sz="0" w:space="0" w:color="auto"/>
            <w:bottom w:val="none" w:sz="0" w:space="0" w:color="auto"/>
            <w:right w:val="none" w:sz="0" w:space="0" w:color="auto"/>
          </w:divBdr>
        </w:div>
        <w:div w:id="1683437804">
          <w:marLeft w:val="202"/>
          <w:marRight w:val="0"/>
          <w:marTop w:val="0"/>
          <w:marBottom w:val="0"/>
          <w:divBdr>
            <w:top w:val="none" w:sz="0" w:space="0" w:color="auto"/>
            <w:left w:val="none" w:sz="0" w:space="0" w:color="auto"/>
            <w:bottom w:val="none" w:sz="0" w:space="0" w:color="auto"/>
            <w:right w:val="none" w:sz="0" w:space="0" w:color="auto"/>
          </w:divBdr>
        </w:div>
      </w:divsChild>
    </w:div>
    <w:div w:id="477846048">
      <w:bodyDiv w:val="1"/>
      <w:marLeft w:val="0"/>
      <w:marRight w:val="0"/>
      <w:marTop w:val="0"/>
      <w:marBottom w:val="0"/>
      <w:divBdr>
        <w:top w:val="none" w:sz="0" w:space="0" w:color="auto"/>
        <w:left w:val="none" w:sz="0" w:space="0" w:color="auto"/>
        <w:bottom w:val="none" w:sz="0" w:space="0" w:color="auto"/>
        <w:right w:val="none" w:sz="0" w:space="0" w:color="auto"/>
      </w:divBdr>
    </w:div>
    <w:div w:id="643583223">
      <w:bodyDiv w:val="1"/>
      <w:marLeft w:val="0"/>
      <w:marRight w:val="0"/>
      <w:marTop w:val="0"/>
      <w:marBottom w:val="0"/>
      <w:divBdr>
        <w:top w:val="none" w:sz="0" w:space="0" w:color="auto"/>
        <w:left w:val="none" w:sz="0" w:space="0" w:color="auto"/>
        <w:bottom w:val="none" w:sz="0" w:space="0" w:color="auto"/>
        <w:right w:val="none" w:sz="0" w:space="0" w:color="auto"/>
      </w:divBdr>
      <w:divsChild>
        <w:div w:id="730467672">
          <w:marLeft w:val="202"/>
          <w:marRight w:val="0"/>
          <w:marTop w:val="0"/>
          <w:marBottom w:val="0"/>
          <w:divBdr>
            <w:top w:val="none" w:sz="0" w:space="0" w:color="auto"/>
            <w:left w:val="none" w:sz="0" w:space="0" w:color="auto"/>
            <w:bottom w:val="none" w:sz="0" w:space="0" w:color="auto"/>
            <w:right w:val="none" w:sz="0" w:space="0" w:color="auto"/>
          </w:divBdr>
        </w:div>
        <w:div w:id="1569224690">
          <w:marLeft w:val="202"/>
          <w:marRight w:val="0"/>
          <w:marTop w:val="0"/>
          <w:marBottom w:val="0"/>
          <w:divBdr>
            <w:top w:val="none" w:sz="0" w:space="0" w:color="auto"/>
            <w:left w:val="none" w:sz="0" w:space="0" w:color="auto"/>
            <w:bottom w:val="none" w:sz="0" w:space="0" w:color="auto"/>
            <w:right w:val="none" w:sz="0" w:space="0" w:color="auto"/>
          </w:divBdr>
        </w:div>
        <w:div w:id="1966351797">
          <w:marLeft w:val="202"/>
          <w:marRight w:val="0"/>
          <w:marTop w:val="0"/>
          <w:marBottom w:val="0"/>
          <w:divBdr>
            <w:top w:val="none" w:sz="0" w:space="0" w:color="auto"/>
            <w:left w:val="none" w:sz="0" w:space="0" w:color="auto"/>
            <w:bottom w:val="none" w:sz="0" w:space="0" w:color="auto"/>
            <w:right w:val="none" w:sz="0" w:space="0" w:color="auto"/>
          </w:divBdr>
        </w:div>
        <w:div w:id="1967466165">
          <w:marLeft w:val="202"/>
          <w:marRight w:val="0"/>
          <w:marTop w:val="0"/>
          <w:marBottom w:val="0"/>
          <w:divBdr>
            <w:top w:val="none" w:sz="0" w:space="0" w:color="auto"/>
            <w:left w:val="none" w:sz="0" w:space="0" w:color="auto"/>
            <w:bottom w:val="none" w:sz="0" w:space="0" w:color="auto"/>
            <w:right w:val="none" w:sz="0" w:space="0" w:color="auto"/>
          </w:divBdr>
        </w:div>
      </w:divsChild>
    </w:div>
    <w:div w:id="760027012">
      <w:bodyDiv w:val="1"/>
      <w:marLeft w:val="0"/>
      <w:marRight w:val="0"/>
      <w:marTop w:val="0"/>
      <w:marBottom w:val="0"/>
      <w:divBdr>
        <w:top w:val="none" w:sz="0" w:space="0" w:color="auto"/>
        <w:left w:val="none" w:sz="0" w:space="0" w:color="auto"/>
        <w:bottom w:val="none" w:sz="0" w:space="0" w:color="auto"/>
        <w:right w:val="none" w:sz="0" w:space="0" w:color="auto"/>
      </w:divBdr>
    </w:div>
    <w:div w:id="852500312">
      <w:bodyDiv w:val="1"/>
      <w:marLeft w:val="0"/>
      <w:marRight w:val="0"/>
      <w:marTop w:val="0"/>
      <w:marBottom w:val="0"/>
      <w:divBdr>
        <w:top w:val="none" w:sz="0" w:space="0" w:color="auto"/>
        <w:left w:val="none" w:sz="0" w:space="0" w:color="auto"/>
        <w:bottom w:val="none" w:sz="0" w:space="0" w:color="auto"/>
        <w:right w:val="none" w:sz="0" w:space="0" w:color="auto"/>
      </w:divBdr>
      <w:divsChild>
        <w:div w:id="107169501">
          <w:marLeft w:val="360"/>
          <w:marRight w:val="0"/>
          <w:marTop w:val="0"/>
          <w:marBottom w:val="0"/>
          <w:divBdr>
            <w:top w:val="none" w:sz="0" w:space="0" w:color="auto"/>
            <w:left w:val="none" w:sz="0" w:space="0" w:color="auto"/>
            <w:bottom w:val="none" w:sz="0" w:space="0" w:color="auto"/>
            <w:right w:val="none" w:sz="0" w:space="0" w:color="auto"/>
          </w:divBdr>
        </w:div>
        <w:div w:id="227617028">
          <w:marLeft w:val="360"/>
          <w:marRight w:val="0"/>
          <w:marTop w:val="0"/>
          <w:marBottom w:val="0"/>
          <w:divBdr>
            <w:top w:val="none" w:sz="0" w:space="0" w:color="auto"/>
            <w:left w:val="none" w:sz="0" w:space="0" w:color="auto"/>
            <w:bottom w:val="none" w:sz="0" w:space="0" w:color="auto"/>
            <w:right w:val="none" w:sz="0" w:space="0" w:color="auto"/>
          </w:divBdr>
        </w:div>
      </w:divsChild>
    </w:div>
    <w:div w:id="879633779">
      <w:bodyDiv w:val="1"/>
      <w:marLeft w:val="0"/>
      <w:marRight w:val="0"/>
      <w:marTop w:val="0"/>
      <w:marBottom w:val="0"/>
      <w:divBdr>
        <w:top w:val="none" w:sz="0" w:space="0" w:color="auto"/>
        <w:left w:val="none" w:sz="0" w:space="0" w:color="auto"/>
        <w:bottom w:val="none" w:sz="0" w:space="0" w:color="auto"/>
        <w:right w:val="none" w:sz="0" w:space="0" w:color="auto"/>
      </w:divBdr>
    </w:div>
    <w:div w:id="883952966">
      <w:bodyDiv w:val="1"/>
      <w:marLeft w:val="0"/>
      <w:marRight w:val="0"/>
      <w:marTop w:val="0"/>
      <w:marBottom w:val="0"/>
      <w:divBdr>
        <w:top w:val="none" w:sz="0" w:space="0" w:color="auto"/>
        <w:left w:val="none" w:sz="0" w:space="0" w:color="auto"/>
        <w:bottom w:val="none" w:sz="0" w:space="0" w:color="auto"/>
        <w:right w:val="none" w:sz="0" w:space="0" w:color="auto"/>
      </w:divBdr>
    </w:div>
    <w:div w:id="891428076">
      <w:bodyDiv w:val="1"/>
      <w:marLeft w:val="0"/>
      <w:marRight w:val="0"/>
      <w:marTop w:val="0"/>
      <w:marBottom w:val="0"/>
      <w:divBdr>
        <w:top w:val="none" w:sz="0" w:space="0" w:color="auto"/>
        <w:left w:val="none" w:sz="0" w:space="0" w:color="auto"/>
        <w:bottom w:val="none" w:sz="0" w:space="0" w:color="auto"/>
        <w:right w:val="none" w:sz="0" w:space="0" w:color="auto"/>
      </w:divBdr>
    </w:div>
    <w:div w:id="898706414">
      <w:bodyDiv w:val="1"/>
      <w:marLeft w:val="0"/>
      <w:marRight w:val="0"/>
      <w:marTop w:val="0"/>
      <w:marBottom w:val="0"/>
      <w:divBdr>
        <w:top w:val="none" w:sz="0" w:space="0" w:color="auto"/>
        <w:left w:val="none" w:sz="0" w:space="0" w:color="auto"/>
        <w:bottom w:val="none" w:sz="0" w:space="0" w:color="auto"/>
        <w:right w:val="none" w:sz="0" w:space="0" w:color="auto"/>
      </w:divBdr>
    </w:div>
    <w:div w:id="952900875">
      <w:bodyDiv w:val="1"/>
      <w:marLeft w:val="0"/>
      <w:marRight w:val="0"/>
      <w:marTop w:val="0"/>
      <w:marBottom w:val="0"/>
      <w:divBdr>
        <w:top w:val="none" w:sz="0" w:space="0" w:color="auto"/>
        <w:left w:val="none" w:sz="0" w:space="0" w:color="auto"/>
        <w:bottom w:val="none" w:sz="0" w:space="0" w:color="auto"/>
        <w:right w:val="none" w:sz="0" w:space="0" w:color="auto"/>
      </w:divBdr>
    </w:div>
    <w:div w:id="1004816607">
      <w:bodyDiv w:val="1"/>
      <w:marLeft w:val="0"/>
      <w:marRight w:val="0"/>
      <w:marTop w:val="0"/>
      <w:marBottom w:val="0"/>
      <w:divBdr>
        <w:top w:val="none" w:sz="0" w:space="0" w:color="auto"/>
        <w:left w:val="none" w:sz="0" w:space="0" w:color="auto"/>
        <w:bottom w:val="none" w:sz="0" w:space="0" w:color="auto"/>
        <w:right w:val="none" w:sz="0" w:space="0" w:color="auto"/>
      </w:divBdr>
    </w:div>
    <w:div w:id="1024786757">
      <w:bodyDiv w:val="1"/>
      <w:marLeft w:val="0"/>
      <w:marRight w:val="0"/>
      <w:marTop w:val="0"/>
      <w:marBottom w:val="0"/>
      <w:divBdr>
        <w:top w:val="none" w:sz="0" w:space="0" w:color="auto"/>
        <w:left w:val="none" w:sz="0" w:space="0" w:color="auto"/>
        <w:bottom w:val="none" w:sz="0" w:space="0" w:color="auto"/>
        <w:right w:val="none" w:sz="0" w:space="0" w:color="auto"/>
      </w:divBdr>
    </w:div>
    <w:div w:id="1037581918">
      <w:bodyDiv w:val="1"/>
      <w:marLeft w:val="0"/>
      <w:marRight w:val="0"/>
      <w:marTop w:val="0"/>
      <w:marBottom w:val="0"/>
      <w:divBdr>
        <w:top w:val="none" w:sz="0" w:space="0" w:color="auto"/>
        <w:left w:val="none" w:sz="0" w:space="0" w:color="auto"/>
        <w:bottom w:val="none" w:sz="0" w:space="0" w:color="auto"/>
        <w:right w:val="none" w:sz="0" w:space="0" w:color="auto"/>
      </w:divBdr>
    </w:div>
    <w:div w:id="11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334798462">
          <w:marLeft w:val="360"/>
          <w:marRight w:val="0"/>
          <w:marTop w:val="0"/>
          <w:marBottom w:val="0"/>
          <w:divBdr>
            <w:top w:val="none" w:sz="0" w:space="0" w:color="auto"/>
            <w:left w:val="none" w:sz="0" w:space="0" w:color="auto"/>
            <w:bottom w:val="none" w:sz="0" w:space="0" w:color="auto"/>
            <w:right w:val="none" w:sz="0" w:space="0" w:color="auto"/>
          </w:divBdr>
        </w:div>
      </w:divsChild>
    </w:div>
    <w:div w:id="1103187804">
      <w:bodyDiv w:val="1"/>
      <w:marLeft w:val="0"/>
      <w:marRight w:val="0"/>
      <w:marTop w:val="0"/>
      <w:marBottom w:val="0"/>
      <w:divBdr>
        <w:top w:val="none" w:sz="0" w:space="0" w:color="auto"/>
        <w:left w:val="none" w:sz="0" w:space="0" w:color="auto"/>
        <w:bottom w:val="none" w:sz="0" w:space="0" w:color="auto"/>
        <w:right w:val="none" w:sz="0" w:space="0" w:color="auto"/>
      </w:divBdr>
      <w:divsChild>
        <w:div w:id="905992557">
          <w:marLeft w:val="360"/>
          <w:marRight w:val="0"/>
          <w:marTop w:val="0"/>
          <w:marBottom w:val="0"/>
          <w:divBdr>
            <w:top w:val="none" w:sz="0" w:space="0" w:color="auto"/>
            <w:left w:val="none" w:sz="0" w:space="0" w:color="auto"/>
            <w:bottom w:val="none" w:sz="0" w:space="0" w:color="auto"/>
            <w:right w:val="none" w:sz="0" w:space="0" w:color="auto"/>
          </w:divBdr>
        </w:div>
        <w:div w:id="1284965843">
          <w:marLeft w:val="360"/>
          <w:marRight w:val="0"/>
          <w:marTop w:val="0"/>
          <w:marBottom w:val="0"/>
          <w:divBdr>
            <w:top w:val="none" w:sz="0" w:space="0" w:color="auto"/>
            <w:left w:val="none" w:sz="0" w:space="0" w:color="auto"/>
            <w:bottom w:val="none" w:sz="0" w:space="0" w:color="auto"/>
            <w:right w:val="none" w:sz="0" w:space="0" w:color="auto"/>
          </w:divBdr>
        </w:div>
        <w:div w:id="1523855068">
          <w:marLeft w:val="360"/>
          <w:marRight w:val="0"/>
          <w:marTop w:val="0"/>
          <w:marBottom w:val="0"/>
          <w:divBdr>
            <w:top w:val="none" w:sz="0" w:space="0" w:color="auto"/>
            <w:left w:val="none" w:sz="0" w:space="0" w:color="auto"/>
            <w:bottom w:val="none" w:sz="0" w:space="0" w:color="auto"/>
            <w:right w:val="none" w:sz="0" w:space="0" w:color="auto"/>
          </w:divBdr>
        </w:div>
      </w:divsChild>
    </w:div>
    <w:div w:id="1118060284">
      <w:bodyDiv w:val="1"/>
      <w:marLeft w:val="0"/>
      <w:marRight w:val="0"/>
      <w:marTop w:val="0"/>
      <w:marBottom w:val="0"/>
      <w:divBdr>
        <w:top w:val="none" w:sz="0" w:space="0" w:color="auto"/>
        <w:left w:val="none" w:sz="0" w:space="0" w:color="auto"/>
        <w:bottom w:val="none" w:sz="0" w:space="0" w:color="auto"/>
        <w:right w:val="none" w:sz="0" w:space="0" w:color="auto"/>
      </w:divBdr>
      <w:divsChild>
        <w:div w:id="280721008">
          <w:marLeft w:val="360"/>
          <w:marRight w:val="0"/>
          <w:marTop w:val="0"/>
          <w:marBottom w:val="0"/>
          <w:divBdr>
            <w:top w:val="none" w:sz="0" w:space="0" w:color="auto"/>
            <w:left w:val="none" w:sz="0" w:space="0" w:color="auto"/>
            <w:bottom w:val="none" w:sz="0" w:space="0" w:color="auto"/>
            <w:right w:val="none" w:sz="0" w:space="0" w:color="auto"/>
          </w:divBdr>
        </w:div>
        <w:div w:id="302928633">
          <w:marLeft w:val="360"/>
          <w:marRight w:val="0"/>
          <w:marTop w:val="0"/>
          <w:marBottom w:val="0"/>
          <w:divBdr>
            <w:top w:val="none" w:sz="0" w:space="0" w:color="auto"/>
            <w:left w:val="none" w:sz="0" w:space="0" w:color="auto"/>
            <w:bottom w:val="none" w:sz="0" w:space="0" w:color="auto"/>
            <w:right w:val="none" w:sz="0" w:space="0" w:color="auto"/>
          </w:divBdr>
        </w:div>
      </w:divsChild>
    </w:div>
    <w:div w:id="1172527760">
      <w:bodyDiv w:val="1"/>
      <w:marLeft w:val="0"/>
      <w:marRight w:val="0"/>
      <w:marTop w:val="0"/>
      <w:marBottom w:val="0"/>
      <w:divBdr>
        <w:top w:val="none" w:sz="0" w:space="0" w:color="auto"/>
        <w:left w:val="none" w:sz="0" w:space="0" w:color="auto"/>
        <w:bottom w:val="none" w:sz="0" w:space="0" w:color="auto"/>
        <w:right w:val="none" w:sz="0" w:space="0" w:color="auto"/>
      </w:divBdr>
    </w:div>
    <w:div w:id="1234270912">
      <w:bodyDiv w:val="1"/>
      <w:marLeft w:val="0"/>
      <w:marRight w:val="0"/>
      <w:marTop w:val="0"/>
      <w:marBottom w:val="0"/>
      <w:divBdr>
        <w:top w:val="none" w:sz="0" w:space="0" w:color="auto"/>
        <w:left w:val="none" w:sz="0" w:space="0" w:color="auto"/>
        <w:bottom w:val="none" w:sz="0" w:space="0" w:color="auto"/>
        <w:right w:val="none" w:sz="0" w:space="0" w:color="auto"/>
      </w:divBdr>
      <w:divsChild>
        <w:div w:id="273481842">
          <w:marLeft w:val="202"/>
          <w:marRight w:val="0"/>
          <w:marTop w:val="0"/>
          <w:marBottom w:val="0"/>
          <w:divBdr>
            <w:top w:val="none" w:sz="0" w:space="0" w:color="auto"/>
            <w:left w:val="none" w:sz="0" w:space="0" w:color="auto"/>
            <w:bottom w:val="none" w:sz="0" w:space="0" w:color="auto"/>
            <w:right w:val="none" w:sz="0" w:space="0" w:color="auto"/>
          </w:divBdr>
        </w:div>
        <w:div w:id="293950452">
          <w:marLeft w:val="202"/>
          <w:marRight w:val="0"/>
          <w:marTop w:val="0"/>
          <w:marBottom w:val="0"/>
          <w:divBdr>
            <w:top w:val="none" w:sz="0" w:space="0" w:color="auto"/>
            <w:left w:val="none" w:sz="0" w:space="0" w:color="auto"/>
            <w:bottom w:val="none" w:sz="0" w:space="0" w:color="auto"/>
            <w:right w:val="none" w:sz="0" w:space="0" w:color="auto"/>
          </w:divBdr>
        </w:div>
        <w:div w:id="1362514745">
          <w:marLeft w:val="202"/>
          <w:marRight w:val="0"/>
          <w:marTop w:val="0"/>
          <w:marBottom w:val="0"/>
          <w:divBdr>
            <w:top w:val="none" w:sz="0" w:space="0" w:color="auto"/>
            <w:left w:val="none" w:sz="0" w:space="0" w:color="auto"/>
            <w:bottom w:val="none" w:sz="0" w:space="0" w:color="auto"/>
            <w:right w:val="none" w:sz="0" w:space="0" w:color="auto"/>
          </w:divBdr>
        </w:div>
        <w:div w:id="1824542352">
          <w:marLeft w:val="202"/>
          <w:marRight w:val="0"/>
          <w:marTop w:val="0"/>
          <w:marBottom w:val="0"/>
          <w:divBdr>
            <w:top w:val="none" w:sz="0" w:space="0" w:color="auto"/>
            <w:left w:val="none" w:sz="0" w:space="0" w:color="auto"/>
            <w:bottom w:val="none" w:sz="0" w:space="0" w:color="auto"/>
            <w:right w:val="none" w:sz="0" w:space="0" w:color="auto"/>
          </w:divBdr>
        </w:div>
        <w:div w:id="2006981159">
          <w:marLeft w:val="202"/>
          <w:marRight w:val="0"/>
          <w:marTop w:val="0"/>
          <w:marBottom w:val="0"/>
          <w:divBdr>
            <w:top w:val="none" w:sz="0" w:space="0" w:color="auto"/>
            <w:left w:val="none" w:sz="0" w:space="0" w:color="auto"/>
            <w:bottom w:val="none" w:sz="0" w:space="0" w:color="auto"/>
            <w:right w:val="none" w:sz="0" w:space="0" w:color="auto"/>
          </w:divBdr>
        </w:div>
        <w:div w:id="2106343686">
          <w:marLeft w:val="202"/>
          <w:marRight w:val="0"/>
          <w:marTop w:val="0"/>
          <w:marBottom w:val="0"/>
          <w:divBdr>
            <w:top w:val="none" w:sz="0" w:space="0" w:color="auto"/>
            <w:left w:val="none" w:sz="0" w:space="0" w:color="auto"/>
            <w:bottom w:val="none" w:sz="0" w:space="0" w:color="auto"/>
            <w:right w:val="none" w:sz="0" w:space="0" w:color="auto"/>
          </w:divBdr>
        </w:div>
      </w:divsChild>
    </w:div>
    <w:div w:id="1313673874">
      <w:bodyDiv w:val="1"/>
      <w:marLeft w:val="0"/>
      <w:marRight w:val="0"/>
      <w:marTop w:val="0"/>
      <w:marBottom w:val="0"/>
      <w:divBdr>
        <w:top w:val="none" w:sz="0" w:space="0" w:color="auto"/>
        <w:left w:val="none" w:sz="0" w:space="0" w:color="auto"/>
        <w:bottom w:val="none" w:sz="0" w:space="0" w:color="auto"/>
        <w:right w:val="none" w:sz="0" w:space="0" w:color="auto"/>
      </w:divBdr>
      <w:divsChild>
        <w:div w:id="1629623062">
          <w:marLeft w:val="360"/>
          <w:marRight w:val="0"/>
          <w:marTop w:val="0"/>
          <w:marBottom w:val="0"/>
          <w:divBdr>
            <w:top w:val="none" w:sz="0" w:space="0" w:color="auto"/>
            <w:left w:val="none" w:sz="0" w:space="0" w:color="auto"/>
            <w:bottom w:val="none" w:sz="0" w:space="0" w:color="auto"/>
            <w:right w:val="none" w:sz="0" w:space="0" w:color="auto"/>
          </w:divBdr>
        </w:div>
      </w:divsChild>
    </w:div>
    <w:div w:id="1417365522">
      <w:bodyDiv w:val="1"/>
      <w:marLeft w:val="0"/>
      <w:marRight w:val="0"/>
      <w:marTop w:val="0"/>
      <w:marBottom w:val="0"/>
      <w:divBdr>
        <w:top w:val="none" w:sz="0" w:space="0" w:color="auto"/>
        <w:left w:val="none" w:sz="0" w:space="0" w:color="auto"/>
        <w:bottom w:val="none" w:sz="0" w:space="0" w:color="auto"/>
        <w:right w:val="none" w:sz="0" w:space="0" w:color="auto"/>
      </w:divBdr>
    </w:div>
    <w:div w:id="1532840500">
      <w:bodyDiv w:val="1"/>
      <w:marLeft w:val="0"/>
      <w:marRight w:val="0"/>
      <w:marTop w:val="0"/>
      <w:marBottom w:val="0"/>
      <w:divBdr>
        <w:top w:val="none" w:sz="0" w:space="0" w:color="auto"/>
        <w:left w:val="none" w:sz="0" w:space="0" w:color="auto"/>
        <w:bottom w:val="none" w:sz="0" w:space="0" w:color="auto"/>
        <w:right w:val="none" w:sz="0" w:space="0" w:color="auto"/>
      </w:divBdr>
    </w:div>
    <w:div w:id="1566914210">
      <w:bodyDiv w:val="1"/>
      <w:marLeft w:val="0"/>
      <w:marRight w:val="0"/>
      <w:marTop w:val="0"/>
      <w:marBottom w:val="0"/>
      <w:divBdr>
        <w:top w:val="none" w:sz="0" w:space="0" w:color="auto"/>
        <w:left w:val="none" w:sz="0" w:space="0" w:color="auto"/>
        <w:bottom w:val="none" w:sz="0" w:space="0" w:color="auto"/>
        <w:right w:val="none" w:sz="0" w:space="0" w:color="auto"/>
      </w:divBdr>
    </w:div>
    <w:div w:id="1587879576">
      <w:bodyDiv w:val="1"/>
      <w:marLeft w:val="0"/>
      <w:marRight w:val="0"/>
      <w:marTop w:val="0"/>
      <w:marBottom w:val="0"/>
      <w:divBdr>
        <w:top w:val="none" w:sz="0" w:space="0" w:color="auto"/>
        <w:left w:val="none" w:sz="0" w:space="0" w:color="auto"/>
        <w:bottom w:val="none" w:sz="0" w:space="0" w:color="auto"/>
        <w:right w:val="none" w:sz="0" w:space="0" w:color="auto"/>
      </w:divBdr>
    </w:div>
    <w:div w:id="1843349096">
      <w:bodyDiv w:val="1"/>
      <w:marLeft w:val="0"/>
      <w:marRight w:val="0"/>
      <w:marTop w:val="0"/>
      <w:marBottom w:val="0"/>
      <w:divBdr>
        <w:top w:val="none" w:sz="0" w:space="0" w:color="auto"/>
        <w:left w:val="none" w:sz="0" w:space="0" w:color="auto"/>
        <w:bottom w:val="none" w:sz="0" w:space="0" w:color="auto"/>
        <w:right w:val="none" w:sz="0" w:space="0" w:color="auto"/>
      </w:divBdr>
    </w:div>
    <w:div w:id="1879513150">
      <w:bodyDiv w:val="1"/>
      <w:marLeft w:val="0"/>
      <w:marRight w:val="0"/>
      <w:marTop w:val="0"/>
      <w:marBottom w:val="0"/>
      <w:divBdr>
        <w:top w:val="none" w:sz="0" w:space="0" w:color="auto"/>
        <w:left w:val="none" w:sz="0" w:space="0" w:color="auto"/>
        <w:bottom w:val="none" w:sz="0" w:space="0" w:color="auto"/>
        <w:right w:val="none" w:sz="0" w:space="0" w:color="auto"/>
      </w:divBdr>
    </w:div>
    <w:div w:id="1997218478">
      <w:bodyDiv w:val="1"/>
      <w:marLeft w:val="0"/>
      <w:marRight w:val="0"/>
      <w:marTop w:val="0"/>
      <w:marBottom w:val="0"/>
      <w:divBdr>
        <w:top w:val="none" w:sz="0" w:space="0" w:color="auto"/>
        <w:left w:val="none" w:sz="0" w:space="0" w:color="auto"/>
        <w:bottom w:val="none" w:sz="0" w:space="0" w:color="auto"/>
        <w:right w:val="none" w:sz="0" w:space="0" w:color="auto"/>
      </w:divBdr>
    </w:div>
    <w:div w:id="2059159776">
      <w:bodyDiv w:val="1"/>
      <w:marLeft w:val="0"/>
      <w:marRight w:val="0"/>
      <w:marTop w:val="0"/>
      <w:marBottom w:val="0"/>
      <w:divBdr>
        <w:top w:val="none" w:sz="0" w:space="0" w:color="auto"/>
        <w:left w:val="none" w:sz="0" w:space="0" w:color="auto"/>
        <w:bottom w:val="none" w:sz="0" w:space="0" w:color="auto"/>
        <w:right w:val="none" w:sz="0" w:space="0" w:color="auto"/>
      </w:divBdr>
    </w:div>
    <w:div w:id="2079742192">
      <w:bodyDiv w:val="1"/>
      <w:marLeft w:val="0"/>
      <w:marRight w:val="0"/>
      <w:marTop w:val="0"/>
      <w:marBottom w:val="0"/>
      <w:divBdr>
        <w:top w:val="none" w:sz="0" w:space="0" w:color="auto"/>
        <w:left w:val="none" w:sz="0" w:space="0" w:color="auto"/>
        <w:bottom w:val="none" w:sz="0" w:space="0" w:color="auto"/>
        <w:right w:val="none" w:sz="0" w:space="0" w:color="auto"/>
      </w:divBdr>
      <w:divsChild>
        <w:div w:id="261182663">
          <w:marLeft w:val="202"/>
          <w:marRight w:val="0"/>
          <w:marTop w:val="0"/>
          <w:marBottom w:val="0"/>
          <w:divBdr>
            <w:top w:val="none" w:sz="0" w:space="0" w:color="auto"/>
            <w:left w:val="none" w:sz="0" w:space="0" w:color="auto"/>
            <w:bottom w:val="none" w:sz="0" w:space="0" w:color="auto"/>
            <w:right w:val="none" w:sz="0" w:space="0" w:color="auto"/>
          </w:divBdr>
        </w:div>
        <w:div w:id="320162088">
          <w:marLeft w:val="202"/>
          <w:marRight w:val="0"/>
          <w:marTop w:val="0"/>
          <w:marBottom w:val="0"/>
          <w:divBdr>
            <w:top w:val="none" w:sz="0" w:space="0" w:color="auto"/>
            <w:left w:val="none" w:sz="0" w:space="0" w:color="auto"/>
            <w:bottom w:val="none" w:sz="0" w:space="0" w:color="auto"/>
            <w:right w:val="none" w:sz="0" w:space="0" w:color="auto"/>
          </w:divBdr>
        </w:div>
        <w:div w:id="660625177">
          <w:marLeft w:val="202"/>
          <w:marRight w:val="0"/>
          <w:marTop w:val="0"/>
          <w:marBottom w:val="0"/>
          <w:divBdr>
            <w:top w:val="none" w:sz="0" w:space="0" w:color="auto"/>
            <w:left w:val="none" w:sz="0" w:space="0" w:color="auto"/>
            <w:bottom w:val="none" w:sz="0" w:space="0" w:color="auto"/>
            <w:right w:val="none" w:sz="0" w:space="0" w:color="auto"/>
          </w:divBdr>
        </w:div>
      </w:divsChild>
    </w:div>
    <w:div w:id="2095591937">
      <w:bodyDiv w:val="1"/>
      <w:marLeft w:val="0"/>
      <w:marRight w:val="0"/>
      <w:marTop w:val="0"/>
      <w:marBottom w:val="0"/>
      <w:divBdr>
        <w:top w:val="none" w:sz="0" w:space="0" w:color="auto"/>
        <w:left w:val="none" w:sz="0" w:space="0" w:color="auto"/>
        <w:bottom w:val="none" w:sz="0" w:space="0" w:color="auto"/>
        <w:right w:val="none" w:sz="0" w:space="0" w:color="auto"/>
      </w:divBdr>
      <w:divsChild>
        <w:div w:id="623971529">
          <w:marLeft w:val="202"/>
          <w:marRight w:val="0"/>
          <w:marTop w:val="0"/>
          <w:marBottom w:val="0"/>
          <w:divBdr>
            <w:top w:val="none" w:sz="0" w:space="0" w:color="auto"/>
            <w:left w:val="none" w:sz="0" w:space="0" w:color="auto"/>
            <w:bottom w:val="none" w:sz="0" w:space="0" w:color="auto"/>
            <w:right w:val="none" w:sz="0" w:space="0" w:color="auto"/>
          </w:divBdr>
        </w:div>
        <w:div w:id="742996330">
          <w:marLeft w:val="202"/>
          <w:marRight w:val="0"/>
          <w:marTop w:val="0"/>
          <w:marBottom w:val="0"/>
          <w:divBdr>
            <w:top w:val="none" w:sz="0" w:space="0" w:color="auto"/>
            <w:left w:val="none" w:sz="0" w:space="0" w:color="auto"/>
            <w:bottom w:val="none" w:sz="0" w:space="0" w:color="auto"/>
            <w:right w:val="none" w:sz="0" w:space="0" w:color="auto"/>
          </w:divBdr>
        </w:div>
        <w:div w:id="1996566336">
          <w:marLeft w:val="202"/>
          <w:marRight w:val="0"/>
          <w:marTop w:val="0"/>
          <w:marBottom w:val="0"/>
          <w:divBdr>
            <w:top w:val="none" w:sz="0" w:space="0" w:color="auto"/>
            <w:left w:val="none" w:sz="0" w:space="0" w:color="auto"/>
            <w:bottom w:val="none" w:sz="0" w:space="0" w:color="auto"/>
            <w:right w:val="none" w:sz="0" w:space="0" w:color="auto"/>
          </w:divBdr>
        </w:div>
        <w:div w:id="2031027043">
          <w:marLeft w:val="202"/>
          <w:marRight w:val="0"/>
          <w:marTop w:val="0"/>
          <w:marBottom w:val="0"/>
          <w:divBdr>
            <w:top w:val="none" w:sz="0" w:space="0" w:color="auto"/>
            <w:left w:val="none" w:sz="0" w:space="0" w:color="auto"/>
            <w:bottom w:val="none" w:sz="0" w:space="0" w:color="auto"/>
            <w:right w:val="none" w:sz="0" w:space="0" w:color="auto"/>
          </w:divBdr>
        </w:div>
      </w:divsChild>
    </w:div>
    <w:div w:id="2136677663">
      <w:bodyDiv w:val="1"/>
      <w:marLeft w:val="0"/>
      <w:marRight w:val="0"/>
      <w:marTop w:val="0"/>
      <w:marBottom w:val="0"/>
      <w:divBdr>
        <w:top w:val="none" w:sz="0" w:space="0" w:color="auto"/>
        <w:left w:val="none" w:sz="0" w:space="0" w:color="auto"/>
        <w:bottom w:val="none" w:sz="0" w:space="0" w:color="auto"/>
        <w:right w:val="none" w:sz="0" w:space="0" w:color="auto"/>
      </w:divBdr>
    </w:div>
    <w:div w:id="213760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policy.corp.cvscaremark.com/pnp/faces/DocRenderer?documentId=CALL-0049"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hesource.cvshealth.com/nuxeo/thesource/" TargetMode="External"/><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thesource.cvshealth.com/nuxeo/thesource/" TargetMode="External"/><Relationship Id="rId10" Type="http://schemas.openxmlformats.org/officeDocument/2006/relationships/footnotes" Target="foot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hyperlink" Target="https://thesource.cvshealth.com/nuxeo/thesource/" TargetMode="External"/><Relationship Id="rId27" Type="http://schemas.openxmlformats.org/officeDocument/2006/relationships/hyperlink" Target="https://policy.corp.cvscaremark.com/pnp/faces/DocRenderer?documentId=CALL-0011"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05b4efb-3be6-4b39-a776-8a7d43adc0ca">
      <Terms xmlns="http://schemas.microsoft.com/office/infopath/2007/PartnerControls"/>
    </lcf76f155ced4ddcb4097134ff3c332f>
    <TaxCatchAll xmlns="c3b1ca30-2eb1-4a7b-bdb7-8ec24a269858" xsi:nil="true"/>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CB49505AAF66544B3991E59A726D05A" ma:contentTypeVersion="13" ma:contentTypeDescription="Create a new document." ma:contentTypeScope="" ma:versionID="c82a4c7a2de90141a70b338a4045ba53">
  <xsd:schema xmlns:xsd="http://www.w3.org/2001/XMLSchema" xmlns:xs="http://www.w3.org/2001/XMLSchema" xmlns:p="http://schemas.microsoft.com/office/2006/metadata/properties" xmlns:ns2="105b4efb-3be6-4b39-a776-8a7d43adc0ca" xmlns:ns3="c3b1ca30-2eb1-4a7b-bdb7-8ec24a269858" targetNamespace="http://schemas.microsoft.com/office/2006/metadata/properties" ma:root="true" ma:fieldsID="5ae03433158953222c8205a2ce6981a3" ns2:_="" ns3:_="">
    <xsd:import namespace="105b4efb-3be6-4b39-a776-8a7d43adc0ca"/>
    <xsd:import namespace="c3b1ca30-2eb1-4a7b-bdb7-8ec24a26985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b4efb-3be6-4b39-a776-8a7d43adc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1ca30-2eb1-4a7b-bdb7-8ec24a2698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a3c050b-2e66-47aa-9da7-d15fa225ee29}" ma:internalName="TaxCatchAll" ma:showField="CatchAllData" ma:web="c3b1ca30-2eb1-4a7b-bdb7-8ec24a2698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FF11A-8B72-424A-BD70-CAF20379A5AA}">
  <ds:schemaRefs>
    <ds:schemaRef ds:uri="http://schemas.microsoft.com/sharepoint/v3/contenttype/forms"/>
  </ds:schemaRefs>
</ds:datastoreItem>
</file>

<file path=customXml/itemProps2.xml><?xml version="1.0" encoding="utf-8"?>
<ds:datastoreItem xmlns:ds="http://schemas.openxmlformats.org/officeDocument/2006/customXml" ds:itemID="{E8FDD89F-0912-417B-BF12-D8C1BEF78F5A}">
  <ds:schemaRefs>
    <ds:schemaRef ds:uri="http://schemas.microsoft.com/office/2006/metadata/properties"/>
    <ds:schemaRef ds:uri="http://schemas.microsoft.com/office/infopath/2007/PartnerControls"/>
    <ds:schemaRef ds:uri="105b4efb-3be6-4b39-a776-8a7d43adc0ca"/>
    <ds:schemaRef ds:uri="c3b1ca30-2eb1-4a7b-bdb7-8ec24a269858"/>
  </ds:schemaRefs>
</ds:datastoreItem>
</file>

<file path=customXml/itemProps3.xml><?xml version="1.0" encoding="utf-8"?>
<ds:datastoreItem xmlns:ds="http://schemas.openxmlformats.org/officeDocument/2006/customXml" ds:itemID="{55593A4B-03AD-4E53-AD04-7BB72F030BDC}">
  <ds:schemaRefs>
    <ds:schemaRef ds:uri="http://schemas.microsoft.com/office/2006/metadata/longProperties"/>
  </ds:schemaRefs>
</ds:datastoreItem>
</file>

<file path=customXml/itemProps4.xml><?xml version="1.0" encoding="utf-8"?>
<ds:datastoreItem xmlns:ds="http://schemas.openxmlformats.org/officeDocument/2006/customXml" ds:itemID="{5A8C6F21-73CE-4DDF-92E6-001900163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b4efb-3be6-4b39-a776-8a7d43adc0ca"/>
    <ds:schemaRef ds:uri="c3b1ca30-2eb1-4a7b-bdb7-8ec24a269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DD4B66B-399C-4AAD-BF4E-7BB28276B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985</Words>
  <Characters>5615</Characters>
  <Application>Microsoft Office Word</Application>
  <DocSecurity>0</DocSecurity>
  <Lines>46</Lines>
  <Paragraphs>13</Paragraphs>
  <ScaleCrop>false</ScaleCrop>
  <Company>CVS Health</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Gambino, Ashley</dc:creator>
  <cp:keywords/>
  <dc:description/>
  <cp:lastModifiedBy>Davis, David P.</cp:lastModifiedBy>
  <cp:revision>12</cp:revision>
  <dcterms:created xsi:type="dcterms:W3CDTF">2025-09-10T20:35:00Z</dcterms:created>
  <dcterms:modified xsi:type="dcterms:W3CDTF">2025-09-10T20:50:00Z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MSIP_Label_67599526-06ca-49cc-9fa9-5307800a949a_Enabled">
    <vt:lpwstr>true</vt:lpwstr>
  </property>
  <property fmtid="{D5CDD505-2E9C-101B-9397-08002B2CF9AE}" pid="4" name="MSIP_Label_67599526-06ca-49cc-9fa9-5307800a949a_SetDate">
    <vt:lpwstr>2022-01-15T20:23:29Z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dcdf0a96-b18a-4d2f-8663-2630b25753f1</vt:lpwstr>
  </property>
  <property fmtid="{D5CDD505-2E9C-101B-9397-08002B2CF9AE}" pid="9" name="MSIP_Label_67599526-06ca-49cc-9fa9-5307800a949a_ContentBits">
    <vt:lpwstr>0</vt:lpwstr>
  </property>
  <property fmtid="{D5CDD505-2E9C-101B-9397-08002B2CF9AE}" pid="10" name="ContentTypeId">
    <vt:lpwstr>0x010100ACB49505AAF66544B3991E59A726D05A</vt:lpwstr>
  </property>
  <property fmtid="{D5CDD505-2E9C-101B-9397-08002B2CF9AE}" pid="11" name="MediaServiceImageTags">
    <vt:lpwstr/>
  </property>
</Properties>
</file>