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3A72" w14:textId="77777777" w:rsidR="00AB7933" w:rsidRPr="00DA0E53" w:rsidRDefault="00AB7933" w:rsidP="00363749">
      <w:pPr>
        <w:pStyle w:val="Heading1"/>
        <w:spacing w:before="120" w:after="120"/>
        <w:rPr>
          <w:rFonts w:ascii="Verdana" w:hAnsi="Verdana"/>
          <w:b w:val="0"/>
          <w:bCs/>
          <w:sz w:val="18"/>
          <w:szCs w:val="18"/>
        </w:rPr>
      </w:pPr>
      <w:bookmarkStart w:id="0" w:name="_top"/>
      <w:bookmarkEnd w:id="0"/>
      <w:r w:rsidRPr="00DA0E53">
        <w:rPr>
          <w:rFonts w:ascii="Verdana" w:hAnsi="Verdana"/>
          <w:bCs/>
          <w:szCs w:val="36"/>
        </w:rPr>
        <w:t>Test Claim Reasons Why It Was Rejected</w:t>
      </w:r>
    </w:p>
    <w:p w14:paraId="535A1B54" w14:textId="77777777" w:rsidR="00AB7933" w:rsidRDefault="00AB7933" w:rsidP="00363749">
      <w:pPr>
        <w:spacing w:before="120" w:after="120"/>
        <w:rPr>
          <w:rFonts w:ascii="Verdana" w:hAnsi="Verdana"/>
        </w:rPr>
      </w:pPr>
    </w:p>
    <w:p w14:paraId="42D73F5B" w14:textId="77777777" w:rsidR="00AB7933" w:rsidRDefault="00AB7933" w:rsidP="00363749">
      <w:pPr>
        <w:spacing w:before="120" w:after="120"/>
        <w:rPr>
          <w:rFonts w:ascii="Verdana" w:hAnsi="Verdana"/>
        </w:rPr>
      </w:pPr>
    </w:p>
    <w:p w14:paraId="4C9B41B2" w14:textId="5380AEFE" w:rsidR="00663543" w:rsidRPr="00663543" w:rsidRDefault="00AB7933" w:rsidP="00663543">
      <w:pPr>
        <w:rPr>
          <w:rFonts w:ascii="Verdana" w:eastAsiaTheme="minorEastAsia" w:hAnsi="Verdana" w:cstheme="minorBidi"/>
          <w:noProof/>
          <w:kern w:val="2"/>
          <w14:ligatures w14:val="standardContextual"/>
        </w:rPr>
      </w:pPr>
      <w:r w:rsidRPr="00663543">
        <w:rPr>
          <w:rFonts w:ascii="Verdana" w:hAnsi="Verdana"/>
        </w:rPr>
        <w:fldChar w:fldCharType="begin"/>
      </w:r>
      <w:r w:rsidRPr="00663543">
        <w:rPr>
          <w:rFonts w:ascii="Verdana" w:hAnsi="Verdana"/>
        </w:rPr>
        <w:instrText xml:space="preserve"> TOC \o "2-2" \n \p " " \h \z \u </w:instrText>
      </w:r>
      <w:r w:rsidRPr="00663543">
        <w:rPr>
          <w:rFonts w:ascii="Verdana" w:hAnsi="Verdana"/>
        </w:rPr>
        <w:fldChar w:fldCharType="separate"/>
      </w:r>
      <w:hyperlink w:anchor="_Toc208408333" w:history="1">
        <w:r w:rsidR="00663543" w:rsidRPr="00663543">
          <w:rPr>
            <w:rStyle w:val="Hyperlink"/>
            <w:rFonts w:ascii="Verdana" w:hAnsi="Verdana"/>
            <w:noProof/>
          </w:rPr>
          <w:t>Test Claim Rejections</w:t>
        </w:r>
      </w:hyperlink>
    </w:p>
    <w:p w14:paraId="7B341F27" w14:textId="71799FC9" w:rsidR="00663543" w:rsidRPr="00663543" w:rsidRDefault="00663543" w:rsidP="00663543">
      <w:pPr>
        <w:rPr>
          <w:rFonts w:ascii="Verdana" w:eastAsiaTheme="minorEastAsia" w:hAnsi="Verdana" w:cstheme="minorBidi"/>
          <w:noProof/>
          <w:kern w:val="2"/>
          <w14:ligatures w14:val="standardContextual"/>
        </w:rPr>
      </w:pPr>
      <w:hyperlink w:anchor="_Toc208408334" w:history="1">
        <w:r w:rsidRPr="00663543">
          <w:rPr>
            <w:rStyle w:val="Hyperlink"/>
            <w:rFonts w:ascii="Verdana" w:hAnsi="Verdana"/>
            <w:noProof/>
          </w:rPr>
          <w:t>Related Documents</w:t>
        </w:r>
      </w:hyperlink>
    </w:p>
    <w:p w14:paraId="49E19061" w14:textId="199C250A" w:rsidR="00AB7933" w:rsidRPr="00A55373" w:rsidRDefault="00AB7933" w:rsidP="00663543">
      <w:pPr>
        <w:rPr>
          <w:rFonts w:ascii="Verdana" w:hAnsi="Verdana"/>
        </w:rPr>
      </w:pPr>
      <w:r w:rsidRPr="00663543">
        <w:rPr>
          <w:rFonts w:ascii="Verdana" w:hAnsi="Verdana"/>
          <w:noProof/>
          <w:color w:val="3333FF"/>
          <w:u w:val="single"/>
        </w:rPr>
        <w:fldChar w:fldCharType="end"/>
      </w:r>
    </w:p>
    <w:p w14:paraId="6D6CA4FD" w14:textId="77777777" w:rsidR="00AB7933" w:rsidRDefault="00AB7933" w:rsidP="00363749">
      <w:pPr>
        <w:spacing w:before="120" w:after="120"/>
        <w:jc w:val="right"/>
        <w:rPr>
          <w:rFonts w:ascii="Verdana" w:hAnsi="Verdana"/>
        </w:rPr>
      </w:pPr>
      <w:bookmarkStart w:id="1" w:name="_Overview"/>
      <w:bookmarkStart w:id="2" w:name="_Log_Activity"/>
      <w:bookmarkEnd w:id="1"/>
      <w:bookmarkEnd w:id="2"/>
    </w:p>
    <w:p w14:paraId="7C02703F" w14:textId="710CF27A" w:rsidR="00AB7933" w:rsidRDefault="00AB7933" w:rsidP="00363749">
      <w:pPr>
        <w:spacing w:before="120" w:after="120"/>
        <w:rPr>
          <w:rStyle w:val="Hyperlink"/>
          <w:rFonts w:ascii="Verdana" w:eastAsiaTheme="majorEastAsia" w:hAnsi="Verdana"/>
          <w:color w:val="000000"/>
          <w:u w:val="none"/>
        </w:rPr>
      </w:pPr>
      <w:bookmarkStart w:id="3" w:name="_Various_Work_Instructions"/>
      <w:bookmarkStart w:id="4" w:name="_Process"/>
      <w:bookmarkStart w:id="5" w:name="_Various_Work_Instructions1"/>
      <w:bookmarkStart w:id="6" w:name="_Various_Work_Instructions_1"/>
      <w:bookmarkStart w:id="7" w:name="_Qualifying_the_Call"/>
      <w:bookmarkStart w:id="8" w:name="_Determining_if_an"/>
      <w:bookmarkEnd w:id="3"/>
      <w:bookmarkEnd w:id="4"/>
      <w:bookmarkEnd w:id="5"/>
      <w:bookmarkEnd w:id="6"/>
      <w:bookmarkEnd w:id="7"/>
      <w:bookmarkEnd w:id="8"/>
      <w:r w:rsidRPr="001A15C7">
        <w:rPr>
          <w:rStyle w:val="Hyperlink"/>
          <w:rFonts w:ascii="Verdana" w:eastAsiaTheme="majorEastAsia" w:hAnsi="Verdana"/>
          <w:b/>
          <w:bCs/>
          <w:color w:val="000000"/>
          <w:u w:val="none"/>
        </w:rPr>
        <w:t>Description:</w:t>
      </w:r>
      <w:r w:rsidRPr="001A15C7">
        <w:rPr>
          <w:rStyle w:val="Hyperlink"/>
          <w:rFonts w:ascii="Verdana" w:eastAsiaTheme="majorEastAsia" w:hAnsi="Verdana"/>
          <w:color w:val="000000"/>
          <w:u w:val="none"/>
        </w:rPr>
        <w:t xml:space="preserve"> Provides reasons why the Test Claim was rejected and how to resolve the issue. </w:t>
      </w:r>
      <w:bookmarkStart w:id="9" w:name="_Adding_a_PBO_1"/>
      <w:bookmarkEnd w:id="9"/>
    </w:p>
    <w:p w14:paraId="2A3A71E7" w14:textId="77777777" w:rsidR="00DA0E53" w:rsidRDefault="00DA0E53" w:rsidP="00363749">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AB7933" w:rsidRPr="001A15C7" w14:paraId="02AB34B1" w14:textId="77777777" w:rsidTr="00C219C3">
        <w:trPr>
          <w:trHeight w:val="17"/>
        </w:trPr>
        <w:tc>
          <w:tcPr>
            <w:tcW w:w="5000" w:type="pct"/>
            <w:shd w:val="clear" w:color="auto" w:fill="BFBFBF" w:themeFill="background1" w:themeFillShade="BF"/>
          </w:tcPr>
          <w:p w14:paraId="04992849" w14:textId="77777777" w:rsidR="00AB7933" w:rsidRPr="001A15C7" w:rsidRDefault="00AB7933" w:rsidP="00363749">
            <w:pPr>
              <w:pStyle w:val="Heading2"/>
              <w:spacing w:before="120" w:after="120"/>
              <w:rPr>
                <w:rFonts w:ascii="Verdana" w:hAnsi="Verdana"/>
                <w:b w:val="0"/>
                <w:bCs w:val="0"/>
                <w:i/>
              </w:rPr>
            </w:pPr>
            <w:bookmarkStart w:id="10" w:name="_Adding_a_Plan"/>
            <w:bookmarkStart w:id="11" w:name="_Adding_a_PBO"/>
            <w:bookmarkStart w:id="12" w:name="_Manual_Entry"/>
            <w:bookmarkStart w:id="13" w:name="_Toc208408333"/>
            <w:bookmarkEnd w:id="10"/>
            <w:bookmarkEnd w:id="11"/>
            <w:bookmarkEnd w:id="12"/>
            <w:r w:rsidRPr="001A15C7">
              <w:rPr>
                <w:rFonts w:ascii="Verdana" w:hAnsi="Verdana"/>
              </w:rPr>
              <w:t>Test Claim Rejections</w:t>
            </w:r>
            <w:bookmarkEnd w:id="13"/>
          </w:p>
        </w:tc>
      </w:tr>
    </w:tbl>
    <w:p w14:paraId="7D11184E" w14:textId="77777777" w:rsidR="00AB7933" w:rsidRPr="00665287" w:rsidRDefault="00AB7933" w:rsidP="00AB7933">
      <w:pPr>
        <w:spacing w:before="120" w:after="120"/>
        <w:rPr>
          <w:rFonts w:ascii="Verdana" w:hAnsi="Verdana"/>
        </w:rPr>
      </w:pPr>
    </w:p>
    <w:p w14:paraId="13DE5669" w14:textId="6B63DC72" w:rsidR="00AB7933" w:rsidRPr="00665287" w:rsidRDefault="00AB7933" w:rsidP="00AB7933">
      <w:pPr>
        <w:spacing w:before="120" w:after="120"/>
        <w:rPr>
          <w:rFonts w:ascii="Verdana" w:hAnsi="Verdana"/>
        </w:rPr>
      </w:pPr>
      <w:r w:rsidRPr="00665287">
        <w:rPr>
          <w:rFonts w:ascii="Verdana" w:hAnsi="Verdana"/>
          <w:b/>
        </w:rPr>
        <w:t>Quick Access:</w:t>
      </w:r>
      <w:r w:rsidRPr="00665287">
        <w:rPr>
          <w:rFonts w:ascii="Verdana" w:hAnsi="Verdana"/>
        </w:rPr>
        <w:t xml:space="preserve"> Select from one of the hyperlinks below to quickly access the information needed:</w:t>
      </w:r>
    </w:p>
    <w:p w14:paraId="53A5BE1B" w14:textId="6739349B"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Administrationfeeincluded" w:history="1">
        <w:r w:rsidRPr="00665287">
          <w:rPr>
            <w:rStyle w:val="Hyperlink"/>
            <w:rFonts w:ascii="Verdana" w:eastAsiaTheme="majorEastAsia" w:hAnsi="Verdana"/>
          </w:rPr>
          <w:t>Administration Fee: Included</w:t>
        </w:r>
      </w:hyperlink>
    </w:p>
    <w:p w14:paraId="187AE1FC" w14:textId="77777777" w:rsidR="00AB7933" w:rsidRPr="00665287" w:rsidRDefault="00AB7933" w:rsidP="008E545F">
      <w:pPr>
        <w:numPr>
          <w:ilvl w:val="0"/>
          <w:numId w:val="2"/>
        </w:numPr>
        <w:autoSpaceDE w:val="0"/>
        <w:autoSpaceDN w:val="0"/>
        <w:adjustRightInd w:val="0"/>
        <w:spacing w:before="120" w:after="120"/>
        <w:ind w:left="720"/>
        <w:rPr>
          <w:rFonts w:ascii="Verdana" w:hAnsi="Verdana"/>
          <w:color w:val="000000"/>
        </w:rPr>
      </w:pPr>
      <w:hyperlink w:anchor="AnamtshowninRBPPenaltyfield" w:history="1">
        <w:r w:rsidRPr="00665287">
          <w:rPr>
            <w:rStyle w:val="Hyperlink"/>
            <w:rFonts w:ascii="Verdana" w:eastAsiaTheme="majorEastAsia" w:hAnsi="Verdana"/>
          </w:rPr>
          <w:t>Amount shown in the RBP Penalty field</w:t>
        </w:r>
      </w:hyperlink>
    </w:p>
    <w:p w14:paraId="3D3C41A9" w14:textId="18A4160C" w:rsidR="00AB7933" w:rsidRPr="00665287" w:rsidRDefault="00AB7933" w:rsidP="008E545F">
      <w:pPr>
        <w:numPr>
          <w:ilvl w:val="0"/>
          <w:numId w:val="2"/>
        </w:numPr>
        <w:autoSpaceDE w:val="0"/>
        <w:autoSpaceDN w:val="0"/>
        <w:adjustRightInd w:val="0"/>
        <w:spacing w:before="120" w:after="120"/>
        <w:ind w:left="720"/>
        <w:rPr>
          <w:rFonts w:ascii="Verdana" w:hAnsi="Verdana"/>
          <w:color w:val="000000"/>
        </w:rPr>
      </w:pPr>
      <w:hyperlink w:anchor="CautionDURconflict" w:history="1">
        <w:r w:rsidRPr="00665287">
          <w:rPr>
            <w:rStyle w:val="Hyperlink"/>
            <w:rFonts w:ascii="Verdana" w:eastAsiaTheme="majorEastAsia" w:hAnsi="Verdana"/>
          </w:rPr>
          <w:t>Caution: DUR conflict/message exists alert message</w:t>
        </w:r>
      </w:hyperlink>
      <w:r w:rsidRPr="00665287">
        <w:rPr>
          <w:rFonts w:ascii="Verdana" w:hAnsi="Verdana"/>
          <w:color w:val="000000"/>
        </w:rPr>
        <w:t xml:space="preserve"> </w:t>
      </w:r>
    </w:p>
    <w:p w14:paraId="4BAFC450"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Infoincurrentphaseamtremainnextphasefiel" w:history="1">
        <w:r w:rsidRPr="00665287">
          <w:rPr>
            <w:rStyle w:val="Hyperlink"/>
            <w:rFonts w:ascii="Verdana" w:eastAsiaTheme="majorEastAsia" w:hAnsi="Verdana"/>
          </w:rPr>
          <w:t>Current Phase, Amount Remaining and Next Phase fields has information</w:t>
        </w:r>
      </w:hyperlink>
    </w:p>
    <w:p w14:paraId="310B1BB0"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adollaramtinHRAcontributionamtfield" w:history="1">
        <w:r w:rsidRPr="00665287">
          <w:rPr>
            <w:rStyle w:val="Hyperlink"/>
            <w:rFonts w:ascii="Verdana" w:eastAsiaTheme="majorEastAsia" w:hAnsi="Verdana"/>
          </w:rPr>
          <w:t>Dollar amount in the HRA Contribution Amount field</w:t>
        </w:r>
      </w:hyperlink>
    </w:p>
    <w:p w14:paraId="1231F4A0"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DxRequiredConflict" w:history="1">
        <w:r w:rsidRPr="00665287">
          <w:rPr>
            <w:rStyle w:val="Hyperlink"/>
            <w:rFonts w:ascii="Verdana" w:eastAsiaTheme="majorEastAsia" w:hAnsi="Verdana"/>
          </w:rPr>
          <w:t>Dx Required Conflict</w:t>
        </w:r>
      </w:hyperlink>
    </w:p>
    <w:p w14:paraId="21824EC1" w14:textId="77777777" w:rsidR="00AB7933" w:rsidRPr="00665287" w:rsidRDefault="00AB7933" w:rsidP="008E545F">
      <w:pPr>
        <w:numPr>
          <w:ilvl w:val="0"/>
          <w:numId w:val="9"/>
        </w:numPr>
        <w:autoSpaceDE w:val="0"/>
        <w:autoSpaceDN w:val="0"/>
        <w:adjustRightInd w:val="0"/>
        <w:spacing w:before="120" w:after="120"/>
        <w:ind w:left="720"/>
        <w:rPr>
          <w:rFonts w:ascii="Verdana" w:hAnsi="Verdana"/>
          <w:color w:val="000000"/>
        </w:rPr>
      </w:pPr>
      <w:hyperlink w:anchor="ExclusionforDrugMedications" w:history="1">
        <w:r w:rsidRPr="00665287">
          <w:rPr>
            <w:rStyle w:val="Hyperlink"/>
            <w:rFonts w:ascii="Verdana" w:eastAsiaTheme="majorEastAsia" w:hAnsi="Verdana"/>
          </w:rPr>
          <w:t>Exclusion for Drug Medications not available at Home Delivery/Mail Order</w:t>
        </w:r>
      </w:hyperlink>
      <w:r w:rsidRPr="00665287">
        <w:rPr>
          <w:rFonts w:ascii="Verdana" w:hAnsi="Verdana"/>
        </w:rPr>
        <w:t xml:space="preserve"> </w:t>
      </w:r>
    </w:p>
    <w:p w14:paraId="1F141789" w14:textId="77777777" w:rsidR="00AB7933" w:rsidRPr="00665287" w:rsidRDefault="00AB7933" w:rsidP="008E545F">
      <w:pPr>
        <w:numPr>
          <w:ilvl w:val="0"/>
          <w:numId w:val="9"/>
        </w:numPr>
        <w:autoSpaceDE w:val="0"/>
        <w:autoSpaceDN w:val="0"/>
        <w:adjustRightInd w:val="0"/>
        <w:spacing w:before="120" w:after="120"/>
        <w:ind w:left="720"/>
        <w:rPr>
          <w:rFonts w:ascii="Verdana" w:hAnsi="Verdana"/>
          <w:color w:val="000000"/>
        </w:rPr>
      </w:pPr>
      <w:hyperlink w:anchor="FlexcopayIncentiveapplied" w:history="1">
        <w:r w:rsidRPr="00665287">
          <w:rPr>
            <w:rStyle w:val="Hyperlink"/>
            <w:rFonts w:ascii="Verdana" w:eastAsiaTheme="majorEastAsia" w:hAnsi="Verdana"/>
          </w:rPr>
          <w:t>Flex copay incentive applied</w:t>
        </w:r>
      </w:hyperlink>
      <w:r w:rsidRPr="00665287">
        <w:rPr>
          <w:rFonts w:ascii="Verdana" w:hAnsi="Verdana"/>
        </w:rPr>
        <w:t xml:space="preserve"> </w:t>
      </w:r>
    </w:p>
    <w:p w14:paraId="60D798F1" w14:textId="77777777" w:rsidR="00AB7933" w:rsidRPr="00665287" w:rsidRDefault="00AB7933" w:rsidP="008E545F">
      <w:pPr>
        <w:numPr>
          <w:ilvl w:val="0"/>
          <w:numId w:val="9"/>
        </w:numPr>
        <w:autoSpaceDE w:val="0"/>
        <w:autoSpaceDN w:val="0"/>
        <w:adjustRightInd w:val="0"/>
        <w:spacing w:before="120" w:after="120"/>
        <w:ind w:left="720"/>
        <w:rPr>
          <w:rFonts w:ascii="Verdana" w:hAnsi="Verdana"/>
          <w:color w:val="000000"/>
        </w:rPr>
      </w:pPr>
      <w:hyperlink w:anchor="InitialFillDaysSupplyExceedsLimit" w:history="1">
        <w:r w:rsidRPr="00665287">
          <w:rPr>
            <w:rStyle w:val="Hyperlink"/>
            <w:rFonts w:ascii="Verdana" w:eastAsiaTheme="majorEastAsia" w:hAnsi="Verdana"/>
          </w:rPr>
          <w:t>Initial Fill Day’s Supply Exceeds Limit</w:t>
        </w:r>
      </w:hyperlink>
    </w:p>
    <w:p w14:paraId="4A133BE7"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Medicationnotcovered" w:history="1">
        <w:r w:rsidRPr="00665287">
          <w:rPr>
            <w:rStyle w:val="Hyperlink"/>
            <w:rFonts w:ascii="Verdana" w:eastAsiaTheme="majorEastAsia" w:hAnsi="Verdana"/>
          </w:rPr>
          <w:t>Medication Not Covered</w:t>
        </w:r>
      </w:hyperlink>
    </w:p>
    <w:p w14:paraId="5EEDEB67"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MorphineEquivalentDoseexceedslimits" w:history="1">
        <w:r w:rsidRPr="00665287">
          <w:rPr>
            <w:rStyle w:val="Hyperlink"/>
            <w:rFonts w:ascii="Verdana" w:eastAsiaTheme="majorEastAsia" w:hAnsi="Verdana"/>
          </w:rPr>
          <w:t>Morphine Equivalent Dose Exceeds Limits</w:t>
        </w:r>
      </w:hyperlink>
    </w:p>
    <w:p w14:paraId="686CAA21" w14:textId="77777777" w:rsidR="00AB7933" w:rsidRPr="00665287" w:rsidRDefault="00AB7933" w:rsidP="008E545F">
      <w:pPr>
        <w:numPr>
          <w:ilvl w:val="0"/>
          <w:numId w:val="2"/>
        </w:numPr>
        <w:autoSpaceDE w:val="0"/>
        <w:autoSpaceDN w:val="0"/>
        <w:adjustRightInd w:val="0"/>
        <w:spacing w:before="120" w:after="120"/>
        <w:ind w:left="720"/>
        <w:rPr>
          <w:rStyle w:val="Hyperlink"/>
          <w:rFonts w:ascii="Verdana" w:eastAsiaTheme="majorEastAsia" w:hAnsi="Verdana"/>
        </w:rPr>
      </w:pPr>
      <w:r w:rsidRPr="00665287">
        <w:rPr>
          <w:rFonts w:ascii="Verdana" w:hAnsi="Verdana"/>
        </w:rPr>
        <w:fldChar w:fldCharType="begin"/>
      </w:r>
      <w:r w:rsidRPr="00665287">
        <w:rPr>
          <w:rFonts w:ascii="Verdana" w:hAnsi="Verdana"/>
        </w:rPr>
        <w:instrText xml:space="preserve"> HYPERLINK  \l "PhysicianMustContactPlan" </w:instrText>
      </w:r>
      <w:r w:rsidRPr="00665287">
        <w:rPr>
          <w:rFonts w:ascii="Verdana" w:hAnsi="Verdana"/>
        </w:rPr>
      </w:r>
      <w:r w:rsidRPr="00665287">
        <w:rPr>
          <w:rFonts w:ascii="Verdana" w:hAnsi="Verdana"/>
        </w:rPr>
        <w:fldChar w:fldCharType="separate"/>
      </w:r>
      <w:r w:rsidRPr="00665287">
        <w:rPr>
          <w:rStyle w:val="Hyperlink"/>
          <w:rFonts w:ascii="Verdana" w:eastAsiaTheme="majorEastAsia" w:hAnsi="Verdana"/>
        </w:rPr>
        <w:t>Physician Must Contact Plan</w:t>
      </w:r>
    </w:p>
    <w:p w14:paraId="2BC79A6B" w14:textId="77777777" w:rsidR="00AB7933" w:rsidRPr="00665287" w:rsidRDefault="00AB7933" w:rsidP="008E545F">
      <w:pPr>
        <w:numPr>
          <w:ilvl w:val="0"/>
          <w:numId w:val="2"/>
        </w:numPr>
        <w:autoSpaceDE w:val="0"/>
        <w:autoSpaceDN w:val="0"/>
        <w:adjustRightInd w:val="0"/>
        <w:spacing w:before="120" w:after="120"/>
        <w:ind w:left="720"/>
        <w:rPr>
          <w:rStyle w:val="Hyperlink"/>
          <w:rFonts w:ascii="Verdana" w:eastAsiaTheme="majorEastAsia" w:hAnsi="Verdana"/>
        </w:rPr>
      </w:pPr>
      <w:r w:rsidRPr="00665287">
        <w:rPr>
          <w:rFonts w:ascii="Verdana" w:hAnsi="Verdana"/>
        </w:rPr>
        <w:fldChar w:fldCharType="end"/>
      </w:r>
      <w:r w:rsidRPr="00665287">
        <w:rPr>
          <w:rFonts w:ascii="Verdana" w:hAnsi="Verdana"/>
        </w:rPr>
        <w:fldChar w:fldCharType="begin"/>
      </w:r>
      <w:r w:rsidRPr="00665287">
        <w:rPr>
          <w:rFonts w:ascii="Verdana" w:hAnsi="Verdana"/>
        </w:rPr>
        <w:instrText xml:space="preserve"> HYPERLINK  \l "PlanLimitationExceeded" </w:instrText>
      </w:r>
      <w:r w:rsidRPr="00665287">
        <w:rPr>
          <w:rFonts w:ascii="Verdana" w:hAnsi="Verdana"/>
        </w:rPr>
      </w:r>
      <w:r w:rsidRPr="00665287">
        <w:rPr>
          <w:rFonts w:ascii="Verdana" w:hAnsi="Verdana"/>
        </w:rPr>
        <w:fldChar w:fldCharType="separate"/>
      </w:r>
      <w:r w:rsidRPr="00665287">
        <w:rPr>
          <w:rStyle w:val="Hyperlink"/>
          <w:rFonts w:ascii="Verdana" w:eastAsiaTheme="majorEastAsia" w:hAnsi="Verdana"/>
        </w:rPr>
        <w:t>Plan Limitation Exceeded</w:t>
      </w:r>
    </w:p>
    <w:p w14:paraId="237BB9F6"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r w:rsidRPr="00665287">
        <w:rPr>
          <w:rFonts w:ascii="Verdana" w:hAnsi="Verdana"/>
        </w:rPr>
        <w:fldChar w:fldCharType="end"/>
      </w:r>
      <w:hyperlink w:anchor="PriorAuthRequired" w:history="1">
        <w:r w:rsidRPr="00665287">
          <w:rPr>
            <w:rStyle w:val="Hyperlink"/>
            <w:rFonts w:ascii="Verdana" w:eastAsiaTheme="majorEastAsia" w:hAnsi="Verdana"/>
          </w:rPr>
          <w:t>Prior Authorization Required</w:t>
        </w:r>
      </w:hyperlink>
    </w:p>
    <w:p w14:paraId="5C99E9F5"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RxRejExceeded" w:history="1">
        <w:r w:rsidRPr="00665287">
          <w:rPr>
            <w:rStyle w:val="Hyperlink"/>
            <w:rFonts w:ascii="Verdana" w:eastAsiaTheme="majorEastAsia" w:hAnsi="Verdana"/>
          </w:rPr>
          <w:t>Rx Rej – Exceeded</w:t>
        </w:r>
      </w:hyperlink>
    </w:p>
    <w:p w14:paraId="17B142CF" w14:textId="77777777" w:rsidR="00AB7933" w:rsidRPr="00665287" w:rsidRDefault="00AB7933" w:rsidP="008E545F">
      <w:pPr>
        <w:numPr>
          <w:ilvl w:val="0"/>
          <w:numId w:val="2"/>
        </w:numPr>
        <w:autoSpaceDE w:val="0"/>
        <w:autoSpaceDN w:val="0"/>
        <w:adjustRightInd w:val="0"/>
        <w:spacing w:before="120" w:after="120"/>
        <w:ind w:left="720"/>
        <w:rPr>
          <w:rFonts w:ascii="Verdana" w:hAnsi="Verdana"/>
        </w:rPr>
      </w:pPr>
      <w:hyperlink w:anchor="TherapyProtocolNotMet" w:history="1">
        <w:r w:rsidRPr="00665287">
          <w:rPr>
            <w:rStyle w:val="Hyperlink"/>
            <w:rFonts w:ascii="Verdana" w:eastAsiaTheme="majorEastAsia" w:hAnsi="Verdana"/>
          </w:rPr>
          <w:t>Therapy Protocol Not Met</w:t>
        </w:r>
      </w:hyperlink>
    </w:p>
    <w:p w14:paraId="065CBAC5" w14:textId="77777777" w:rsidR="00AB7933" w:rsidRPr="00665287" w:rsidRDefault="00AB7933" w:rsidP="00AB7933">
      <w:pPr>
        <w:spacing w:before="120" w:after="120"/>
        <w:rPr>
          <w:rStyle w:val="Hyperlink"/>
          <w:rFonts w:ascii="Verdana" w:eastAsiaTheme="majorEastAsi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82"/>
        <w:gridCol w:w="4724"/>
        <w:gridCol w:w="5444"/>
      </w:tblGrid>
      <w:tr w:rsidR="00AB7933" w:rsidRPr="00F55D9A" w14:paraId="265CB6E1" w14:textId="77777777" w:rsidTr="00663543">
        <w:trPr>
          <w:trHeight w:val="28"/>
        </w:trPr>
        <w:tc>
          <w:tcPr>
            <w:tcW w:w="1074" w:type="pct"/>
            <w:shd w:val="clear" w:color="auto" w:fill="D9D9D9" w:themeFill="background1" w:themeFillShade="D9"/>
          </w:tcPr>
          <w:p w14:paraId="2E75DA8E" w14:textId="77777777" w:rsidR="00AB7933" w:rsidRPr="002D5A7A" w:rsidRDefault="00AB7933" w:rsidP="00C219C3">
            <w:pPr>
              <w:autoSpaceDE w:val="0"/>
              <w:autoSpaceDN w:val="0"/>
              <w:adjustRightInd w:val="0"/>
              <w:spacing w:before="120" w:after="120"/>
              <w:jc w:val="center"/>
              <w:rPr>
                <w:rFonts w:ascii="Verdana" w:hAnsi="Verdana"/>
                <w:b/>
              </w:rPr>
            </w:pPr>
            <w:r>
              <w:rPr>
                <w:rFonts w:ascii="Verdana" w:hAnsi="Verdana"/>
                <w:b/>
              </w:rPr>
              <w:t>If the Test Claim results display…</w:t>
            </w:r>
          </w:p>
        </w:tc>
        <w:tc>
          <w:tcPr>
            <w:tcW w:w="3926" w:type="pct"/>
            <w:gridSpan w:val="2"/>
            <w:shd w:val="clear" w:color="auto" w:fill="D9D9D9" w:themeFill="background1" w:themeFillShade="D9"/>
          </w:tcPr>
          <w:p w14:paraId="7A4E3BE5" w14:textId="77777777" w:rsidR="00AB7933" w:rsidRPr="002D5A7A" w:rsidRDefault="00AB7933" w:rsidP="00C219C3">
            <w:pPr>
              <w:autoSpaceDE w:val="0"/>
              <w:autoSpaceDN w:val="0"/>
              <w:adjustRightInd w:val="0"/>
              <w:spacing w:before="120" w:after="120"/>
              <w:jc w:val="center"/>
              <w:rPr>
                <w:rFonts w:ascii="Verdana" w:hAnsi="Verdana"/>
                <w:b/>
              </w:rPr>
            </w:pPr>
            <w:r>
              <w:rPr>
                <w:rFonts w:ascii="Verdana" w:hAnsi="Verdana"/>
                <w:b/>
              </w:rPr>
              <w:t>Then…</w:t>
            </w:r>
          </w:p>
        </w:tc>
      </w:tr>
      <w:tr w:rsidR="00AB7933" w:rsidRPr="00F55D9A" w14:paraId="41A4579B" w14:textId="77777777" w:rsidTr="00663543">
        <w:trPr>
          <w:trHeight w:val="692"/>
        </w:trPr>
        <w:tc>
          <w:tcPr>
            <w:tcW w:w="1074" w:type="pct"/>
          </w:tcPr>
          <w:p w14:paraId="4DE0A4C9" w14:textId="54E983C7" w:rsidR="00AB7933" w:rsidRPr="00665287" w:rsidRDefault="00AB7933" w:rsidP="00C219C3">
            <w:pPr>
              <w:autoSpaceDE w:val="0"/>
              <w:autoSpaceDN w:val="0"/>
              <w:adjustRightInd w:val="0"/>
              <w:spacing w:before="120" w:after="120"/>
              <w:rPr>
                <w:rFonts w:ascii="Verdana" w:hAnsi="Verdana"/>
              </w:rPr>
            </w:pPr>
            <w:bookmarkStart w:id="14" w:name="Administrationfeeincluded"/>
            <w:r w:rsidRPr="00665287">
              <w:rPr>
                <w:rFonts w:ascii="Verdana" w:hAnsi="Verdana"/>
              </w:rPr>
              <w:t>Administration Fee: Included</w:t>
            </w:r>
            <w:bookmarkEnd w:id="14"/>
          </w:p>
        </w:tc>
        <w:tc>
          <w:tcPr>
            <w:tcW w:w="3926" w:type="pct"/>
            <w:gridSpan w:val="2"/>
          </w:tcPr>
          <w:p w14:paraId="3E1EA510" w14:textId="77777777" w:rsidR="00AB7933" w:rsidRPr="00665287" w:rsidRDefault="00AB7933" w:rsidP="00C219C3">
            <w:pPr>
              <w:spacing w:before="120" w:after="120"/>
              <w:rPr>
                <w:rFonts w:ascii="Verdana" w:hAnsi="Verdana"/>
                <w:color w:val="000000"/>
              </w:rPr>
            </w:pPr>
            <w:r w:rsidRPr="00665287">
              <w:rPr>
                <w:rFonts w:ascii="Verdana" w:hAnsi="Verdana"/>
                <w:color w:val="000000"/>
              </w:rPr>
              <w:t xml:space="preserve">Drug may be a prescription covered under the vaccine program. </w:t>
            </w:r>
          </w:p>
          <w:p w14:paraId="38AF1BD2" w14:textId="77777777" w:rsidR="00AB7933" w:rsidRPr="00665287" w:rsidRDefault="00AB7933" w:rsidP="00C219C3">
            <w:pPr>
              <w:spacing w:before="120" w:after="120"/>
              <w:rPr>
                <w:rStyle w:val="Hyperlink"/>
                <w:rFonts w:ascii="Verdana" w:eastAsiaTheme="majorEastAsia" w:hAnsi="Verdana"/>
              </w:rPr>
            </w:pPr>
            <w:r w:rsidRPr="00665287">
              <w:rPr>
                <w:rFonts w:ascii="Verdana" w:hAnsi="Verdana"/>
                <w:color w:val="000000"/>
              </w:rPr>
              <w:t xml:space="preserve">Refer to </w:t>
            </w:r>
            <w:hyperlink r:id="rId5" w:anchor="!/view?docid=c7ac0f02-7365-4ce0-8878-2a55d3b91cb5" w:history="1">
              <w:r w:rsidRPr="00665287">
                <w:rPr>
                  <w:rStyle w:val="Hyperlink"/>
                  <w:rFonts w:ascii="Verdana" w:hAnsi="Verdana"/>
                </w:rPr>
                <w:t>PeopleSafe - Retail Pharmacy Vaccine &amp; Flu Shot Administration (040512)</w:t>
              </w:r>
            </w:hyperlink>
            <w:r w:rsidRPr="00665287">
              <w:rPr>
                <w:rFonts w:ascii="Verdana" w:hAnsi="Verdana"/>
                <w:color w:val="000000"/>
              </w:rPr>
              <w:t>.</w:t>
            </w:r>
          </w:p>
          <w:p w14:paraId="27BFA07C" w14:textId="77777777" w:rsidR="00663543" w:rsidRDefault="00AB7933" w:rsidP="00663543">
            <w:pPr>
              <w:spacing w:before="120" w:after="120"/>
              <w:ind w:left="720"/>
              <w:rPr>
                <w:rStyle w:val="Hyperlink"/>
                <w:rFonts w:ascii="Verdana" w:eastAsiaTheme="majorEastAsia" w:hAnsi="Verdana"/>
                <w:b/>
                <w:bCs/>
                <w:color w:val="auto"/>
                <w:u w:val="none"/>
              </w:rPr>
            </w:pPr>
            <w:r w:rsidRPr="00665287">
              <w:rPr>
                <w:rStyle w:val="Hyperlink"/>
                <w:rFonts w:ascii="Verdana" w:eastAsiaTheme="majorEastAsia" w:hAnsi="Verdana"/>
                <w:b/>
                <w:bCs/>
                <w:color w:val="auto"/>
                <w:u w:val="none"/>
              </w:rPr>
              <w:t>Or</w:t>
            </w:r>
          </w:p>
          <w:p w14:paraId="28618E7F" w14:textId="6B474219" w:rsidR="00AB7933" w:rsidRPr="00663543" w:rsidRDefault="00AB7933" w:rsidP="00663543">
            <w:pPr>
              <w:spacing w:before="120" w:after="120"/>
              <w:rPr>
                <w:rFonts w:ascii="Verdana" w:eastAsiaTheme="majorEastAsia" w:hAnsi="Verdana"/>
                <w:b/>
                <w:bCs/>
              </w:rPr>
            </w:pPr>
            <w:r w:rsidRPr="00665287">
              <w:rPr>
                <w:rStyle w:val="Hyperlink"/>
                <w:rFonts w:ascii="Verdana" w:eastAsiaTheme="majorEastAsia" w:hAnsi="Verdana"/>
                <w:color w:val="auto"/>
                <w:u w:val="none"/>
              </w:rPr>
              <w:t xml:space="preserve">Refer to </w:t>
            </w:r>
            <w:hyperlink r:id="rId6" w:anchor="!/view?docid=43d5b60c-07df-4842-81c9-7de9ca0135be" w:history="1">
              <w:r w:rsidRPr="00665287">
                <w:rPr>
                  <w:rStyle w:val="Hyperlink"/>
                  <w:rFonts w:ascii="Verdana" w:eastAsiaTheme="majorEastAsia" w:hAnsi="Verdana"/>
                </w:rPr>
                <w:t>Compass - Retail Pharmacy Vaccine &amp; Flu Shot Administration (069531)</w:t>
              </w:r>
            </w:hyperlink>
            <w:r w:rsidRPr="00665287">
              <w:rPr>
                <w:rFonts w:ascii="Verdana" w:hAnsi="Verdana" w:cs="Helvetica"/>
                <w:color w:val="000000"/>
              </w:rPr>
              <w:t>.</w:t>
            </w:r>
          </w:p>
        </w:tc>
      </w:tr>
      <w:tr w:rsidR="00AB7933" w:rsidRPr="00F55D9A" w14:paraId="5A005C22" w14:textId="77777777" w:rsidTr="00663543">
        <w:trPr>
          <w:trHeight w:val="1359"/>
        </w:trPr>
        <w:tc>
          <w:tcPr>
            <w:tcW w:w="1074" w:type="pct"/>
          </w:tcPr>
          <w:p w14:paraId="58C1BB5C" w14:textId="77777777" w:rsidR="00AB7933" w:rsidRPr="00665287" w:rsidRDefault="00AB7933" w:rsidP="00C219C3">
            <w:pPr>
              <w:autoSpaceDE w:val="0"/>
              <w:autoSpaceDN w:val="0"/>
              <w:adjustRightInd w:val="0"/>
              <w:spacing w:before="120" w:after="120"/>
              <w:rPr>
                <w:rFonts w:ascii="Verdana" w:hAnsi="Verdana"/>
              </w:rPr>
            </w:pPr>
            <w:bookmarkStart w:id="15" w:name="AnamtshowninRBPPenaltyfield"/>
            <w:r w:rsidRPr="00665287">
              <w:rPr>
                <w:rFonts w:ascii="Verdana" w:hAnsi="Verdana"/>
                <w:color w:val="000000"/>
              </w:rPr>
              <w:t>Amount shown in the RBP Penalty field</w:t>
            </w:r>
            <w:bookmarkEnd w:id="15"/>
          </w:p>
        </w:tc>
        <w:tc>
          <w:tcPr>
            <w:tcW w:w="3926" w:type="pct"/>
            <w:gridSpan w:val="2"/>
          </w:tcPr>
          <w:p w14:paraId="1B3DA166" w14:textId="77777777" w:rsidR="00AB7933" w:rsidRPr="00665287" w:rsidRDefault="00AB7933" w:rsidP="00C219C3">
            <w:pPr>
              <w:numPr>
                <w:ilvl w:val="0"/>
                <w:numId w:val="6"/>
              </w:numPr>
              <w:spacing w:before="120" w:after="120"/>
              <w:rPr>
                <w:rFonts w:ascii="Verdana" w:hAnsi="Verdana"/>
                <w:color w:val="000000"/>
              </w:rPr>
            </w:pPr>
            <w:r w:rsidRPr="00665287">
              <w:rPr>
                <w:rFonts w:ascii="Verdana" w:hAnsi="Verdana"/>
                <w:color w:val="000000"/>
              </w:rPr>
              <w:t xml:space="preserve">Reference Based Pricing (RBP) was applied. </w:t>
            </w:r>
          </w:p>
          <w:p w14:paraId="26658BE4" w14:textId="77777777" w:rsidR="00AB7933" w:rsidRPr="00665287" w:rsidRDefault="00AB7933" w:rsidP="00C219C3">
            <w:pPr>
              <w:numPr>
                <w:ilvl w:val="0"/>
                <w:numId w:val="6"/>
              </w:numPr>
              <w:spacing w:before="120" w:after="120"/>
              <w:rPr>
                <w:rFonts w:ascii="Verdana" w:hAnsi="Verdana"/>
                <w:color w:val="000000"/>
              </w:rPr>
            </w:pPr>
            <w:r w:rsidRPr="00665287">
              <w:rPr>
                <w:rFonts w:ascii="Verdana" w:hAnsi="Verdana"/>
                <w:color w:val="000000"/>
              </w:rPr>
              <w:t xml:space="preserve">RBP is used when drug classes contain a number of drugs that are therapeutically similar but also vary widely in price. </w:t>
            </w:r>
          </w:p>
          <w:p w14:paraId="20B46865" w14:textId="77777777" w:rsidR="00AB7933" w:rsidRPr="00665287" w:rsidRDefault="00AB7933" w:rsidP="00C219C3">
            <w:pPr>
              <w:numPr>
                <w:ilvl w:val="0"/>
                <w:numId w:val="6"/>
              </w:numPr>
              <w:spacing w:before="120" w:after="120"/>
              <w:rPr>
                <w:rFonts w:ascii="Verdana" w:hAnsi="Verdana"/>
                <w:color w:val="000000"/>
              </w:rPr>
            </w:pPr>
            <w:r w:rsidRPr="00665287">
              <w:rPr>
                <w:rFonts w:ascii="Verdana" w:hAnsi="Verdana"/>
                <w:color w:val="000000"/>
              </w:rPr>
              <w:t xml:space="preserve">A reference price is set for a specific amount, usually the cost of a generic. If a more expensive drug within the class is used, the member may be charged an extra Surcharge based on the reference price. </w:t>
            </w:r>
          </w:p>
          <w:p w14:paraId="103B9CF0" w14:textId="324BDE54" w:rsidR="00AB7933" w:rsidRPr="008E545F" w:rsidRDefault="00AB7933" w:rsidP="00C219C3">
            <w:pPr>
              <w:numPr>
                <w:ilvl w:val="0"/>
                <w:numId w:val="6"/>
              </w:numPr>
              <w:spacing w:before="120" w:after="120"/>
              <w:rPr>
                <w:rFonts w:ascii="Verdana" w:hAnsi="Verdana"/>
                <w:color w:val="000000"/>
              </w:rPr>
            </w:pPr>
            <w:r w:rsidRPr="00665287">
              <w:rPr>
                <w:rFonts w:ascii="Verdana" w:hAnsi="Verdana"/>
                <w:color w:val="000000"/>
              </w:rPr>
              <w:t>This plan design option can vary by client and drug class. Review the CIF in theSource and/or Plan Summary screen in PeopleSafe for more information.</w:t>
            </w:r>
          </w:p>
        </w:tc>
      </w:tr>
      <w:tr w:rsidR="00AB7933" w:rsidRPr="00F55D9A" w14:paraId="6500F49E" w14:textId="77777777" w:rsidTr="00663543">
        <w:trPr>
          <w:trHeight w:val="2498"/>
        </w:trPr>
        <w:tc>
          <w:tcPr>
            <w:tcW w:w="1074" w:type="pct"/>
          </w:tcPr>
          <w:p w14:paraId="5ADB5FFD" w14:textId="4B5B3C3E" w:rsidR="00AB7933" w:rsidRPr="00665287" w:rsidRDefault="00AB7933" w:rsidP="00C219C3">
            <w:pPr>
              <w:spacing w:before="120" w:after="120"/>
              <w:rPr>
                <w:rFonts w:ascii="Verdana" w:hAnsi="Verdana"/>
                <w:color w:val="000000"/>
              </w:rPr>
            </w:pPr>
            <w:bookmarkStart w:id="16" w:name="CautionDURconflict"/>
            <w:r w:rsidRPr="00665287">
              <w:rPr>
                <w:rFonts w:ascii="Verdana" w:hAnsi="Verdana"/>
                <w:color w:val="000000"/>
              </w:rPr>
              <w:t>Caution: DUR conflict/message exists alert message</w:t>
            </w:r>
            <w:bookmarkEnd w:id="16"/>
            <w:r w:rsidRPr="00665287">
              <w:rPr>
                <w:rFonts w:ascii="Verdana" w:hAnsi="Verdana"/>
                <w:color w:val="000000"/>
              </w:rPr>
              <w:t xml:space="preserve"> </w:t>
            </w:r>
          </w:p>
          <w:p w14:paraId="2CFE4C5F" w14:textId="77777777" w:rsidR="00AB7933" w:rsidRPr="00665287" w:rsidRDefault="00AB7933" w:rsidP="00C219C3">
            <w:pPr>
              <w:autoSpaceDE w:val="0"/>
              <w:autoSpaceDN w:val="0"/>
              <w:adjustRightInd w:val="0"/>
              <w:spacing w:before="120" w:after="120"/>
              <w:rPr>
                <w:rFonts w:ascii="Verdana" w:hAnsi="Verdana"/>
              </w:rPr>
            </w:pPr>
          </w:p>
        </w:tc>
        <w:tc>
          <w:tcPr>
            <w:tcW w:w="3926" w:type="pct"/>
            <w:gridSpan w:val="2"/>
          </w:tcPr>
          <w:p w14:paraId="32C49BB9" w14:textId="77777777" w:rsidR="00AB7933" w:rsidRPr="00665287" w:rsidRDefault="00AB7933" w:rsidP="00C219C3">
            <w:pPr>
              <w:numPr>
                <w:ilvl w:val="0"/>
                <w:numId w:val="7"/>
              </w:numPr>
              <w:spacing w:before="120" w:after="120"/>
              <w:rPr>
                <w:rFonts w:ascii="Verdana" w:hAnsi="Verdana"/>
                <w:color w:val="000000"/>
              </w:rPr>
            </w:pPr>
            <w:r w:rsidRPr="00665287">
              <w:rPr>
                <w:rFonts w:ascii="Verdana" w:hAnsi="Verdana"/>
                <w:color w:val="000000"/>
              </w:rPr>
              <w:t xml:space="preserve">View the DUR (Drug Utilization Review) information section of the Test Claim results to understand the DUR conflict. </w:t>
            </w:r>
          </w:p>
          <w:p w14:paraId="3B96DF6D" w14:textId="77777777" w:rsidR="00AB7933" w:rsidRPr="00665287" w:rsidRDefault="00AB7933" w:rsidP="00C219C3">
            <w:pPr>
              <w:spacing w:before="120" w:after="120"/>
              <w:ind w:left="360"/>
              <w:rPr>
                <w:rFonts w:ascii="Verdana" w:hAnsi="Verdana"/>
                <w:color w:val="000000"/>
              </w:rPr>
            </w:pPr>
            <w:r w:rsidRPr="00665287">
              <w:rPr>
                <w:rFonts w:ascii="Verdana" w:hAnsi="Verdana"/>
                <w:color w:val="000000"/>
              </w:rPr>
              <w:t xml:space="preserve"> </w:t>
            </w:r>
          </w:p>
          <w:p w14:paraId="53826A1F" w14:textId="230A6E03" w:rsidR="00AB7933" w:rsidRPr="00363749" w:rsidRDefault="00AB7933" w:rsidP="00363749">
            <w:pPr>
              <w:numPr>
                <w:ilvl w:val="0"/>
                <w:numId w:val="7"/>
              </w:numPr>
              <w:spacing w:before="120" w:after="120"/>
              <w:rPr>
                <w:rFonts w:ascii="Verdana" w:hAnsi="Verdana"/>
                <w:color w:val="000000"/>
              </w:rPr>
            </w:pPr>
            <w:r w:rsidRPr="00665287">
              <w:rPr>
                <w:rFonts w:ascii="Verdana" w:hAnsi="Verdana"/>
                <w:color w:val="000000"/>
              </w:rPr>
              <w:t xml:space="preserve">Determine the reason for the DUR (Step therapy, duplicate therapy, refill too soon, high dose); refer to the CIF for override information. </w:t>
            </w:r>
          </w:p>
          <w:p w14:paraId="2038E464" w14:textId="28098593" w:rsidR="00AB7933" w:rsidRPr="00665287" w:rsidRDefault="00AB7933" w:rsidP="00C219C3">
            <w:pPr>
              <w:spacing w:before="120" w:after="120"/>
              <w:rPr>
                <w:rFonts w:ascii="Verdana" w:hAnsi="Verdana" w:cs="Helvetica"/>
                <w:color w:val="000000"/>
              </w:rPr>
            </w:pPr>
            <w:r w:rsidRPr="00665287">
              <w:rPr>
                <w:rFonts w:ascii="Verdana" w:hAnsi="Verdana"/>
                <w:color w:val="000000"/>
              </w:rPr>
              <w:t xml:space="preserve"> Refer to reject code 88 in </w:t>
            </w:r>
            <w:hyperlink r:id="rId7" w:anchor="!/view?docid=104c3318-95ba-42e2-bd05-17877b0a8045" w:history="1">
              <w:r w:rsidRPr="00665287">
                <w:rPr>
                  <w:rStyle w:val="Hyperlink"/>
                  <w:rFonts w:ascii="Verdana" w:hAnsi="Verdana"/>
                </w:rPr>
                <w:t>Compass - Rejection Codes and Resolutions (Reject 01 – Reject ZN) (067649)</w:t>
              </w:r>
            </w:hyperlink>
            <w:r w:rsidRPr="00665287">
              <w:rPr>
                <w:rFonts w:ascii="Verdana" w:hAnsi="Verdana" w:cs="Helvetica"/>
                <w:color w:val="000000"/>
              </w:rPr>
              <w:t>.</w:t>
            </w:r>
          </w:p>
          <w:p w14:paraId="419E9616" w14:textId="77777777" w:rsidR="00AB7933" w:rsidRPr="00665287" w:rsidRDefault="00AB7933" w:rsidP="00C219C3">
            <w:pPr>
              <w:spacing w:before="120" w:after="120"/>
              <w:rPr>
                <w:rFonts w:ascii="Verdana" w:hAnsi="Verdana"/>
                <w:color w:val="000000"/>
              </w:rPr>
            </w:pPr>
          </w:p>
          <w:p w14:paraId="7BF0A7F3" w14:textId="77777777" w:rsidR="00AB7933" w:rsidRPr="00663543" w:rsidRDefault="00AB7933" w:rsidP="00663543">
            <w:pPr>
              <w:pStyle w:val="ListParagraph"/>
              <w:numPr>
                <w:ilvl w:val="0"/>
                <w:numId w:val="12"/>
              </w:numPr>
              <w:spacing w:before="120" w:after="120"/>
              <w:rPr>
                <w:rFonts w:ascii="Verdana" w:hAnsi="Verdana"/>
                <w:color w:val="000000"/>
              </w:rPr>
            </w:pPr>
            <w:r w:rsidRPr="00663543">
              <w:rPr>
                <w:rFonts w:ascii="Verdana" w:hAnsi="Verdana"/>
                <w:color w:val="000000"/>
              </w:rPr>
              <w:t>If necessary, contact Clinical Counseling.</w:t>
            </w:r>
          </w:p>
          <w:p w14:paraId="5A680CF0" w14:textId="77777777" w:rsidR="00AB7933" w:rsidRPr="00665287" w:rsidRDefault="00AB7933" w:rsidP="00C219C3">
            <w:pPr>
              <w:spacing w:before="120" w:after="120"/>
              <w:rPr>
                <w:rFonts w:ascii="Verdana" w:hAnsi="Verdana"/>
                <w:color w:val="000000"/>
              </w:rPr>
            </w:pPr>
          </w:p>
          <w:p w14:paraId="64C5302C" w14:textId="77777777" w:rsidR="00AB7933" w:rsidRPr="00665287" w:rsidRDefault="00AB7933" w:rsidP="00663543">
            <w:pPr>
              <w:spacing w:before="120" w:after="120"/>
              <w:ind w:left="720"/>
              <w:rPr>
                <w:rFonts w:ascii="Verdana" w:hAnsi="Verdana"/>
                <w:b/>
                <w:color w:val="000000"/>
              </w:rPr>
            </w:pPr>
            <w:r w:rsidRPr="00665287">
              <w:rPr>
                <w:rFonts w:ascii="Verdana" w:hAnsi="Verdana"/>
                <w:noProof/>
                <w:color w:val="000000"/>
              </w:rPr>
              <w:drawing>
                <wp:inline distT="0" distB="0" distL="0" distR="0" wp14:anchorId="3FE2872E" wp14:editId="7068D2EA">
                  <wp:extent cx="241300" cy="209550"/>
                  <wp:effectExtent l="0" t="0" r="0" b="0"/>
                  <wp:docPr id="5" name="Picture 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665287">
              <w:rPr>
                <w:rFonts w:ascii="Verdana" w:hAnsi="Verdana"/>
                <w:color w:val="000000"/>
              </w:rPr>
              <w:t xml:space="preserve"> Do not advise the member that the drug will accept until the DUR conflicts have been reviewed, such as</w:t>
            </w:r>
            <w:r w:rsidRPr="00665287">
              <w:rPr>
                <w:rFonts w:ascii="Verdana" w:hAnsi="Verdana"/>
                <w:b/>
                <w:color w:val="000000"/>
              </w:rPr>
              <w:t>:</w:t>
            </w:r>
          </w:p>
          <w:p w14:paraId="7BD5F1C8" w14:textId="047A7C53" w:rsidR="00AB7933" w:rsidRPr="00665287" w:rsidRDefault="00AB7933" w:rsidP="00663543">
            <w:pPr>
              <w:numPr>
                <w:ilvl w:val="0"/>
                <w:numId w:val="5"/>
              </w:numPr>
              <w:spacing w:before="120" w:after="120"/>
              <w:ind w:left="1800"/>
              <w:rPr>
                <w:rFonts w:ascii="Verdana" w:hAnsi="Verdana"/>
                <w:color w:val="000000"/>
              </w:rPr>
            </w:pPr>
            <w:r w:rsidRPr="00665287">
              <w:rPr>
                <w:rFonts w:ascii="Verdana" w:hAnsi="Verdana"/>
                <w:b/>
                <w:color w:val="000000"/>
              </w:rPr>
              <w:t xml:space="preserve">Conflict Code Description: </w:t>
            </w:r>
            <w:r w:rsidRPr="00665287">
              <w:rPr>
                <w:rFonts w:ascii="Verdana" w:hAnsi="Verdana"/>
                <w:color w:val="000000"/>
              </w:rPr>
              <w:t>Provides the reason the drug would be denied.</w:t>
            </w:r>
          </w:p>
          <w:p w14:paraId="59A971C7" w14:textId="0622EA13" w:rsidR="00AB7933" w:rsidRPr="00665287" w:rsidRDefault="00AB7933" w:rsidP="00663543">
            <w:pPr>
              <w:numPr>
                <w:ilvl w:val="0"/>
                <w:numId w:val="5"/>
              </w:numPr>
              <w:spacing w:before="120" w:after="120"/>
              <w:ind w:left="1800"/>
              <w:rPr>
                <w:rFonts w:ascii="Verdana" w:hAnsi="Verdana"/>
                <w:color w:val="000000"/>
              </w:rPr>
            </w:pPr>
            <w:r w:rsidRPr="00665287">
              <w:rPr>
                <w:rFonts w:ascii="Verdana" w:hAnsi="Verdana"/>
                <w:b/>
                <w:color w:val="000000"/>
              </w:rPr>
              <w:t xml:space="preserve">Conflict Fill Date: </w:t>
            </w:r>
            <w:r w:rsidRPr="00665287">
              <w:rPr>
                <w:rFonts w:ascii="Verdana" w:hAnsi="Verdana"/>
                <w:color w:val="000000"/>
              </w:rPr>
              <w:t>Provides the date of the fill that is causing the conflict.</w:t>
            </w:r>
          </w:p>
          <w:p w14:paraId="547EBD54" w14:textId="77777777" w:rsidR="00AB7933" w:rsidRPr="00665287" w:rsidRDefault="00AB7933" w:rsidP="00C219C3">
            <w:pPr>
              <w:spacing w:before="120" w:after="120"/>
              <w:rPr>
                <w:rFonts w:ascii="Verdana" w:hAnsi="Verdana"/>
                <w:color w:val="000000"/>
              </w:rPr>
            </w:pPr>
          </w:p>
          <w:p w14:paraId="25C72C73" w14:textId="239D0054" w:rsidR="00AB7933" w:rsidRPr="00665287" w:rsidRDefault="00AB7933" w:rsidP="00663543">
            <w:pPr>
              <w:spacing w:before="120" w:after="120"/>
              <w:ind w:left="720"/>
              <w:rPr>
                <w:rFonts w:ascii="Verdana" w:hAnsi="Verdana"/>
                <w:color w:val="000000"/>
              </w:rPr>
            </w:pPr>
            <w:r w:rsidRPr="00665287">
              <w:rPr>
                <w:rFonts w:ascii="Verdana" w:hAnsi="Verdana"/>
                <w:b/>
                <w:color w:val="000000"/>
              </w:rPr>
              <w:t>Note:</w:t>
            </w:r>
            <w:r w:rsidRPr="00665287">
              <w:rPr>
                <w:rFonts w:ascii="Verdana" w:hAnsi="Verdana"/>
                <w:color w:val="000000"/>
              </w:rPr>
              <w:t xml:space="preserve"> DUR information is not available on the web portal or IVR. This may lead to conflicting information if the member first gets a pricing quote from one of these places and then discusses it with a CCR.</w:t>
            </w:r>
          </w:p>
        </w:tc>
      </w:tr>
      <w:tr w:rsidR="00AB7933" w:rsidRPr="00F55D9A" w14:paraId="29A5DB24" w14:textId="77777777" w:rsidTr="00663543">
        <w:trPr>
          <w:trHeight w:val="1340"/>
        </w:trPr>
        <w:tc>
          <w:tcPr>
            <w:tcW w:w="1074" w:type="pct"/>
          </w:tcPr>
          <w:p w14:paraId="70B53E1E" w14:textId="77777777" w:rsidR="00AB7933" w:rsidRPr="00665287" w:rsidRDefault="00AB7933" w:rsidP="00C219C3">
            <w:pPr>
              <w:autoSpaceDE w:val="0"/>
              <w:autoSpaceDN w:val="0"/>
              <w:adjustRightInd w:val="0"/>
              <w:spacing w:before="120" w:after="120"/>
              <w:rPr>
                <w:rFonts w:ascii="Verdana" w:hAnsi="Verdana"/>
                <w:color w:val="000000"/>
              </w:rPr>
            </w:pPr>
            <w:bookmarkStart w:id="17" w:name="Infoincurrentphaseamtremainnextphasefiel"/>
            <w:r w:rsidRPr="00665287">
              <w:rPr>
                <w:rFonts w:ascii="Verdana" w:hAnsi="Verdana"/>
              </w:rPr>
              <w:t>Current Phase, Amount Remaining and Next Phase fields has information</w:t>
            </w:r>
            <w:bookmarkEnd w:id="17"/>
          </w:p>
        </w:tc>
        <w:tc>
          <w:tcPr>
            <w:tcW w:w="3926" w:type="pct"/>
            <w:gridSpan w:val="2"/>
          </w:tcPr>
          <w:p w14:paraId="741CF43D" w14:textId="542ED184" w:rsidR="00AB7933" w:rsidRPr="00665287" w:rsidRDefault="00AB7933" w:rsidP="00C219C3">
            <w:pPr>
              <w:spacing w:before="120" w:after="120"/>
              <w:rPr>
                <w:rFonts w:ascii="Verdana" w:hAnsi="Verdana"/>
                <w:color w:val="000000"/>
              </w:rPr>
            </w:pPr>
            <w:r w:rsidRPr="00665287">
              <w:rPr>
                <w:rFonts w:ascii="Verdana" w:hAnsi="Verdana"/>
                <w:b/>
                <w:color w:val="000000"/>
              </w:rPr>
              <w:t>Med D Only</w:t>
            </w:r>
            <w:r w:rsidRPr="00665287">
              <w:rPr>
                <w:rFonts w:ascii="Verdana" w:hAnsi="Verdana"/>
                <w:b/>
                <w:bCs/>
                <w:color w:val="000000"/>
              </w:rPr>
              <w:t>:</w:t>
            </w:r>
            <w:r w:rsidRPr="00665287">
              <w:rPr>
                <w:rFonts w:ascii="Verdana" w:hAnsi="Verdana"/>
                <w:color w:val="000000"/>
              </w:rPr>
              <w:t xml:space="preserve"> Use these fields to determine how the cost of each medication affects the MED D phase accumulations (Deductible, Initial, Coverage Gap, and</w:t>
            </w:r>
            <w:r w:rsidR="00A73C5F">
              <w:rPr>
                <w:rFonts w:ascii="Verdana" w:hAnsi="Verdana"/>
                <w:color w:val="000000"/>
              </w:rPr>
              <w:t>/</w:t>
            </w:r>
            <w:r w:rsidRPr="00665287">
              <w:rPr>
                <w:rFonts w:ascii="Verdana" w:hAnsi="Verdana"/>
                <w:color w:val="000000"/>
              </w:rPr>
              <w:t>or Catastrophic) for the beneficiary.</w:t>
            </w:r>
          </w:p>
          <w:p w14:paraId="51EA6EB4" w14:textId="592258C0" w:rsidR="00AB7933" w:rsidRPr="00665287" w:rsidRDefault="00AB7933" w:rsidP="00C219C3">
            <w:pPr>
              <w:spacing w:before="120" w:after="120"/>
              <w:rPr>
                <w:rFonts w:ascii="Verdana" w:hAnsi="Verdana"/>
                <w:color w:val="000000"/>
              </w:rPr>
            </w:pPr>
            <w:r w:rsidRPr="00665287">
              <w:rPr>
                <w:rFonts w:ascii="Verdana" w:hAnsi="Verdana"/>
                <w:b/>
                <w:bCs/>
                <w:color w:val="000000"/>
              </w:rPr>
              <w:t xml:space="preserve">Note: </w:t>
            </w:r>
            <w:r w:rsidRPr="00665287">
              <w:rPr>
                <w:rFonts w:ascii="Verdana" w:hAnsi="Verdana"/>
                <w:color w:val="000000"/>
              </w:rPr>
              <w:t xml:space="preserve">These fields currently </w:t>
            </w:r>
            <w:r w:rsidR="00DA0E53" w:rsidRPr="00665287">
              <w:rPr>
                <w:rFonts w:ascii="Verdana" w:hAnsi="Verdana"/>
                <w:color w:val="000000"/>
              </w:rPr>
              <w:t>populate</w:t>
            </w:r>
            <w:r w:rsidRPr="00665287">
              <w:rPr>
                <w:rFonts w:ascii="Verdana" w:hAnsi="Verdana"/>
                <w:color w:val="000000"/>
              </w:rPr>
              <w:t xml:space="preserve"> RxClaim.</w:t>
            </w:r>
          </w:p>
        </w:tc>
      </w:tr>
      <w:tr w:rsidR="00AB7933" w:rsidRPr="00F55D9A" w14:paraId="11C554DF" w14:textId="77777777" w:rsidTr="00663543">
        <w:trPr>
          <w:trHeight w:val="710"/>
        </w:trPr>
        <w:tc>
          <w:tcPr>
            <w:tcW w:w="1074" w:type="pct"/>
          </w:tcPr>
          <w:p w14:paraId="5AD4AF32" w14:textId="77777777" w:rsidR="00AB7933" w:rsidRPr="00665287" w:rsidRDefault="00AB7933" w:rsidP="00C219C3">
            <w:pPr>
              <w:autoSpaceDE w:val="0"/>
              <w:autoSpaceDN w:val="0"/>
              <w:adjustRightInd w:val="0"/>
              <w:spacing w:before="120" w:after="120"/>
              <w:rPr>
                <w:rFonts w:ascii="Verdana" w:hAnsi="Verdana"/>
                <w:color w:val="000000"/>
              </w:rPr>
            </w:pPr>
            <w:bookmarkStart w:id="18" w:name="adollaramtinHRAcontributionamtfield"/>
            <w:r w:rsidRPr="00665287">
              <w:rPr>
                <w:rFonts w:ascii="Verdana" w:hAnsi="Verdana"/>
              </w:rPr>
              <w:t>Dollar amount in the HRA Contribution Amount field</w:t>
            </w:r>
            <w:bookmarkEnd w:id="18"/>
          </w:p>
        </w:tc>
        <w:tc>
          <w:tcPr>
            <w:tcW w:w="3926" w:type="pct"/>
            <w:gridSpan w:val="2"/>
          </w:tcPr>
          <w:p w14:paraId="2C51F711" w14:textId="77777777" w:rsidR="00AB7933" w:rsidRPr="00665287" w:rsidRDefault="00AB7933" w:rsidP="00C219C3">
            <w:pPr>
              <w:spacing w:before="120" w:after="120"/>
              <w:rPr>
                <w:rFonts w:ascii="Verdana" w:hAnsi="Verdana"/>
                <w:color w:val="000000"/>
              </w:rPr>
            </w:pPr>
            <w:r w:rsidRPr="00665287">
              <w:rPr>
                <w:rFonts w:ascii="Verdana" w:hAnsi="Verdana"/>
                <w:color w:val="000000"/>
              </w:rPr>
              <w:t xml:space="preserve">Member has an HRA and funds from the account were applied to the Test Claim. </w:t>
            </w:r>
          </w:p>
          <w:p w14:paraId="5F802236" w14:textId="77777777" w:rsidR="00AB7933" w:rsidRPr="00665287" w:rsidRDefault="00AB7933" w:rsidP="00C219C3">
            <w:pPr>
              <w:spacing w:before="120" w:after="120"/>
              <w:rPr>
                <w:rStyle w:val="Hyperlink"/>
                <w:rFonts w:ascii="Verdana" w:eastAsiaTheme="majorEastAsia" w:hAnsi="Verdana"/>
              </w:rPr>
            </w:pPr>
            <w:r w:rsidRPr="00665287">
              <w:rPr>
                <w:rFonts w:ascii="Verdana" w:hAnsi="Verdana"/>
                <w:color w:val="000000"/>
              </w:rPr>
              <w:t xml:space="preserve">Refer to </w:t>
            </w:r>
            <w:hyperlink r:id="rId9" w:anchor="!/view?docid=5faf1746-7a91-4622-9cc3-647c5b51d690" w:history="1">
              <w:r w:rsidRPr="00665287">
                <w:rPr>
                  <w:rStyle w:val="Hyperlink"/>
                  <w:rFonts w:ascii="Verdana" w:eastAsiaTheme="majorEastAsia" w:hAnsi="Verdana"/>
                </w:rPr>
                <w:t>Health Reimbursement Account (HRA) (029146)</w:t>
              </w:r>
            </w:hyperlink>
            <w:r w:rsidRPr="00665287">
              <w:rPr>
                <w:rFonts w:ascii="Verdana" w:hAnsi="Verdana"/>
              </w:rPr>
              <w:t>.</w:t>
            </w:r>
          </w:p>
          <w:p w14:paraId="51AD660E" w14:textId="77777777" w:rsidR="00AB7933" w:rsidRPr="00665287" w:rsidRDefault="00AB7933" w:rsidP="00C219C3">
            <w:pPr>
              <w:spacing w:before="120" w:after="120"/>
              <w:ind w:left="720"/>
              <w:rPr>
                <w:rStyle w:val="Hyperlink"/>
                <w:rFonts w:ascii="Verdana" w:eastAsiaTheme="majorEastAsia" w:hAnsi="Verdana"/>
                <w:b/>
                <w:bCs/>
                <w:color w:val="auto"/>
                <w:u w:val="none"/>
              </w:rPr>
            </w:pPr>
            <w:r w:rsidRPr="00665287">
              <w:rPr>
                <w:rStyle w:val="Hyperlink"/>
                <w:rFonts w:ascii="Verdana" w:eastAsiaTheme="majorEastAsia" w:hAnsi="Verdana"/>
                <w:b/>
                <w:bCs/>
                <w:color w:val="auto"/>
                <w:u w:val="none"/>
              </w:rPr>
              <w:t>Or</w:t>
            </w:r>
          </w:p>
          <w:p w14:paraId="688A03EC" w14:textId="420DC085" w:rsidR="00AB7933" w:rsidRPr="008E545F" w:rsidRDefault="00AB7933" w:rsidP="00C219C3">
            <w:pPr>
              <w:spacing w:before="120" w:after="120"/>
              <w:rPr>
                <w:rFonts w:ascii="Verdana" w:hAnsi="Verdana" w:cs="Helvetica"/>
                <w:color w:val="000000"/>
              </w:rPr>
            </w:pPr>
            <w:r w:rsidRPr="00665287">
              <w:rPr>
                <w:rFonts w:ascii="Verdana" w:hAnsi="Verdana"/>
                <w:color w:val="000000"/>
              </w:rPr>
              <w:t xml:space="preserve">Refer to </w:t>
            </w:r>
            <w:hyperlink r:id="rId10" w:anchor="!/view?docid=81d80416-712c-4243-bf39-00a5869d7ce4" w:history="1">
              <w:r w:rsidRPr="00665287">
                <w:rPr>
                  <w:rStyle w:val="Hyperlink"/>
                  <w:rFonts w:ascii="Verdana" w:hAnsi="Verdana" w:cs="Helvetica"/>
                </w:rPr>
                <w:t>Compass - Health Reimbursement Account (HRA) (066757)</w:t>
              </w:r>
            </w:hyperlink>
            <w:r w:rsidRPr="00665287">
              <w:rPr>
                <w:rFonts w:ascii="Verdana" w:hAnsi="Verdana"/>
                <w:color w:val="000000"/>
              </w:rPr>
              <w:t>.</w:t>
            </w:r>
          </w:p>
        </w:tc>
      </w:tr>
      <w:tr w:rsidR="00AB7933" w:rsidRPr="00F55D9A" w14:paraId="2F94D4B7" w14:textId="77777777" w:rsidTr="00663543">
        <w:trPr>
          <w:trHeight w:val="1808"/>
        </w:trPr>
        <w:tc>
          <w:tcPr>
            <w:tcW w:w="1074" w:type="pct"/>
          </w:tcPr>
          <w:p w14:paraId="5A55A436" w14:textId="77777777" w:rsidR="00AB7933" w:rsidRPr="00665287" w:rsidRDefault="00AB7933" w:rsidP="00C219C3">
            <w:pPr>
              <w:autoSpaceDE w:val="0"/>
              <w:autoSpaceDN w:val="0"/>
              <w:adjustRightInd w:val="0"/>
              <w:spacing w:before="120" w:after="120"/>
              <w:rPr>
                <w:rFonts w:ascii="Verdana" w:hAnsi="Verdana"/>
              </w:rPr>
            </w:pPr>
            <w:bookmarkStart w:id="19" w:name="DxRequiredConflict"/>
            <w:r w:rsidRPr="00665287">
              <w:rPr>
                <w:rFonts w:ascii="Verdana" w:hAnsi="Verdana"/>
              </w:rPr>
              <w:t>Dx Required Conflict</w:t>
            </w:r>
            <w:bookmarkEnd w:id="19"/>
          </w:p>
          <w:p w14:paraId="2289841C" w14:textId="77777777" w:rsidR="00AB7933" w:rsidRPr="00665287" w:rsidRDefault="00AB7933" w:rsidP="00C219C3">
            <w:pPr>
              <w:tabs>
                <w:tab w:val="left" w:pos="1490"/>
              </w:tabs>
              <w:spacing w:before="120" w:after="120"/>
              <w:rPr>
                <w:rFonts w:ascii="Verdana" w:hAnsi="Verdana"/>
              </w:rPr>
            </w:pPr>
            <w:r w:rsidRPr="00665287">
              <w:rPr>
                <w:rFonts w:ascii="Verdana" w:hAnsi="Verdana"/>
              </w:rPr>
              <w:tab/>
            </w:r>
          </w:p>
        </w:tc>
        <w:tc>
          <w:tcPr>
            <w:tcW w:w="3926" w:type="pct"/>
            <w:gridSpan w:val="2"/>
          </w:tcPr>
          <w:p w14:paraId="109DED82" w14:textId="77777777" w:rsidR="00AB7933" w:rsidRDefault="00AB7933" w:rsidP="00C219C3">
            <w:pPr>
              <w:numPr>
                <w:ilvl w:val="0"/>
                <w:numId w:val="1"/>
              </w:numPr>
              <w:tabs>
                <w:tab w:val="num" w:pos="-6588"/>
              </w:tabs>
              <w:spacing w:before="120" w:after="120"/>
              <w:rPr>
                <w:rFonts w:ascii="Verdana" w:hAnsi="Verdana"/>
                <w:color w:val="000000"/>
              </w:rPr>
            </w:pPr>
            <w:r w:rsidRPr="00665287">
              <w:rPr>
                <w:rFonts w:ascii="Verdana" w:hAnsi="Verdana"/>
                <w:color w:val="000000"/>
              </w:rPr>
              <w:t xml:space="preserve">Advise the member that their medication requires </w:t>
            </w:r>
            <w:r w:rsidRPr="00665287">
              <w:rPr>
                <w:rFonts w:ascii="Verdana" w:hAnsi="Verdana"/>
                <w:b/>
                <w:color w:val="000000"/>
              </w:rPr>
              <w:t>additional information</w:t>
            </w:r>
            <w:r w:rsidRPr="00665287">
              <w:rPr>
                <w:rFonts w:ascii="Verdana" w:hAnsi="Verdana"/>
                <w:color w:val="000000"/>
              </w:rPr>
              <w:t>.</w:t>
            </w:r>
          </w:p>
          <w:p w14:paraId="1D34C082" w14:textId="77777777" w:rsidR="008E545F" w:rsidRPr="00665287" w:rsidRDefault="008E545F" w:rsidP="008E545F">
            <w:pPr>
              <w:spacing w:before="120" w:after="120"/>
              <w:ind w:left="360"/>
              <w:rPr>
                <w:rFonts w:ascii="Verdana" w:hAnsi="Verdana"/>
                <w:color w:val="000000"/>
              </w:rPr>
            </w:pPr>
          </w:p>
          <w:p w14:paraId="15AD44B5" w14:textId="155B9A50" w:rsidR="00AB7933" w:rsidRPr="00665287" w:rsidRDefault="00AB7933" w:rsidP="00C219C3">
            <w:pPr>
              <w:spacing w:before="120" w:after="120"/>
              <w:rPr>
                <w:rFonts w:ascii="Verdana" w:hAnsi="Verdana"/>
                <w:color w:val="000000"/>
              </w:rPr>
            </w:pPr>
            <w:r w:rsidRPr="00665287">
              <w:rPr>
                <w:rFonts w:ascii="Verdana" w:hAnsi="Verdana"/>
                <w:b/>
                <w:color w:val="000000"/>
              </w:rPr>
              <w:t>Note</w:t>
            </w:r>
            <w:r w:rsidRPr="00665287">
              <w:rPr>
                <w:rFonts w:ascii="Verdana" w:hAnsi="Verdana"/>
                <w:b/>
                <w:bCs/>
                <w:color w:val="000000"/>
              </w:rPr>
              <w:t>:</w:t>
            </w:r>
            <w:r w:rsidRPr="00665287">
              <w:rPr>
                <w:rFonts w:ascii="Verdana" w:hAnsi="Verdana"/>
                <w:color w:val="000000"/>
              </w:rPr>
              <w:t xml:space="preserve"> If the patient is mailing in their Rx, they can ask their prescriber to include the diagnosis on the prescription. </w:t>
            </w:r>
          </w:p>
          <w:p w14:paraId="33319B3D" w14:textId="2260DAF3" w:rsidR="00AB7933" w:rsidRPr="00665287" w:rsidRDefault="00AB7933" w:rsidP="00C219C3">
            <w:pPr>
              <w:spacing w:before="120" w:after="120"/>
              <w:rPr>
                <w:rFonts w:ascii="Verdana" w:hAnsi="Verdana"/>
                <w:color w:val="000000"/>
              </w:rPr>
            </w:pPr>
            <w:r w:rsidRPr="00665287">
              <w:rPr>
                <w:rFonts w:ascii="Verdana" w:hAnsi="Verdana"/>
                <w:b/>
                <w:noProof/>
                <w:color w:val="000000"/>
              </w:rPr>
              <w:drawing>
                <wp:inline distT="0" distB="0" distL="0" distR="0" wp14:anchorId="3D2C5C92" wp14:editId="69E8345D">
                  <wp:extent cx="241300" cy="209550"/>
                  <wp:effectExtent l="0" t="0" r="0" b="0"/>
                  <wp:docPr id="6" name="Picture 6"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Important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665287">
              <w:rPr>
                <w:rFonts w:ascii="Verdana" w:hAnsi="Verdana"/>
                <w:color w:val="000000"/>
              </w:rPr>
              <w:t xml:space="preserve"> CCR’s should </w:t>
            </w:r>
            <w:r w:rsidR="00663543">
              <w:rPr>
                <w:rFonts w:ascii="Verdana" w:hAnsi="Verdana"/>
                <w:b/>
                <w:color w:val="000000"/>
              </w:rPr>
              <w:t xml:space="preserve">never </w:t>
            </w:r>
            <w:r w:rsidRPr="00665287">
              <w:rPr>
                <w:rFonts w:ascii="Verdana" w:hAnsi="Verdana"/>
                <w:color w:val="000000"/>
              </w:rPr>
              <w:t xml:space="preserve">advise a member of the covered diagnosis. </w:t>
            </w:r>
          </w:p>
          <w:p w14:paraId="111D3194" w14:textId="77777777" w:rsidR="00AB7933" w:rsidRPr="00665287" w:rsidRDefault="00AB7933" w:rsidP="00C219C3">
            <w:pPr>
              <w:spacing w:before="120" w:after="120"/>
              <w:rPr>
                <w:rFonts w:ascii="Verdana" w:hAnsi="Verdana"/>
                <w:b/>
                <w:color w:val="000000"/>
              </w:rPr>
            </w:pPr>
          </w:p>
          <w:p w14:paraId="2803BA02" w14:textId="77777777" w:rsidR="00AB7933" w:rsidRPr="00665287" w:rsidRDefault="00AB7933" w:rsidP="00C219C3">
            <w:pPr>
              <w:spacing w:before="120" w:after="120"/>
              <w:rPr>
                <w:rFonts w:ascii="Verdana" w:hAnsi="Verdana"/>
                <w:b/>
                <w:color w:val="000000"/>
              </w:rPr>
            </w:pPr>
            <w:r w:rsidRPr="00665287">
              <w:rPr>
                <w:rFonts w:ascii="Verdana" w:hAnsi="Verdana"/>
                <w:b/>
                <w:color w:val="000000"/>
              </w:rPr>
              <w:t xml:space="preserve">Sample Mail Order: </w:t>
            </w:r>
          </w:p>
          <w:p w14:paraId="4FCD1263" w14:textId="7BCCB9A8" w:rsidR="00AB7933" w:rsidRPr="00665287" w:rsidRDefault="00AB7933" w:rsidP="00C219C3">
            <w:pPr>
              <w:spacing w:before="120" w:after="120"/>
              <w:rPr>
                <w:rFonts w:ascii="Verdana" w:hAnsi="Verdana"/>
                <w:color w:val="000000"/>
              </w:rPr>
            </w:pPr>
            <w:r w:rsidRPr="00665287">
              <w:rPr>
                <w:rFonts w:ascii="Verdana" w:hAnsi="Verdana"/>
                <w:noProof/>
                <w:color w:val="000000"/>
                <w14:ligatures w14:val="standardContextual"/>
              </w:rPr>
              <w:drawing>
                <wp:inline distT="0" distB="0" distL="0" distR="0" wp14:anchorId="0C2DC023" wp14:editId="5230A4DA">
                  <wp:extent cx="238095" cy="209524"/>
                  <wp:effectExtent l="0" t="0" r="0" b="635"/>
                  <wp:docPr id="16259559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5907" name="Picture 1625955907"/>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65287">
              <w:rPr>
                <w:rFonts w:ascii="Verdana" w:hAnsi="Verdana"/>
                <w:color w:val="000000"/>
              </w:rPr>
              <w:t xml:space="preserve"> Your type of medication requires additional information to help us determine your coverage. Your prescriber will be contacted by our Pharmacy Benefit Manager to obtain additional information. </w:t>
            </w:r>
          </w:p>
          <w:p w14:paraId="0DD49640" w14:textId="2912A7C4" w:rsidR="00AB7933" w:rsidRPr="00665287" w:rsidRDefault="00AB7933" w:rsidP="00C219C3">
            <w:pPr>
              <w:spacing w:before="120" w:after="120"/>
              <w:rPr>
                <w:rFonts w:ascii="Verdana" w:hAnsi="Verdana"/>
                <w:color w:val="000000"/>
              </w:rPr>
            </w:pPr>
            <w:r w:rsidRPr="00665287">
              <w:rPr>
                <w:rFonts w:ascii="Verdana" w:hAnsi="Verdana"/>
                <w:noProof/>
                <w:color w:val="000000"/>
                <w14:ligatures w14:val="standardContextual"/>
              </w:rPr>
              <w:drawing>
                <wp:inline distT="0" distB="0" distL="0" distR="0" wp14:anchorId="2F312A7E" wp14:editId="0C3801D0">
                  <wp:extent cx="238095" cy="209524"/>
                  <wp:effectExtent l="0" t="0" r="0" b="635"/>
                  <wp:docPr id="4039605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0588" name="Picture 403960588"/>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65287">
              <w:rPr>
                <w:rFonts w:ascii="Verdana" w:hAnsi="Verdana"/>
                <w:color w:val="000000"/>
              </w:rPr>
              <w:t xml:space="preserve"> Our clinical pharmacists will determine coverage based on the additional information provided by your prescriber. You will receive a letter indicating whether the prescription was covered by your plan. </w:t>
            </w:r>
          </w:p>
        </w:tc>
      </w:tr>
      <w:tr w:rsidR="00AB7933" w:rsidRPr="00F55D9A" w14:paraId="25582B54" w14:textId="77777777" w:rsidTr="00663543">
        <w:trPr>
          <w:trHeight w:val="1403"/>
        </w:trPr>
        <w:tc>
          <w:tcPr>
            <w:tcW w:w="1074" w:type="pct"/>
          </w:tcPr>
          <w:p w14:paraId="7BB1448C" w14:textId="77777777" w:rsidR="00AB7933" w:rsidRPr="00665287" w:rsidRDefault="00AB7933" w:rsidP="00C219C3">
            <w:pPr>
              <w:autoSpaceDE w:val="0"/>
              <w:autoSpaceDN w:val="0"/>
              <w:adjustRightInd w:val="0"/>
              <w:spacing w:before="120" w:after="120"/>
              <w:rPr>
                <w:rFonts w:ascii="Verdana" w:hAnsi="Verdana"/>
              </w:rPr>
            </w:pPr>
            <w:bookmarkStart w:id="20" w:name="ExclusionforDrugMedications"/>
            <w:r w:rsidRPr="00665287">
              <w:rPr>
                <w:rFonts w:ascii="Verdana" w:hAnsi="Verdana"/>
              </w:rPr>
              <w:t>Exclusion for Drug</w:t>
            </w:r>
          </w:p>
          <w:p w14:paraId="5A9FA76B" w14:textId="77777777" w:rsidR="00AB7933" w:rsidRPr="00665287" w:rsidRDefault="00AB7933" w:rsidP="00C219C3">
            <w:pPr>
              <w:spacing w:before="120" w:after="120"/>
              <w:rPr>
                <w:rFonts w:ascii="Verdana" w:hAnsi="Verdana"/>
              </w:rPr>
            </w:pPr>
            <w:r w:rsidRPr="00665287">
              <w:rPr>
                <w:rFonts w:ascii="Verdana" w:hAnsi="Verdana"/>
              </w:rPr>
              <w:t xml:space="preserve">Medications </w:t>
            </w:r>
            <w:bookmarkEnd w:id="20"/>
            <w:r w:rsidRPr="00665287">
              <w:rPr>
                <w:rFonts w:ascii="Verdana" w:hAnsi="Verdana"/>
              </w:rPr>
              <w:t>not available at Mail Order</w:t>
            </w:r>
          </w:p>
        </w:tc>
        <w:tc>
          <w:tcPr>
            <w:tcW w:w="3926" w:type="pct"/>
            <w:gridSpan w:val="2"/>
          </w:tcPr>
          <w:p w14:paraId="39E697C0" w14:textId="2899A709" w:rsidR="00AB7933" w:rsidRPr="00665287" w:rsidRDefault="00AB7933" w:rsidP="00C219C3">
            <w:pPr>
              <w:spacing w:before="120" w:after="120"/>
              <w:rPr>
                <w:rFonts w:ascii="Verdana" w:hAnsi="Verdana" w:cs="Tahoma"/>
                <w:color w:val="000000"/>
                <w:sz w:val="16"/>
                <w:szCs w:val="16"/>
              </w:rPr>
            </w:pPr>
            <w:r w:rsidRPr="00665287">
              <w:rPr>
                <w:rFonts w:ascii="Verdana" w:hAnsi="Verdana"/>
                <w:color w:val="000000"/>
              </w:rPr>
              <w:t xml:space="preserve">Some medication may not be available for Mail Order due to the type of </w:t>
            </w:r>
            <w:r w:rsidR="00363749" w:rsidRPr="00665287">
              <w:rPr>
                <w:rFonts w:ascii="Verdana" w:hAnsi="Verdana"/>
                <w:color w:val="000000"/>
              </w:rPr>
              <w:t>medication</w:t>
            </w:r>
            <w:r w:rsidRPr="00665287">
              <w:rPr>
                <w:rFonts w:ascii="Verdana" w:hAnsi="Verdana"/>
                <w:color w:val="000000"/>
              </w:rPr>
              <w:t xml:space="preserve">. Review the </w:t>
            </w:r>
            <w:hyperlink r:id="rId12" w:anchor="!/view?docid=c46dd06b-3aa7-427e-a8b2-004a4d094c16" w:history="1">
              <w:r w:rsidRPr="00665287">
                <w:rPr>
                  <w:rFonts w:ascii="Verdana" w:hAnsi="Verdana" w:cs="Tahoma"/>
                  <w:color w:val="0000FF"/>
                  <w:u w:val="single"/>
                </w:rPr>
                <w:t>Medications Not Available via Home Delivery (026885)</w:t>
              </w:r>
            </w:hyperlink>
            <w:r w:rsidRPr="00665287">
              <w:rPr>
                <w:rFonts w:ascii="Verdana" w:hAnsi="Verdana" w:cs="Tahoma"/>
                <w:color w:val="000000"/>
              </w:rPr>
              <w:t>.</w:t>
            </w:r>
          </w:p>
          <w:p w14:paraId="041E9C20" w14:textId="6B72AD8B" w:rsidR="00AB7933" w:rsidRPr="00363749" w:rsidRDefault="00AB7933" w:rsidP="008E545F">
            <w:pPr>
              <w:numPr>
                <w:ilvl w:val="0"/>
                <w:numId w:val="4"/>
              </w:numPr>
              <w:spacing w:before="120" w:after="120"/>
              <w:ind w:left="376"/>
              <w:contextualSpacing/>
              <w:rPr>
                <w:rFonts w:ascii="Verdana" w:hAnsi="Verdana"/>
                <w:color w:val="000000"/>
              </w:rPr>
            </w:pPr>
            <w:r w:rsidRPr="00665287">
              <w:rPr>
                <w:rFonts w:ascii="Verdana" w:hAnsi="Verdana"/>
                <w:color w:val="000000"/>
              </w:rPr>
              <w:t>If the medication is not on the list and it is a generic medication, build a Test Claim using the Mail Order option only. We may have a different NDC number for that generic medication available for Mail Order.</w:t>
            </w:r>
            <w:r w:rsidRPr="00665287">
              <w:rPr>
                <w:rFonts w:ascii="Verdana" w:hAnsi="Verdana"/>
                <w:noProof/>
                <w:color w:val="000000"/>
              </w:rPr>
              <w:t xml:space="preserve"> </w:t>
            </w:r>
          </w:p>
        </w:tc>
      </w:tr>
      <w:tr w:rsidR="00AB7933" w:rsidRPr="00F55D9A" w14:paraId="37A7C34F" w14:textId="77777777" w:rsidTr="00663543">
        <w:trPr>
          <w:trHeight w:val="620"/>
        </w:trPr>
        <w:tc>
          <w:tcPr>
            <w:tcW w:w="1074" w:type="pct"/>
          </w:tcPr>
          <w:p w14:paraId="4282F5BB" w14:textId="77777777" w:rsidR="00AB7933" w:rsidRPr="00665287" w:rsidRDefault="00AB7933" w:rsidP="00C219C3">
            <w:pPr>
              <w:spacing w:before="120" w:after="120"/>
              <w:rPr>
                <w:rFonts w:ascii="Verdana" w:hAnsi="Verdana"/>
              </w:rPr>
            </w:pPr>
            <w:bookmarkStart w:id="21" w:name="FlexcopayIncentiveapplied"/>
            <w:r w:rsidRPr="00665287">
              <w:rPr>
                <w:rFonts w:ascii="Verdana" w:hAnsi="Verdana"/>
              </w:rPr>
              <w:t>Flex copay incentive applied</w:t>
            </w:r>
            <w:bookmarkEnd w:id="21"/>
          </w:p>
        </w:tc>
        <w:tc>
          <w:tcPr>
            <w:tcW w:w="3926" w:type="pct"/>
            <w:gridSpan w:val="2"/>
          </w:tcPr>
          <w:p w14:paraId="3519D3F6" w14:textId="77777777" w:rsidR="00AB7933" w:rsidRPr="00665287" w:rsidRDefault="00AB7933" w:rsidP="00C219C3">
            <w:pPr>
              <w:spacing w:before="120" w:after="120"/>
              <w:rPr>
                <w:rFonts w:ascii="Verdana" w:hAnsi="Verdana"/>
                <w:color w:val="000000" w:themeColor="text1"/>
              </w:rPr>
            </w:pPr>
            <w:r w:rsidRPr="00665287">
              <w:rPr>
                <w:rFonts w:ascii="Verdana" w:hAnsi="Verdana"/>
                <w:color w:val="000000" w:themeColor="text1"/>
              </w:rPr>
              <w:t xml:space="preserve">An incentive is offered to the plan member either lowering or waiving their copay for choosing a plan specified recommended drug (with their prescriber’s authorization). </w:t>
            </w:r>
          </w:p>
          <w:p w14:paraId="3AE553B8" w14:textId="77777777" w:rsidR="00AB7933" w:rsidRPr="00665287" w:rsidRDefault="00AB7933" w:rsidP="00C219C3">
            <w:pPr>
              <w:spacing w:before="120" w:after="120"/>
              <w:rPr>
                <w:rFonts w:ascii="Verdana" w:hAnsi="Verdana"/>
              </w:rPr>
            </w:pPr>
            <w:r w:rsidRPr="00665287">
              <w:rPr>
                <w:rFonts w:ascii="Verdana" w:hAnsi="Verdana"/>
                <w:color w:val="000000" w:themeColor="text1"/>
              </w:rPr>
              <w:t xml:space="preserve">Refer to </w:t>
            </w:r>
            <w:hyperlink r:id="rId13" w:anchor="!/view?docid=be20189a-858e-41eb-a25c-1a2f2a51d0b6" w:history="1">
              <w:r w:rsidRPr="00665287">
                <w:rPr>
                  <w:rStyle w:val="Hyperlink"/>
                  <w:rFonts w:ascii="Verdana" w:eastAsiaTheme="majorEastAsia" w:hAnsi="Verdana"/>
                </w:rPr>
                <w:t>Flexible Copay Incentive (020630)</w:t>
              </w:r>
            </w:hyperlink>
            <w:r w:rsidRPr="00665287">
              <w:rPr>
                <w:rFonts w:ascii="Verdana" w:hAnsi="Verdana"/>
              </w:rPr>
              <w:t>.</w:t>
            </w:r>
          </w:p>
          <w:p w14:paraId="0AC97B09" w14:textId="77777777" w:rsidR="00AB7933" w:rsidRPr="00665287" w:rsidRDefault="00AB7933" w:rsidP="00C219C3">
            <w:pPr>
              <w:spacing w:before="120" w:after="120"/>
              <w:ind w:left="720"/>
              <w:rPr>
                <w:rFonts w:ascii="Verdana" w:hAnsi="Verdana"/>
                <w:b/>
                <w:bCs/>
                <w:color w:val="000000" w:themeColor="text1"/>
              </w:rPr>
            </w:pPr>
            <w:r w:rsidRPr="00665287">
              <w:rPr>
                <w:rFonts w:ascii="Verdana" w:hAnsi="Verdana"/>
                <w:b/>
                <w:bCs/>
                <w:color w:val="000000" w:themeColor="text1"/>
              </w:rPr>
              <w:t>Or</w:t>
            </w:r>
          </w:p>
          <w:p w14:paraId="02349E41" w14:textId="78BC694D" w:rsidR="00AB7933" w:rsidRPr="00665287" w:rsidRDefault="00AB7933" w:rsidP="00C219C3">
            <w:pPr>
              <w:spacing w:before="120" w:after="120"/>
              <w:rPr>
                <w:rFonts w:ascii="Verdana" w:hAnsi="Verdana"/>
                <w:color w:val="000000" w:themeColor="text1"/>
              </w:rPr>
            </w:pPr>
            <w:r w:rsidRPr="00665287">
              <w:rPr>
                <w:rFonts w:ascii="Verdana" w:hAnsi="Verdana"/>
                <w:color w:val="000000" w:themeColor="text1"/>
              </w:rPr>
              <w:t xml:space="preserve">Refer to </w:t>
            </w:r>
            <w:hyperlink r:id="rId14" w:anchor="!/view?docid=f012c017-0107-424c-a26c-4b8726983a27" w:history="1">
              <w:r w:rsidRPr="00665287">
                <w:rPr>
                  <w:rStyle w:val="Hyperlink"/>
                  <w:rFonts w:ascii="Verdana" w:hAnsi="Verdana"/>
                </w:rPr>
                <w:t>Compass - Flexible Copay Incentive (071026)</w:t>
              </w:r>
            </w:hyperlink>
            <w:r w:rsidRPr="00665287">
              <w:rPr>
                <w:rFonts w:ascii="Verdana" w:hAnsi="Verdana"/>
                <w:color w:val="000000" w:themeColor="text1"/>
              </w:rPr>
              <w:t>.</w:t>
            </w:r>
          </w:p>
        </w:tc>
      </w:tr>
      <w:tr w:rsidR="00AB7933" w:rsidRPr="00F55D9A" w14:paraId="16D80C7F" w14:textId="77777777" w:rsidTr="00663543">
        <w:trPr>
          <w:trHeight w:val="227"/>
        </w:trPr>
        <w:tc>
          <w:tcPr>
            <w:tcW w:w="1074" w:type="pct"/>
          </w:tcPr>
          <w:p w14:paraId="39FC812C" w14:textId="77777777" w:rsidR="00AB7933" w:rsidRPr="00665287" w:rsidRDefault="00AB7933" w:rsidP="00C219C3">
            <w:pPr>
              <w:spacing w:before="120" w:after="120"/>
              <w:rPr>
                <w:rFonts w:ascii="Verdana" w:hAnsi="Verdana"/>
              </w:rPr>
            </w:pPr>
            <w:bookmarkStart w:id="22" w:name="InitialFillDaysSupplyExceedsLimit"/>
            <w:r w:rsidRPr="00665287">
              <w:rPr>
                <w:rFonts w:ascii="Verdana" w:hAnsi="Verdana"/>
              </w:rPr>
              <w:t>Initial Fill Day’s Supply Exceeds Limit</w:t>
            </w:r>
            <w:bookmarkEnd w:id="22"/>
          </w:p>
        </w:tc>
        <w:tc>
          <w:tcPr>
            <w:tcW w:w="3926" w:type="pct"/>
            <w:gridSpan w:val="2"/>
          </w:tcPr>
          <w:p w14:paraId="053329D2" w14:textId="599DA4C2" w:rsidR="00AB7933" w:rsidRPr="008E545F" w:rsidRDefault="00AB7933" w:rsidP="00C219C3">
            <w:pPr>
              <w:spacing w:before="120" w:after="120"/>
              <w:rPr>
                <w:rFonts w:ascii="Verdana" w:eastAsiaTheme="majorEastAsia" w:hAnsi="Verdana"/>
              </w:rPr>
            </w:pPr>
            <w:r w:rsidRPr="00665287">
              <w:rPr>
                <w:rFonts w:ascii="Verdana" w:hAnsi="Verdana"/>
              </w:rPr>
              <w:t xml:space="preserve">Claim exceeds day supply limits for initial fill of this therapy. Reduce supply per claim message or contact the prescriber. (Reject is commonly seen for Opioid prescriptions due to first fills and continued therapy). Refer to </w:t>
            </w:r>
            <w:hyperlink r:id="rId15" w:anchor="!/view?docid=6126d9cb-9504-4714-b0b3-2f2484cfce4b" w:history="1">
              <w:r w:rsidRPr="00665287">
                <w:rPr>
                  <w:rStyle w:val="Hyperlink"/>
                  <w:rFonts w:ascii="Verdana" w:hAnsi="Verdana"/>
                </w:rPr>
                <w:t>Opioid Prescription Safety Management Flex Quantity Limit (QL) and Subsequent Fill (044638)</w:t>
              </w:r>
            </w:hyperlink>
            <w:r w:rsidRPr="00665287">
              <w:rPr>
                <w:rFonts w:ascii="Verdana" w:eastAsiaTheme="majorEastAsia" w:hAnsi="Verdana"/>
              </w:rPr>
              <w:t>.</w:t>
            </w:r>
          </w:p>
        </w:tc>
      </w:tr>
      <w:tr w:rsidR="00AB7933" w:rsidRPr="00F55D9A" w14:paraId="1D84ED5F" w14:textId="77777777" w:rsidTr="00663543">
        <w:trPr>
          <w:trHeight w:val="225"/>
        </w:trPr>
        <w:tc>
          <w:tcPr>
            <w:tcW w:w="1074" w:type="pct"/>
          </w:tcPr>
          <w:p w14:paraId="7964283E" w14:textId="77777777" w:rsidR="00AB7933" w:rsidRPr="00665287" w:rsidRDefault="00AB7933" w:rsidP="00C219C3">
            <w:pPr>
              <w:spacing w:before="120" w:after="120"/>
              <w:ind w:left="-27"/>
              <w:rPr>
                <w:rFonts w:ascii="Verdana" w:hAnsi="Verdana"/>
              </w:rPr>
            </w:pPr>
            <w:bookmarkStart w:id="23" w:name="Medicationnotcovered"/>
            <w:r w:rsidRPr="00665287">
              <w:rPr>
                <w:rFonts w:ascii="Verdana" w:hAnsi="Verdana"/>
              </w:rPr>
              <w:t>Medication Not Covered</w:t>
            </w:r>
            <w:bookmarkEnd w:id="23"/>
          </w:p>
        </w:tc>
        <w:tc>
          <w:tcPr>
            <w:tcW w:w="3926" w:type="pct"/>
            <w:gridSpan w:val="2"/>
          </w:tcPr>
          <w:p w14:paraId="1268D700" w14:textId="77777777" w:rsidR="00AB7933" w:rsidRPr="00665287" w:rsidRDefault="00AB7933" w:rsidP="00C219C3">
            <w:pPr>
              <w:numPr>
                <w:ilvl w:val="0"/>
                <w:numId w:val="8"/>
              </w:numPr>
              <w:spacing w:before="120" w:after="120"/>
              <w:rPr>
                <w:rFonts w:ascii="Verdana" w:hAnsi="Verdana"/>
                <w:color w:val="000000"/>
              </w:rPr>
            </w:pPr>
            <w:r w:rsidRPr="00665287">
              <w:rPr>
                <w:rFonts w:ascii="Verdana" w:hAnsi="Verdana"/>
                <w:color w:val="000000"/>
              </w:rPr>
              <w:t xml:space="preserve">Review to ensure there are not qualifying statements in the settlement codes, such as PA required, Dx required, Step therapy, or any other options listed above. Refer to those sections if indicated in the Settlement Codes. </w:t>
            </w:r>
          </w:p>
          <w:p w14:paraId="0B5766E3" w14:textId="20C0858E" w:rsidR="00663543" w:rsidRPr="00663543" w:rsidRDefault="00AB7933" w:rsidP="00663543">
            <w:pPr>
              <w:pStyle w:val="ListParagraph"/>
              <w:numPr>
                <w:ilvl w:val="0"/>
                <w:numId w:val="4"/>
              </w:numPr>
              <w:spacing w:before="120" w:after="120"/>
              <w:ind w:left="1080"/>
              <w:rPr>
                <w:rFonts w:ascii="Verdana" w:hAnsi="Verdana"/>
              </w:rPr>
            </w:pPr>
            <w:r w:rsidRPr="00663543">
              <w:rPr>
                <w:rFonts w:ascii="Verdana" w:hAnsi="Verdana"/>
              </w:rPr>
              <w:t xml:space="preserve">If </w:t>
            </w:r>
            <w:r w:rsidR="00663543">
              <w:rPr>
                <w:rFonts w:ascii="Verdana" w:hAnsi="Verdana"/>
              </w:rPr>
              <w:t>p</w:t>
            </w:r>
            <w:r w:rsidRPr="00663543">
              <w:rPr>
                <w:rFonts w:ascii="Verdana" w:hAnsi="Verdana"/>
              </w:rPr>
              <w:t>roduct is rejecting for Omnipod (Diabetic Insulin Pump)</w:t>
            </w:r>
            <w:r w:rsidRPr="00663543">
              <w:rPr>
                <w:rFonts w:ascii="Verdana" w:hAnsi="Verdana"/>
                <w:b/>
                <w:bCs/>
              </w:rPr>
              <w:t>,</w:t>
            </w:r>
            <w:r w:rsidRPr="00663543">
              <w:rPr>
                <w:rFonts w:ascii="Verdana" w:hAnsi="Verdana"/>
              </w:rPr>
              <w:t xml:space="preserve"> refer to </w:t>
            </w:r>
            <w:hyperlink r:id="rId16" w:anchor="!/view?docid=13cbba53-e56c-47a5-bbda-570c1aa8cffe" w:history="1">
              <w:r w:rsidRPr="00663543">
                <w:rPr>
                  <w:rStyle w:val="Hyperlink"/>
                  <w:rFonts w:ascii="Verdana" w:eastAsiaTheme="majorEastAsia" w:hAnsi="Verdana" w:cs="Helvetica"/>
                  <w:shd w:val="clear" w:color="auto" w:fill="FFFFFF"/>
                </w:rPr>
                <w:t>PeopleSafe - Reject 70 NDC Product/Service Not Covered - Pending Formulary Review MR - Not on Formulary (048745)</w:t>
              </w:r>
            </w:hyperlink>
            <w:r w:rsidRPr="00663543">
              <w:rPr>
                <w:rFonts w:ascii="Verdana" w:hAnsi="Verdana" w:cs="Helvetica"/>
                <w:color w:val="000000"/>
                <w:shd w:val="clear" w:color="auto" w:fill="FFFFFF"/>
              </w:rPr>
              <w:t>.</w:t>
            </w:r>
            <w:r w:rsidR="00663543" w:rsidRPr="00663543">
              <w:rPr>
                <w:rFonts w:ascii="Verdana" w:hAnsi="Verdana" w:cs="Helvetica"/>
                <w:color w:val="000000"/>
                <w:shd w:val="clear" w:color="auto" w:fill="FFFFFF"/>
              </w:rPr>
              <w:t xml:space="preserve"> </w:t>
            </w:r>
          </w:p>
          <w:p w14:paraId="1628E6AF" w14:textId="3312D753" w:rsidR="00AB7933" w:rsidRPr="00663543" w:rsidRDefault="00AB7933" w:rsidP="00663543">
            <w:pPr>
              <w:pStyle w:val="ListParagraph"/>
              <w:numPr>
                <w:ilvl w:val="0"/>
                <w:numId w:val="4"/>
              </w:numPr>
              <w:spacing w:before="120" w:after="120"/>
              <w:ind w:left="1080"/>
              <w:rPr>
                <w:rFonts w:ascii="Verdana" w:hAnsi="Verdana"/>
              </w:rPr>
            </w:pPr>
            <w:r w:rsidRPr="00663543">
              <w:rPr>
                <w:rFonts w:ascii="Verdana" w:hAnsi="Verdana"/>
              </w:rPr>
              <w:t xml:space="preserve">If using compass refer to </w:t>
            </w:r>
            <w:hyperlink r:id="rId17" w:anchor="!/view?docid=104c3318-95ba-42e2-bd05-17877b0a8045" w:history="1">
              <w:r w:rsidRPr="00663543">
                <w:rPr>
                  <w:rStyle w:val="Hyperlink"/>
                  <w:rFonts w:ascii="Verdana" w:hAnsi="Verdana"/>
                </w:rPr>
                <w:t>Compass - Rejection Codes and Resolutions (Reject 01 – Reject ZN) (067649)</w:t>
              </w:r>
            </w:hyperlink>
            <w:r w:rsidRPr="00663543">
              <w:rPr>
                <w:rFonts w:ascii="Verdana" w:hAnsi="Verdana"/>
              </w:rPr>
              <w:t xml:space="preserve"> to resolve the rejection code. </w:t>
            </w:r>
          </w:p>
          <w:p w14:paraId="3A2684CB" w14:textId="1A837FA1" w:rsidR="00AB7933" w:rsidRPr="00665287" w:rsidRDefault="008E545F" w:rsidP="00C219C3">
            <w:pPr>
              <w:spacing w:before="120" w:after="120"/>
              <w:ind w:left="720"/>
              <w:rPr>
                <w:rFonts w:ascii="Verdana" w:hAnsi="Verdana"/>
              </w:rPr>
            </w:pPr>
            <w:r>
              <w:rPr>
                <w:rFonts w:ascii="Verdana" w:hAnsi="Verdana"/>
              </w:rPr>
              <w:t xml:space="preserve">          </w:t>
            </w:r>
            <w:r w:rsidR="00AB7933" w:rsidRPr="00665287">
              <w:rPr>
                <w:rFonts w:ascii="Verdana" w:hAnsi="Verdana"/>
                <w:noProof/>
                <w14:ligatures w14:val="standardContextual"/>
              </w:rPr>
              <w:drawing>
                <wp:inline distT="0" distB="0" distL="0" distR="0" wp14:anchorId="5F85AE30" wp14:editId="2678451A">
                  <wp:extent cx="238095" cy="209524"/>
                  <wp:effectExtent l="0" t="0" r="0" b="635"/>
                  <wp:docPr id="17261485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48537" name="Picture 1726148537"/>
                          <pic:cNvPicPr/>
                        </pic:nvPicPr>
                        <pic:blipFill>
                          <a:blip r:embed="rId1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AB7933" w:rsidRPr="00665287">
              <w:rPr>
                <w:rFonts w:ascii="Verdana" w:hAnsi="Verdana"/>
              </w:rPr>
              <w:t xml:space="preserve"> If </w:t>
            </w:r>
            <w:r w:rsidR="00663543">
              <w:rPr>
                <w:rFonts w:ascii="Verdana" w:hAnsi="Verdana"/>
              </w:rPr>
              <w:t>p</w:t>
            </w:r>
            <w:r w:rsidR="00AB7933" w:rsidRPr="00665287">
              <w:rPr>
                <w:rFonts w:ascii="Verdana" w:hAnsi="Verdana"/>
              </w:rPr>
              <w:t xml:space="preserve">roduct is rejected for OTC Not Covered, search for other alternatives which may be covered by the plan. Some medications have an OTC and Rx version. </w:t>
            </w:r>
          </w:p>
          <w:p w14:paraId="72C12294" w14:textId="5DFE53F1" w:rsidR="00AB7933" w:rsidRPr="00665287" w:rsidRDefault="00AB7933" w:rsidP="008E545F">
            <w:pPr>
              <w:pStyle w:val="ListParagraph"/>
              <w:numPr>
                <w:ilvl w:val="0"/>
                <w:numId w:val="4"/>
              </w:numPr>
              <w:spacing w:before="120" w:after="120"/>
              <w:ind w:left="1080"/>
              <w:rPr>
                <w:rFonts w:ascii="Verdana" w:hAnsi="Verdana"/>
                <w:color w:val="000000"/>
              </w:rPr>
            </w:pPr>
            <w:r w:rsidRPr="00665287">
              <w:rPr>
                <w:rFonts w:ascii="Verdana" w:hAnsi="Verdana"/>
              </w:rPr>
              <w:t xml:space="preserve"> To find alternative in PeopleSafe Use the Savings ($) icon to locate covered alternatives. Refer to </w:t>
            </w:r>
            <w:hyperlink r:id="rId19" w:anchor="!/view?docid=48ee161e-9b5e-4cfb-904f-f80995018f28" w:history="1">
              <w:r w:rsidRPr="00665287">
                <w:rPr>
                  <w:rStyle w:val="Hyperlink"/>
                  <w:rFonts w:ascii="Verdana" w:hAnsi="Verdana"/>
                </w:rPr>
                <w:t>PeopleSafe - Test Claim Formulary and Additional Alternatives (031769)</w:t>
              </w:r>
            </w:hyperlink>
            <w:r w:rsidRPr="00665287">
              <w:rPr>
                <w:rFonts w:ascii="Verdana" w:hAnsi="Verdana"/>
              </w:rPr>
              <w:t>.</w:t>
            </w:r>
          </w:p>
          <w:p w14:paraId="765888DD" w14:textId="5825B448" w:rsidR="00AB7933" w:rsidRPr="00665287" w:rsidRDefault="00AB7933" w:rsidP="008E545F">
            <w:pPr>
              <w:pStyle w:val="ListParagraph"/>
              <w:numPr>
                <w:ilvl w:val="0"/>
                <w:numId w:val="4"/>
              </w:numPr>
              <w:spacing w:before="120" w:after="120"/>
              <w:ind w:left="1080"/>
              <w:rPr>
                <w:rFonts w:ascii="Verdana" w:hAnsi="Verdana" w:cs="Helvetica"/>
                <w:color w:val="000000"/>
              </w:rPr>
            </w:pPr>
            <w:r w:rsidRPr="00665287">
              <w:rPr>
                <w:rFonts w:ascii="Verdana" w:hAnsi="Verdana"/>
                <w:color w:val="000000"/>
              </w:rPr>
              <w:t xml:space="preserve"> To find alternatives in Compass use </w:t>
            </w:r>
            <w:hyperlink r:id="rId20" w:anchor="!/view?docid=b3dbfb44-1c9e-47a6-b8f4-6010f553731b" w:history="1">
              <w:r w:rsidRPr="00665287">
                <w:rPr>
                  <w:rStyle w:val="Hyperlink"/>
                  <w:rFonts w:ascii="Verdana" w:hAnsi="Verdana" w:cs="Helvetica"/>
                </w:rPr>
                <w:t>Compass - Viewing and Running Test Claims for Alternative Rx(s) (056849)</w:t>
              </w:r>
            </w:hyperlink>
            <w:r w:rsidRPr="00665287">
              <w:rPr>
                <w:rFonts w:ascii="Verdana" w:hAnsi="Verdana" w:cs="Helvetica"/>
                <w:color w:val="000000"/>
              </w:rPr>
              <w:t>.</w:t>
            </w:r>
          </w:p>
          <w:p w14:paraId="3D87854A" w14:textId="77777777" w:rsidR="00AB7933" w:rsidRPr="00665287" w:rsidRDefault="00AB7933" w:rsidP="00C219C3">
            <w:pPr>
              <w:spacing w:before="120" w:after="120"/>
              <w:rPr>
                <w:rFonts w:ascii="Verdana" w:hAnsi="Verdana"/>
                <w:color w:val="000000"/>
              </w:rPr>
            </w:pPr>
          </w:p>
          <w:p w14:paraId="13113D3B" w14:textId="77777777" w:rsidR="00AB7933" w:rsidRPr="00665287" w:rsidRDefault="00AB7933" w:rsidP="00C219C3">
            <w:pPr>
              <w:numPr>
                <w:ilvl w:val="0"/>
                <w:numId w:val="8"/>
              </w:numPr>
              <w:spacing w:before="120" w:after="120"/>
              <w:ind w:left="377" w:hanging="377"/>
              <w:rPr>
                <w:rFonts w:ascii="Verdana" w:hAnsi="Verdana"/>
                <w:color w:val="000000"/>
              </w:rPr>
            </w:pPr>
            <w:r w:rsidRPr="00665287">
              <w:rPr>
                <w:rFonts w:ascii="Verdana" w:hAnsi="Verdana"/>
                <w:color w:val="000000"/>
              </w:rPr>
              <w:t>Indicate if a phone number is provided in the rejection.</w:t>
            </w:r>
          </w:p>
          <w:p w14:paraId="1766AFA4" w14:textId="6FC86D13" w:rsidR="00AB7933" w:rsidRPr="00665287" w:rsidRDefault="00AB7933" w:rsidP="008E545F">
            <w:pPr>
              <w:pStyle w:val="ListParagraph"/>
              <w:numPr>
                <w:ilvl w:val="0"/>
                <w:numId w:val="11"/>
              </w:numPr>
              <w:spacing w:before="120" w:after="120"/>
              <w:ind w:left="1080"/>
              <w:rPr>
                <w:rFonts w:ascii="Verdana" w:hAnsi="Verdana"/>
                <w:color w:val="000000"/>
              </w:rPr>
            </w:pPr>
            <w:r w:rsidRPr="00665287">
              <w:rPr>
                <w:rFonts w:ascii="Verdana" w:hAnsi="Verdana"/>
                <w:color w:val="000000"/>
              </w:rPr>
              <w:t xml:space="preserve">If so, a Prior Authorization can then be worked because the rejection may only show the phone number but </w:t>
            </w:r>
            <w:r w:rsidR="00363749" w:rsidRPr="00665287">
              <w:rPr>
                <w:rFonts w:ascii="Verdana" w:hAnsi="Verdana"/>
                <w:color w:val="000000"/>
              </w:rPr>
              <w:t>does not</w:t>
            </w:r>
            <w:r w:rsidRPr="00665287">
              <w:rPr>
                <w:rFonts w:ascii="Verdana" w:hAnsi="Verdana"/>
                <w:color w:val="000000"/>
              </w:rPr>
              <w:t xml:space="preserve"> actually state that Prior Authorization is required.</w:t>
            </w:r>
          </w:p>
          <w:p w14:paraId="596CEAB0" w14:textId="77777777" w:rsidR="00AB7933" w:rsidRPr="00665287" w:rsidRDefault="00AB7933" w:rsidP="00C219C3">
            <w:pPr>
              <w:spacing w:before="120" w:after="120"/>
              <w:rPr>
                <w:rFonts w:ascii="Verdana" w:hAnsi="Verdana"/>
                <w:color w:val="000000"/>
              </w:rPr>
            </w:pPr>
          </w:p>
          <w:p w14:paraId="4274400C" w14:textId="4581C936" w:rsidR="00AB7933" w:rsidRPr="00665287" w:rsidRDefault="00FA507E" w:rsidP="00C219C3">
            <w:pPr>
              <w:numPr>
                <w:ilvl w:val="0"/>
                <w:numId w:val="8"/>
              </w:numPr>
              <w:autoSpaceDE w:val="0"/>
              <w:autoSpaceDN w:val="0"/>
              <w:adjustRightInd w:val="0"/>
              <w:spacing w:before="120" w:after="120"/>
              <w:ind w:left="377"/>
              <w:rPr>
                <w:rFonts w:ascii="Verdana" w:hAnsi="Verdana"/>
                <w:color w:val="000000"/>
              </w:rPr>
            </w:pPr>
            <w:r>
              <w:rPr>
                <w:rFonts w:ascii="Verdana" w:hAnsi="Verdana"/>
                <w:noProof/>
                <w:color w:val="000000"/>
                <w14:ligatures w14:val="standardContextual"/>
              </w:rPr>
              <w:drawing>
                <wp:inline distT="0" distB="0" distL="0" distR="0" wp14:anchorId="654FA076" wp14:editId="523C8BCB">
                  <wp:extent cx="304762" cy="304762"/>
                  <wp:effectExtent l="0" t="0" r="635" b="635"/>
                  <wp:docPr id="5985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9096" name="Picture 59859096"/>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7933" w:rsidRPr="00665287">
              <w:rPr>
                <w:rFonts w:ascii="Verdana" w:hAnsi="Verdana"/>
                <w:color w:val="000000"/>
              </w:rPr>
              <w:t>Inform caller that the medication is not covered and proactively review options. Options can include but are not limited to finding alternatives by</w:t>
            </w:r>
            <w:r w:rsidR="00B73683">
              <w:rPr>
                <w:rFonts w:ascii="Verdana" w:hAnsi="Verdana"/>
                <w:color w:val="000000"/>
              </w:rPr>
              <w:t xml:space="preserve"> running </w:t>
            </w:r>
            <w:r w:rsidR="002174B0">
              <w:rPr>
                <w:rFonts w:ascii="Verdana" w:hAnsi="Verdana"/>
                <w:color w:val="000000"/>
              </w:rPr>
              <w:t xml:space="preserve">a </w:t>
            </w:r>
            <w:hyperlink r:id="rId22" w:anchor="!/view?docid=b3dbfb44-1c9e-47a6-b8f4-6010f553731b" w:history="1">
              <w:r w:rsidR="00207FCF">
                <w:rPr>
                  <w:rStyle w:val="Hyperlink"/>
                  <w:rFonts w:ascii="Verdana" w:hAnsi="Verdana"/>
                </w:rPr>
                <w:t>Test Claim (056849)</w:t>
              </w:r>
            </w:hyperlink>
            <w:r w:rsidR="00AB7933" w:rsidRPr="00665287">
              <w:rPr>
                <w:rFonts w:ascii="Verdana" w:hAnsi="Verdana"/>
                <w:color w:val="000000"/>
              </w:rPr>
              <w:t>, Initial Benefit Review, or checking for manufacturer coupons to help offset out-of-pocket costs.</w:t>
            </w:r>
          </w:p>
          <w:p w14:paraId="00C9EB99" w14:textId="77777777" w:rsidR="00AB7933" w:rsidRPr="00665287" w:rsidRDefault="00AB7933" w:rsidP="00C219C3">
            <w:pPr>
              <w:autoSpaceDE w:val="0"/>
              <w:autoSpaceDN w:val="0"/>
              <w:adjustRightInd w:val="0"/>
              <w:spacing w:before="120" w:after="120"/>
              <w:ind w:left="377"/>
              <w:rPr>
                <w:rFonts w:ascii="Verdana" w:hAnsi="Verdana"/>
                <w:color w:val="000000"/>
              </w:rPr>
            </w:pPr>
          </w:p>
          <w:p w14:paraId="5D5FFAE3" w14:textId="77777777" w:rsidR="00AB7933" w:rsidRPr="00665287" w:rsidRDefault="00AB7933" w:rsidP="00C219C3">
            <w:pPr>
              <w:numPr>
                <w:ilvl w:val="0"/>
                <w:numId w:val="8"/>
              </w:numPr>
              <w:spacing w:before="120" w:after="120"/>
              <w:rPr>
                <w:rFonts w:ascii="Verdana" w:hAnsi="Verdana"/>
              </w:rPr>
            </w:pPr>
            <w:r w:rsidRPr="00665287">
              <w:rPr>
                <w:rFonts w:ascii="Verdana" w:hAnsi="Verdana"/>
              </w:rPr>
              <w:t xml:space="preserve">Per </w:t>
            </w:r>
            <w:hyperlink r:id="rId23" w:anchor="!/view?docid=662055fb-5236-4d5d-86b6-6feb7bcaa8d3" w:history="1">
              <w:r w:rsidRPr="00665287">
                <w:rPr>
                  <w:rStyle w:val="Hyperlink"/>
                  <w:rFonts w:ascii="Verdana" w:eastAsiaTheme="majorEastAsia" w:hAnsi="Verdana"/>
                </w:rPr>
                <w:t>eVoucher (Electronic Voucher) Rx Program (011091)</w:t>
              </w:r>
            </w:hyperlink>
            <w:r w:rsidRPr="00665287">
              <w:rPr>
                <w:rStyle w:val="Hyperlink"/>
                <w:rFonts w:ascii="Verdana" w:eastAsiaTheme="majorEastAsia" w:hAnsi="Verdana"/>
                <w:color w:val="auto"/>
                <w:u w:val="none"/>
              </w:rPr>
              <w:t>, i</w:t>
            </w:r>
            <w:r w:rsidRPr="00665287">
              <w:rPr>
                <w:rFonts w:ascii="Verdana" w:hAnsi="Verdana"/>
              </w:rPr>
              <w:t xml:space="preserve">n the overview it states, we will see an adjudicated (processed) claim from a point of sale pharmacy which displays the member’s plan specific copay. </w:t>
            </w:r>
          </w:p>
          <w:p w14:paraId="4628BA0C" w14:textId="77777777" w:rsidR="00AB7933" w:rsidRPr="00665287" w:rsidRDefault="00AB7933" w:rsidP="008E545F">
            <w:pPr>
              <w:pStyle w:val="ListParagraph"/>
              <w:numPr>
                <w:ilvl w:val="1"/>
                <w:numId w:val="6"/>
              </w:numPr>
              <w:spacing w:before="120" w:after="120"/>
              <w:contextualSpacing w:val="0"/>
              <w:rPr>
                <w:rFonts w:ascii="Verdana" w:hAnsi="Verdana"/>
              </w:rPr>
            </w:pPr>
            <w:r w:rsidRPr="00665287">
              <w:rPr>
                <w:rFonts w:ascii="Verdana" w:hAnsi="Verdana"/>
              </w:rPr>
              <w:t xml:space="preserve">We will not be able to see if any eVoucher was applied at the time of sale. This would include being on Caremark.com. </w:t>
            </w:r>
          </w:p>
          <w:p w14:paraId="23762CA9" w14:textId="77777777" w:rsidR="00AB7933" w:rsidRPr="00665287" w:rsidRDefault="00AB7933" w:rsidP="008E545F">
            <w:pPr>
              <w:pStyle w:val="ListParagraph"/>
              <w:numPr>
                <w:ilvl w:val="1"/>
                <w:numId w:val="6"/>
              </w:numPr>
              <w:spacing w:before="120" w:after="120"/>
              <w:contextualSpacing w:val="0"/>
              <w:rPr>
                <w:rFonts w:ascii="Verdana" w:hAnsi="Verdana"/>
              </w:rPr>
            </w:pPr>
            <w:r w:rsidRPr="00665287">
              <w:rPr>
                <w:rFonts w:ascii="Verdana" w:hAnsi="Verdana"/>
              </w:rPr>
              <w:t xml:space="preserve">We would not be able to see if there was a coupon that was assisting member with their final cost. We can only see what the original cost would have been through the insurance plan. </w:t>
            </w:r>
          </w:p>
          <w:p w14:paraId="0BD5A0C2" w14:textId="2D75F10C" w:rsidR="00AB7933" w:rsidRPr="008E545F" w:rsidRDefault="00AB7933" w:rsidP="00C219C3">
            <w:pPr>
              <w:pStyle w:val="ListParagraph"/>
              <w:numPr>
                <w:ilvl w:val="1"/>
                <w:numId w:val="6"/>
              </w:numPr>
              <w:spacing w:before="120" w:after="120"/>
              <w:contextualSpacing w:val="0"/>
              <w:rPr>
                <w:rFonts w:ascii="Verdana" w:hAnsi="Verdana"/>
              </w:rPr>
            </w:pPr>
            <w:r w:rsidRPr="00665287">
              <w:rPr>
                <w:rFonts w:ascii="Verdana" w:hAnsi="Verdana"/>
              </w:rPr>
              <w:t xml:space="preserve">If a member has any questions regarding an eVoucher then the pharmacy will need to call Relay Health at </w:t>
            </w:r>
            <w:r w:rsidRPr="00665287">
              <w:rPr>
                <w:rFonts w:ascii="Verdana" w:hAnsi="Verdana"/>
                <w:b/>
                <w:bCs/>
              </w:rPr>
              <w:t>1-800-388-2316</w:t>
            </w:r>
            <w:r w:rsidRPr="00665287">
              <w:rPr>
                <w:rFonts w:ascii="Verdana" w:hAnsi="Verdana"/>
              </w:rPr>
              <w:t>.</w:t>
            </w:r>
          </w:p>
        </w:tc>
      </w:tr>
      <w:tr w:rsidR="00AB7933" w:rsidRPr="00F55D9A" w14:paraId="5B0C806E" w14:textId="77777777" w:rsidTr="00663543">
        <w:trPr>
          <w:trHeight w:val="660"/>
        </w:trPr>
        <w:tc>
          <w:tcPr>
            <w:tcW w:w="1074" w:type="pct"/>
          </w:tcPr>
          <w:p w14:paraId="0F932683" w14:textId="77777777" w:rsidR="00AB7933" w:rsidRPr="00665287" w:rsidRDefault="00AB7933" w:rsidP="00363749">
            <w:pPr>
              <w:autoSpaceDE w:val="0"/>
              <w:autoSpaceDN w:val="0"/>
              <w:adjustRightInd w:val="0"/>
              <w:spacing w:before="120" w:after="120"/>
              <w:rPr>
                <w:rFonts w:ascii="Verdana" w:hAnsi="Verdana"/>
              </w:rPr>
            </w:pPr>
            <w:bookmarkStart w:id="24" w:name="MorphineEquivalentDoseexceedslimits"/>
            <w:r w:rsidRPr="00665287">
              <w:rPr>
                <w:rFonts w:ascii="Verdana" w:hAnsi="Verdana"/>
              </w:rPr>
              <w:t>Morphine Equivalent Dose Exceeds Limits</w:t>
            </w:r>
            <w:bookmarkEnd w:id="24"/>
          </w:p>
        </w:tc>
        <w:tc>
          <w:tcPr>
            <w:tcW w:w="3926" w:type="pct"/>
            <w:gridSpan w:val="2"/>
          </w:tcPr>
          <w:p w14:paraId="7C0B5D70" w14:textId="20AD31A1" w:rsidR="00AB7933" w:rsidRPr="00665287" w:rsidRDefault="00AB7933" w:rsidP="00363749">
            <w:pPr>
              <w:autoSpaceDE w:val="0"/>
              <w:autoSpaceDN w:val="0"/>
              <w:adjustRightInd w:val="0"/>
              <w:spacing w:before="120" w:after="120"/>
              <w:rPr>
                <w:rFonts w:ascii="Verdana" w:hAnsi="Verdana"/>
              </w:rPr>
            </w:pPr>
            <w:r w:rsidRPr="00665287">
              <w:rPr>
                <w:rFonts w:ascii="Verdana" w:hAnsi="Verdana"/>
              </w:rPr>
              <w:t xml:space="preserve">Exceeds MEE dose limit. If no G4 reject generated, submit with valid diagnosis code, patient residence code or PPS codes. Otherwise contact prescriber. Refer to </w:t>
            </w:r>
            <w:hyperlink r:id="rId24" w:anchor="!/view?docid=b420b395-19e0-454b-b41e-d26b42b3ddf6" w:history="1">
              <w:r w:rsidRPr="00665287">
                <w:rPr>
                  <w:rStyle w:val="Hyperlink"/>
                  <w:rFonts w:ascii="Verdana" w:eastAsiaTheme="majorEastAsia" w:hAnsi="Verdana"/>
                </w:rPr>
                <w:t>Enhanced Opioid Utilization (018692)</w:t>
              </w:r>
            </w:hyperlink>
            <w:r w:rsidRPr="00665287">
              <w:rPr>
                <w:rFonts w:ascii="Verdana" w:hAnsi="Verdana"/>
              </w:rPr>
              <w:t>.</w:t>
            </w:r>
          </w:p>
        </w:tc>
      </w:tr>
      <w:tr w:rsidR="00AB7933" w:rsidRPr="00F55D9A" w14:paraId="3A6A0997" w14:textId="77777777" w:rsidTr="00663543">
        <w:trPr>
          <w:trHeight w:val="1065"/>
        </w:trPr>
        <w:tc>
          <w:tcPr>
            <w:tcW w:w="1074" w:type="pct"/>
          </w:tcPr>
          <w:p w14:paraId="09A7E7C9" w14:textId="77777777" w:rsidR="00AB7933" w:rsidRPr="00665287" w:rsidRDefault="00AB7933" w:rsidP="00363749">
            <w:pPr>
              <w:autoSpaceDE w:val="0"/>
              <w:autoSpaceDN w:val="0"/>
              <w:adjustRightInd w:val="0"/>
              <w:spacing w:before="120" w:after="120"/>
              <w:rPr>
                <w:rFonts w:ascii="Verdana" w:hAnsi="Verdana"/>
              </w:rPr>
            </w:pPr>
            <w:bookmarkStart w:id="25" w:name="PhysicianMustContactPlan"/>
            <w:r w:rsidRPr="00665287">
              <w:rPr>
                <w:rFonts w:ascii="Verdana" w:hAnsi="Verdana"/>
              </w:rPr>
              <w:t>Physician Must Contact Plan</w:t>
            </w:r>
            <w:bookmarkEnd w:id="25"/>
          </w:p>
        </w:tc>
        <w:tc>
          <w:tcPr>
            <w:tcW w:w="3926" w:type="pct"/>
            <w:gridSpan w:val="2"/>
          </w:tcPr>
          <w:p w14:paraId="0973CC1C" w14:textId="0FF9A3F3" w:rsidR="00AB7933" w:rsidRPr="00665287" w:rsidRDefault="00AB7933" w:rsidP="00363749">
            <w:pPr>
              <w:autoSpaceDE w:val="0"/>
              <w:autoSpaceDN w:val="0"/>
              <w:adjustRightInd w:val="0"/>
              <w:spacing w:before="120" w:after="120"/>
              <w:rPr>
                <w:rFonts w:ascii="Verdana" w:hAnsi="Verdana"/>
              </w:rPr>
            </w:pPr>
            <w:r w:rsidRPr="00665287">
              <w:rPr>
                <w:rFonts w:ascii="Verdana" w:hAnsi="Verdana"/>
              </w:rPr>
              <w:t xml:space="preserve">Exceeds MEE dose limit. Prescriber must call </w:t>
            </w:r>
            <w:hyperlink r:id="rId25" w:anchor="!/view?docid=f22eb77e-4033-4ad9-9afb-fc262f29faad">
              <w:r w:rsidRPr="00665287">
                <w:rPr>
                  <w:rStyle w:val="Hyperlink"/>
                  <w:rFonts w:ascii="Verdana" w:eastAsiaTheme="majorEastAsia" w:hAnsi="Verdana"/>
                </w:rPr>
                <w:t>Coverage Determination/Prior Authorization number (004378)</w:t>
              </w:r>
            </w:hyperlink>
            <w:r w:rsidRPr="00665287">
              <w:rPr>
                <w:rFonts w:ascii="Verdana" w:hAnsi="Verdana"/>
              </w:rPr>
              <w:t xml:space="preserve">. Review the </w:t>
            </w:r>
            <w:hyperlink w:history="1">
              <w:hyperlink r:id="rId26" w:anchor="!/view?docid=b420b395-19e0-454b-b41e-d26b42b3ddf6" w:history="1">
                <w:r w:rsidRPr="00665287">
                  <w:rPr>
                    <w:rStyle w:val="Hyperlink"/>
                    <w:rFonts w:ascii="Verdana" w:eastAsiaTheme="majorEastAsia" w:hAnsi="Verdana"/>
                  </w:rPr>
                  <w:t>Enhanced Opioid Utilization (018692)</w:t>
                </w:r>
              </w:hyperlink>
            </w:hyperlink>
            <w:r w:rsidRPr="00665287">
              <w:rPr>
                <w:rFonts w:ascii="Verdana" w:hAnsi="Verdana"/>
              </w:rPr>
              <w:t>.</w:t>
            </w:r>
          </w:p>
        </w:tc>
      </w:tr>
      <w:tr w:rsidR="00AB7933" w:rsidRPr="00F55D9A" w14:paraId="42805D20" w14:textId="77777777" w:rsidTr="00663543">
        <w:trPr>
          <w:trHeight w:val="1065"/>
        </w:trPr>
        <w:tc>
          <w:tcPr>
            <w:tcW w:w="1074" w:type="pct"/>
          </w:tcPr>
          <w:p w14:paraId="10FEC145" w14:textId="77777777" w:rsidR="00AB7933" w:rsidRPr="00665287" w:rsidRDefault="00AB7933" w:rsidP="00363749">
            <w:pPr>
              <w:autoSpaceDE w:val="0"/>
              <w:autoSpaceDN w:val="0"/>
              <w:adjustRightInd w:val="0"/>
              <w:spacing w:before="120" w:after="120"/>
              <w:rPr>
                <w:rFonts w:ascii="Verdana" w:hAnsi="Verdana"/>
              </w:rPr>
            </w:pPr>
            <w:bookmarkStart w:id="26" w:name="DeterminetheCoverage"/>
            <w:bookmarkStart w:id="27" w:name="PlanLimitationExceeded"/>
            <w:r w:rsidRPr="00665287">
              <w:rPr>
                <w:rFonts w:ascii="Verdana" w:hAnsi="Verdana"/>
              </w:rPr>
              <w:t>Plan Limitation Exceeded</w:t>
            </w:r>
            <w:bookmarkEnd w:id="26"/>
          </w:p>
          <w:bookmarkEnd w:id="27"/>
          <w:p w14:paraId="18493E9F" w14:textId="77777777" w:rsidR="00AB7933" w:rsidRPr="00665287" w:rsidRDefault="00AB7933" w:rsidP="00363749">
            <w:pPr>
              <w:autoSpaceDE w:val="0"/>
              <w:autoSpaceDN w:val="0"/>
              <w:adjustRightInd w:val="0"/>
              <w:spacing w:before="120" w:after="120"/>
              <w:rPr>
                <w:rFonts w:ascii="Verdana" w:hAnsi="Verdana"/>
              </w:rPr>
            </w:pPr>
          </w:p>
        </w:tc>
        <w:tc>
          <w:tcPr>
            <w:tcW w:w="3926" w:type="pct"/>
            <w:gridSpan w:val="2"/>
          </w:tcPr>
          <w:p w14:paraId="4CF42956" w14:textId="77777777" w:rsidR="00AB7933" w:rsidRPr="00665287" w:rsidRDefault="00AB7933" w:rsidP="00363749">
            <w:pPr>
              <w:autoSpaceDE w:val="0"/>
              <w:autoSpaceDN w:val="0"/>
              <w:adjustRightInd w:val="0"/>
              <w:spacing w:before="120" w:after="120"/>
              <w:rPr>
                <w:rFonts w:ascii="Verdana" w:hAnsi="Verdana"/>
                <w:color w:val="000000"/>
              </w:rPr>
            </w:pPr>
            <w:r w:rsidRPr="00665287">
              <w:rPr>
                <w:rFonts w:ascii="Verdana" w:hAnsi="Verdana"/>
                <w:color w:val="000000"/>
              </w:rPr>
              <w:t>A Plan Limit Exceeded reject occurs when a member’s plan only allows a specific number of Fills, Quantity or Time</w:t>
            </w:r>
          </w:p>
          <w:p w14:paraId="4DE29E56" w14:textId="763BB38B" w:rsidR="00AB7933" w:rsidRPr="00665287" w:rsidRDefault="00AB7933" w:rsidP="00363749">
            <w:pPr>
              <w:autoSpaceDE w:val="0"/>
              <w:autoSpaceDN w:val="0"/>
              <w:adjustRightInd w:val="0"/>
              <w:spacing w:before="120" w:after="120"/>
              <w:rPr>
                <w:rFonts w:ascii="Verdana" w:hAnsi="Verdana"/>
                <w:color w:val="000000"/>
              </w:rPr>
            </w:pPr>
            <w:r w:rsidRPr="00665287">
              <w:rPr>
                <w:rFonts w:ascii="Verdana" w:hAnsi="Verdana"/>
                <w:b/>
                <w:bCs/>
                <w:color w:val="000000"/>
              </w:rPr>
              <w:t xml:space="preserve">Note: </w:t>
            </w:r>
            <w:r w:rsidRPr="00665287">
              <w:rPr>
                <w:rFonts w:ascii="Verdana" w:hAnsi="Verdana"/>
              </w:rPr>
              <w:t>For claims that reject for minimum/maximum days’ supply, run claims for both mail and point of sale to identify cost savings opportunities and to maximize plan benefit.</w:t>
            </w:r>
          </w:p>
          <w:p w14:paraId="1B59A1D5" w14:textId="77777777" w:rsidR="00AB7933" w:rsidRPr="00665287" w:rsidRDefault="00AB7933" w:rsidP="00363749">
            <w:pPr>
              <w:spacing w:before="120" w:after="120"/>
              <w:rPr>
                <w:rFonts w:ascii="Verdana" w:hAnsi="Verdana"/>
              </w:rPr>
            </w:pPr>
          </w:p>
          <w:p w14:paraId="5F470464" w14:textId="42AF33E8" w:rsidR="00AB7933" w:rsidRPr="00665287" w:rsidRDefault="00AB7933" w:rsidP="00363749">
            <w:pPr>
              <w:spacing w:before="120" w:after="120"/>
              <w:rPr>
                <w:rFonts w:ascii="Verdana" w:hAnsi="Verdana"/>
              </w:rPr>
            </w:pPr>
            <w:r w:rsidRPr="00665287">
              <w:rPr>
                <w:rFonts w:ascii="Verdana" w:hAnsi="Verdana"/>
              </w:rPr>
              <w:t xml:space="preserve"> If using compass refer to </w:t>
            </w:r>
            <w:hyperlink r:id="rId27" w:anchor="!/view?docid=104c3318-95ba-42e2-bd05-17877b0a8045" w:history="1">
              <w:r w:rsidR="00367A5C">
                <w:rPr>
                  <w:rStyle w:val="Hyperlink"/>
                  <w:rFonts w:ascii="Verdana" w:hAnsi="Verdana"/>
                </w:rPr>
                <w:t>Compass - Rejection Codes and Resolutions (Reject 01 – Reject ZN) (067649)</w:t>
              </w:r>
            </w:hyperlink>
            <w:r w:rsidRPr="00665287">
              <w:rPr>
                <w:rFonts w:ascii="Verdana" w:hAnsi="Verdana"/>
              </w:rPr>
              <w:t xml:space="preserve"> to resolve the rejection code. </w:t>
            </w:r>
          </w:p>
        </w:tc>
      </w:tr>
      <w:tr w:rsidR="00AB7933" w:rsidRPr="00F55D9A" w14:paraId="78BD013B" w14:textId="77777777" w:rsidTr="00663543">
        <w:trPr>
          <w:trHeight w:val="242"/>
        </w:trPr>
        <w:tc>
          <w:tcPr>
            <w:tcW w:w="1074" w:type="pct"/>
            <w:vMerge w:val="restart"/>
          </w:tcPr>
          <w:p w14:paraId="51816493" w14:textId="77777777" w:rsidR="00AB7933" w:rsidRPr="00665287" w:rsidRDefault="00AB7933" w:rsidP="00363749">
            <w:pPr>
              <w:spacing w:before="120" w:after="120"/>
              <w:rPr>
                <w:rFonts w:ascii="Verdana" w:hAnsi="Verdana"/>
              </w:rPr>
            </w:pPr>
            <w:bookmarkStart w:id="28" w:name="PriorAuthRequired"/>
            <w:r w:rsidRPr="00665287">
              <w:rPr>
                <w:rFonts w:ascii="Verdana" w:hAnsi="Verdana"/>
              </w:rPr>
              <w:t>Prior Authorization Required</w:t>
            </w:r>
            <w:bookmarkEnd w:id="28"/>
          </w:p>
        </w:tc>
        <w:tc>
          <w:tcPr>
            <w:tcW w:w="3926" w:type="pct"/>
            <w:gridSpan w:val="2"/>
          </w:tcPr>
          <w:p w14:paraId="447C89BD" w14:textId="77777777" w:rsidR="00AB7933" w:rsidRPr="00665287" w:rsidRDefault="00AB7933" w:rsidP="00363749">
            <w:pPr>
              <w:autoSpaceDE w:val="0"/>
              <w:autoSpaceDN w:val="0"/>
              <w:adjustRightInd w:val="0"/>
              <w:spacing w:before="120" w:after="120"/>
              <w:rPr>
                <w:rFonts w:ascii="Verdana" w:hAnsi="Verdana"/>
              </w:rPr>
            </w:pPr>
            <w:r w:rsidRPr="00665287">
              <w:rPr>
                <w:rFonts w:ascii="Verdana" w:hAnsi="Verdana"/>
              </w:rPr>
              <w:t>Refer to specific information.</w:t>
            </w:r>
          </w:p>
        </w:tc>
      </w:tr>
      <w:tr w:rsidR="00AB7933" w:rsidRPr="00F55D9A" w14:paraId="17B0A3B1" w14:textId="77777777" w:rsidTr="00663543">
        <w:trPr>
          <w:trHeight w:val="242"/>
        </w:trPr>
        <w:tc>
          <w:tcPr>
            <w:tcW w:w="1074" w:type="pct"/>
            <w:vMerge/>
          </w:tcPr>
          <w:p w14:paraId="05E53204" w14:textId="77777777" w:rsidR="00AB7933" w:rsidRPr="002D5A7A" w:rsidRDefault="00AB7933" w:rsidP="00363749">
            <w:pPr>
              <w:spacing w:before="120" w:after="120"/>
              <w:rPr>
                <w:rFonts w:ascii="Verdana" w:hAnsi="Verdana"/>
              </w:rPr>
            </w:pPr>
          </w:p>
        </w:tc>
        <w:tc>
          <w:tcPr>
            <w:tcW w:w="1824" w:type="pct"/>
            <w:shd w:val="clear" w:color="auto" w:fill="D9D9D9" w:themeFill="background1" w:themeFillShade="D9"/>
          </w:tcPr>
          <w:p w14:paraId="44BC876A" w14:textId="29A9C77B" w:rsidR="00AB7933" w:rsidRPr="00800C58" w:rsidRDefault="00AB7933" w:rsidP="00363749">
            <w:pPr>
              <w:autoSpaceDE w:val="0"/>
              <w:autoSpaceDN w:val="0"/>
              <w:adjustRightInd w:val="0"/>
              <w:spacing w:before="120" w:after="120"/>
              <w:jc w:val="center"/>
              <w:rPr>
                <w:rFonts w:ascii="Verdana" w:hAnsi="Verdana"/>
                <w:b/>
              </w:rPr>
            </w:pPr>
            <w:r>
              <w:rPr>
                <w:rFonts w:ascii="Verdana" w:hAnsi="Verdana"/>
                <w:b/>
              </w:rPr>
              <w:t xml:space="preserve">Prior </w:t>
            </w:r>
            <w:r w:rsidR="00363749">
              <w:rPr>
                <w:rFonts w:ascii="Verdana" w:hAnsi="Verdana"/>
                <w:b/>
              </w:rPr>
              <w:t>Authorization (#</w:t>
            </w:r>
            <w:r>
              <w:rPr>
                <w:rFonts w:ascii="Verdana" w:hAnsi="Verdana"/>
                <w:b/>
              </w:rPr>
              <w:t>) Applied</w:t>
            </w:r>
          </w:p>
        </w:tc>
        <w:tc>
          <w:tcPr>
            <w:tcW w:w="2102" w:type="pct"/>
            <w:shd w:val="clear" w:color="auto" w:fill="D9D9D9" w:themeFill="background1" w:themeFillShade="D9"/>
          </w:tcPr>
          <w:p w14:paraId="0FA3BDAF" w14:textId="77777777" w:rsidR="00AB7933" w:rsidRPr="00800C58" w:rsidRDefault="00AB7933" w:rsidP="00363749">
            <w:pPr>
              <w:autoSpaceDE w:val="0"/>
              <w:autoSpaceDN w:val="0"/>
              <w:adjustRightInd w:val="0"/>
              <w:spacing w:before="120" w:after="120"/>
              <w:jc w:val="center"/>
              <w:rPr>
                <w:rFonts w:ascii="Verdana" w:hAnsi="Verdana"/>
                <w:b/>
              </w:rPr>
            </w:pPr>
            <w:r>
              <w:rPr>
                <w:rFonts w:ascii="Verdana" w:hAnsi="Verdana"/>
                <w:b/>
              </w:rPr>
              <w:t>Defined</w:t>
            </w:r>
          </w:p>
        </w:tc>
      </w:tr>
      <w:tr w:rsidR="00AB7933" w:rsidRPr="00F55D9A" w14:paraId="3A5A0757" w14:textId="77777777" w:rsidTr="00663543">
        <w:trPr>
          <w:trHeight w:val="119"/>
        </w:trPr>
        <w:tc>
          <w:tcPr>
            <w:tcW w:w="1074" w:type="pct"/>
            <w:vMerge/>
          </w:tcPr>
          <w:p w14:paraId="6E846ADB" w14:textId="77777777" w:rsidR="00AB7933" w:rsidRPr="002D5A7A" w:rsidRDefault="00AB7933" w:rsidP="00363749">
            <w:pPr>
              <w:spacing w:before="120" w:after="120"/>
              <w:rPr>
                <w:rFonts w:ascii="Verdana" w:hAnsi="Verdana"/>
              </w:rPr>
            </w:pPr>
          </w:p>
        </w:tc>
        <w:tc>
          <w:tcPr>
            <w:tcW w:w="1824" w:type="pct"/>
          </w:tcPr>
          <w:p w14:paraId="69043E2E" w14:textId="77777777" w:rsidR="00AB7933" w:rsidRPr="00665287" w:rsidRDefault="00AB7933" w:rsidP="00363749">
            <w:pPr>
              <w:autoSpaceDE w:val="0"/>
              <w:autoSpaceDN w:val="0"/>
              <w:adjustRightInd w:val="0"/>
              <w:spacing w:before="120" w:after="120"/>
              <w:rPr>
                <w:rFonts w:ascii="Verdana" w:hAnsi="Verdana"/>
              </w:rPr>
            </w:pPr>
            <w:r w:rsidRPr="00665287">
              <w:rPr>
                <w:rFonts w:ascii="Verdana" w:hAnsi="Verdana"/>
              </w:rPr>
              <w:t>Prior Authorization Required</w:t>
            </w:r>
          </w:p>
        </w:tc>
        <w:tc>
          <w:tcPr>
            <w:tcW w:w="2102" w:type="pct"/>
          </w:tcPr>
          <w:p w14:paraId="62D256D5" w14:textId="77777777" w:rsidR="00AB7933" w:rsidRPr="00665287" w:rsidRDefault="00AB7933" w:rsidP="00363749">
            <w:pPr>
              <w:autoSpaceDE w:val="0"/>
              <w:autoSpaceDN w:val="0"/>
              <w:adjustRightInd w:val="0"/>
              <w:spacing w:before="120" w:after="120"/>
              <w:rPr>
                <w:rFonts w:ascii="Verdana" w:hAnsi="Verdana"/>
              </w:rPr>
            </w:pPr>
            <w:r w:rsidRPr="00665287">
              <w:rPr>
                <w:rFonts w:ascii="Verdana" w:hAnsi="Verdana"/>
              </w:rPr>
              <w:t>Prior Authorization (PA) is active on the system.</w:t>
            </w:r>
          </w:p>
        </w:tc>
      </w:tr>
      <w:tr w:rsidR="00AB7933" w:rsidRPr="00F55D9A" w14:paraId="7D112AE4" w14:textId="77777777" w:rsidTr="00663543">
        <w:trPr>
          <w:trHeight w:val="119"/>
        </w:trPr>
        <w:tc>
          <w:tcPr>
            <w:tcW w:w="1074" w:type="pct"/>
            <w:vMerge/>
          </w:tcPr>
          <w:p w14:paraId="2AD865E7" w14:textId="77777777" w:rsidR="00AB7933" w:rsidRPr="002D5A7A" w:rsidRDefault="00AB7933" w:rsidP="00363749">
            <w:pPr>
              <w:spacing w:before="120" w:after="120"/>
              <w:rPr>
                <w:rFonts w:ascii="Verdana" w:hAnsi="Verdana"/>
              </w:rPr>
            </w:pPr>
          </w:p>
        </w:tc>
        <w:tc>
          <w:tcPr>
            <w:tcW w:w="1824" w:type="pct"/>
          </w:tcPr>
          <w:p w14:paraId="4ACA2BD4" w14:textId="77777777" w:rsidR="00AB7933" w:rsidRPr="00665287" w:rsidRDefault="00AB7933" w:rsidP="00363749">
            <w:pPr>
              <w:spacing w:before="120" w:after="120"/>
              <w:rPr>
                <w:rFonts w:ascii="Verdana" w:hAnsi="Verdana"/>
                <w:color w:val="000000"/>
              </w:rPr>
            </w:pPr>
            <w:r w:rsidRPr="00665287">
              <w:rPr>
                <w:rFonts w:ascii="Verdana" w:hAnsi="Verdana"/>
                <w:color w:val="000000"/>
              </w:rPr>
              <w:t xml:space="preserve">Prior Authorizations are primarily for long-term approval of a medication to allow the drug to be covered or for exceeding the quantity limitations or standard amount allowed by the plan. </w:t>
            </w:r>
          </w:p>
          <w:p w14:paraId="490046D9" w14:textId="1F10EDB1" w:rsidR="00AB7933" w:rsidRPr="00665287" w:rsidRDefault="00AB7933" w:rsidP="00363749">
            <w:pPr>
              <w:pStyle w:val="ListParagraph"/>
              <w:numPr>
                <w:ilvl w:val="0"/>
                <w:numId w:val="10"/>
              </w:numPr>
              <w:spacing w:before="120" w:after="120"/>
              <w:rPr>
                <w:rFonts w:ascii="Verdana" w:hAnsi="Verdana" w:cs="Helvetica"/>
                <w:color w:val="000000"/>
                <w:shd w:val="clear" w:color="auto" w:fill="FFFFFF"/>
              </w:rPr>
            </w:pPr>
            <w:r w:rsidRPr="00665287">
              <w:rPr>
                <w:rFonts w:ascii="Verdana" w:hAnsi="Verdana"/>
                <w:color w:val="000000"/>
              </w:rPr>
              <w:t xml:space="preserve">Refer to </w:t>
            </w:r>
            <w:bookmarkStart w:id="29" w:name="OLE_LINK3"/>
            <w:r w:rsidRPr="00665287">
              <w:rPr>
                <w:rFonts w:ascii="Verdana" w:hAnsi="Verdana" w:cs="Helvetica"/>
                <w:color w:val="000000"/>
                <w:shd w:val="clear" w:color="auto" w:fill="FFFFFF"/>
              </w:rPr>
              <w:fldChar w:fldCharType="begin"/>
            </w:r>
            <w:r w:rsidRPr="00665287">
              <w:rPr>
                <w:rFonts w:ascii="Verdana" w:hAnsi="Verdana" w:cs="Helvetica"/>
                <w:color w:val="000000"/>
                <w:shd w:val="clear" w:color="auto" w:fill="FFFFFF"/>
              </w:rPr>
              <w:instrText>HYPERLINK "https://thesource.cvshealth.com/nuxeo/thesource/" \l "!/view?docid=44418b02-7e70-41cc-bb2e-bb38164a951f"</w:instrText>
            </w:r>
            <w:r w:rsidRPr="00665287">
              <w:rPr>
                <w:rFonts w:ascii="Verdana" w:hAnsi="Verdana" w:cs="Helvetica"/>
                <w:color w:val="000000"/>
                <w:shd w:val="clear" w:color="auto" w:fill="FFFFFF"/>
              </w:rPr>
            </w:r>
            <w:r w:rsidRPr="00665287">
              <w:rPr>
                <w:rFonts w:ascii="Verdana" w:hAnsi="Verdana" w:cs="Helvetica"/>
                <w:color w:val="000000"/>
                <w:shd w:val="clear" w:color="auto" w:fill="FFFFFF"/>
              </w:rPr>
              <w:fldChar w:fldCharType="separate"/>
            </w:r>
            <w:r w:rsidRPr="00665287">
              <w:rPr>
                <w:rStyle w:val="Hyperlink"/>
                <w:rFonts w:ascii="Verdana" w:hAnsi="Verdana" w:cs="Helvetica"/>
                <w:shd w:val="clear" w:color="auto" w:fill="FFFFFF"/>
              </w:rPr>
              <w:t>Compass – Plan Benefit Override (PBO) Guide (061708)</w:t>
            </w:r>
            <w:r w:rsidRPr="00665287">
              <w:rPr>
                <w:rFonts w:ascii="Verdana" w:hAnsi="Verdana" w:cs="Helvetica"/>
                <w:color w:val="000000"/>
                <w:shd w:val="clear" w:color="auto" w:fill="FFFFFF"/>
              </w:rPr>
              <w:fldChar w:fldCharType="end"/>
            </w:r>
            <w:bookmarkEnd w:id="29"/>
            <w:r w:rsidRPr="00665287">
              <w:rPr>
                <w:rFonts w:ascii="Verdana" w:hAnsi="Verdana" w:cs="Helvetica"/>
                <w:color w:val="000000"/>
                <w:shd w:val="clear" w:color="auto" w:fill="FFFFFF"/>
              </w:rPr>
              <w:t xml:space="preserve"> for </w:t>
            </w:r>
            <w:r w:rsidRPr="00665287">
              <w:rPr>
                <w:rFonts w:ascii="Verdana" w:hAnsi="Verdana"/>
                <w:color w:val="000000"/>
              </w:rPr>
              <w:t xml:space="preserve">vacation supplies, lost/stolen/broken medication, generally follow CIF override guidelines.  </w:t>
            </w:r>
          </w:p>
          <w:p w14:paraId="2AAABCB7" w14:textId="77777777" w:rsidR="00AB7933" w:rsidRPr="00665287" w:rsidRDefault="00AB7933" w:rsidP="00363749">
            <w:pPr>
              <w:pStyle w:val="ListParagraph"/>
              <w:numPr>
                <w:ilvl w:val="0"/>
                <w:numId w:val="10"/>
              </w:numPr>
              <w:spacing w:before="120" w:after="120"/>
              <w:contextualSpacing w:val="0"/>
              <w:rPr>
                <w:rFonts w:ascii="Verdana" w:hAnsi="Verdana"/>
              </w:rPr>
            </w:pPr>
            <w:r w:rsidRPr="00665287">
              <w:rPr>
                <w:rFonts w:ascii="Verdana" w:hAnsi="Verdana"/>
                <w:color w:val="000000"/>
              </w:rPr>
              <w:t>Refer to</w:t>
            </w:r>
            <w:r w:rsidRPr="00665287">
              <w:rPr>
                <w:rFonts w:ascii="Verdana" w:hAnsi="Verdana"/>
              </w:rPr>
              <w:t xml:space="preserve"> </w:t>
            </w:r>
            <w:hyperlink r:id="rId28" w:anchor="!/view?docid=f075340f-87ec-41b3-bdeb-16422d0fed0e" w:history="1">
              <w:r w:rsidRPr="00665287">
                <w:rPr>
                  <w:rFonts w:ascii="Verdana" w:hAnsi="Verdana"/>
                  <w:color w:val="0000FF"/>
                  <w:u w:val="single"/>
                </w:rPr>
                <w:t>PeopleSafe - Plan Benefit Overrides (PBO) CCR (024671)</w:t>
              </w:r>
            </w:hyperlink>
            <w:r w:rsidRPr="00665287">
              <w:rPr>
                <w:rFonts w:ascii="Verdana" w:hAnsi="Verdana"/>
              </w:rPr>
              <w:t>.</w:t>
            </w:r>
          </w:p>
          <w:p w14:paraId="73166FB3" w14:textId="77777777" w:rsidR="00AB7933" w:rsidRPr="00665287" w:rsidRDefault="00AB7933" w:rsidP="00363749">
            <w:pPr>
              <w:spacing w:before="120" w:after="120"/>
              <w:rPr>
                <w:rFonts w:ascii="Verdana" w:hAnsi="Verdana"/>
                <w:color w:val="000000"/>
              </w:rPr>
            </w:pPr>
            <w:r w:rsidRPr="00665287">
              <w:rPr>
                <w:rFonts w:ascii="Verdana" w:hAnsi="Verdana"/>
                <w:b/>
                <w:color w:val="000000"/>
              </w:rPr>
              <w:t xml:space="preserve"> </w:t>
            </w:r>
          </w:p>
          <w:p w14:paraId="1EAEDFC6" w14:textId="06572F84" w:rsidR="00AB7933" w:rsidRPr="008E545F" w:rsidRDefault="00AB7933" w:rsidP="00363749">
            <w:pPr>
              <w:spacing w:before="120" w:after="120"/>
              <w:rPr>
                <w:rFonts w:ascii="Verdana" w:hAnsi="Verdana"/>
                <w:color w:val="000000"/>
              </w:rPr>
            </w:pPr>
            <w:r w:rsidRPr="00665287">
              <w:rPr>
                <w:rFonts w:ascii="Verdana" w:hAnsi="Verdana"/>
                <w:color w:val="000000"/>
              </w:rPr>
              <w:t>Quantity vs. Time (QVT) requires checking the plan design and comparing it with the CIF override guidelines.</w:t>
            </w:r>
          </w:p>
        </w:tc>
        <w:tc>
          <w:tcPr>
            <w:tcW w:w="2102" w:type="pct"/>
          </w:tcPr>
          <w:p w14:paraId="35CB6986" w14:textId="77777777" w:rsidR="00AB7933" w:rsidRPr="00665287" w:rsidRDefault="00AB7933" w:rsidP="00363749">
            <w:pPr>
              <w:spacing w:before="120" w:after="120"/>
              <w:rPr>
                <w:rFonts w:ascii="Verdana" w:hAnsi="Verdana"/>
              </w:rPr>
            </w:pPr>
            <w:r w:rsidRPr="00665287">
              <w:rPr>
                <w:rFonts w:ascii="Verdana" w:hAnsi="Verdana"/>
              </w:rPr>
              <w:t>Prior Authorization (PA) is not active in system.</w:t>
            </w:r>
          </w:p>
          <w:p w14:paraId="579C152B" w14:textId="77777777" w:rsidR="00AB7933" w:rsidRPr="00665287" w:rsidRDefault="00AB7933" w:rsidP="00363749">
            <w:pPr>
              <w:spacing w:before="120" w:after="120"/>
              <w:rPr>
                <w:rFonts w:ascii="Verdana" w:hAnsi="Verdana"/>
                <w:color w:val="000000"/>
              </w:rPr>
            </w:pPr>
            <w:r w:rsidRPr="00665287">
              <w:rPr>
                <w:rFonts w:ascii="Verdana" w:hAnsi="Verdana"/>
              </w:rPr>
              <w:t>Depending on the system co-pay or co-insurance amounts display for medication requiring Prior Authorization</w:t>
            </w:r>
            <w:r w:rsidRPr="00665287">
              <w:rPr>
                <w:rFonts w:ascii="Verdana" w:hAnsi="Verdana"/>
                <w:color w:val="000000"/>
              </w:rPr>
              <w:t>.</w:t>
            </w:r>
          </w:p>
          <w:p w14:paraId="19E4E425" w14:textId="2F1DA9B0" w:rsidR="00AB7933" w:rsidRPr="00665287" w:rsidRDefault="00AB7933" w:rsidP="00363749">
            <w:pPr>
              <w:spacing w:before="120" w:after="120"/>
              <w:rPr>
                <w:rFonts w:ascii="Verdana" w:hAnsi="Verdana"/>
              </w:rPr>
            </w:pPr>
            <w:bookmarkStart w:id="30" w:name="OLE_LINK1"/>
            <w:r w:rsidRPr="00665287">
              <w:rPr>
                <w:rFonts w:ascii="Verdana" w:hAnsi="Verdana"/>
                <w:color w:val="000000"/>
              </w:rPr>
              <w:t xml:space="preserve">For help answering member questions or objections refer to </w:t>
            </w:r>
            <w:bookmarkEnd w:id="30"/>
            <w:r w:rsidRPr="00665287">
              <w:rPr>
                <w:rFonts w:ascii="Verdana" w:hAnsi="Verdana" w:cs="Helvetica"/>
                <w:color w:val="000000"/>
                <w:shd w:val="clear" w:color="auto" w:fill="FFFFFF"/>
              </w:rPr>
              <w:t xml:space="preserve"> </w:t>
            </w:r>
            <w:hyperlink r:id="rId29" w:anchor="!/view?docid=657ddfe3-27d1-4a21-8f51-8cbd3961001c" w:history="1">
              <w:r w:rsidRPr="00665287">
                <w:rPr>
                  <w:rStyle w:val="Hyperlink"/>
                  <w:rFonts w:ascii="Verdana" w:eastAsiaTheme="majorEastAsia" w:hAnsi="Verdana" w:cs="Helvetica"/>
                </w:rPr>
                <w:t>Compass and PeopleSafe - Prior Authorization, Exceptions, Appeals Guide (063978)</w:t>
              </w:r>
            </w:hyperlink>
            <w:r w:rsidRPr="00665287">
              <w:rPr>
                <w:rFonts w:ascii="Verdana" w:hAnsi="Verdana" w:cs="Helvetica"/>
                <w:color w:val="000000"/>
                <w:shd w:val="clear" w:color="auto" w:fill="FFFFFF"/>
              </w:rPr>
              <w:t xml:space="preserve"> if needed refer to </w:t>
            </w:r>
            <w:hyperlink r:id="rId30" w:anchor="!/view?docid=95fb1de7-7c74-474a-bba3-7e9897093a90" w:tgtFrame="_blank" w:history="1">
              <w:r w:rsidRPr="00665287">
                <w:rPr>
                  <w:rFonts w:ascii="Verdana" w:hAnsi="Verdana"/>
                  <w:color w:val="0000FF"/>
                  <w:u w:val="single"/>
                </w:rPr>
                <w:t>PeopleSafe - Expiring Prior Authorization (PA) Opportunity in PeopleSafe (017373)</w:t>
              </w:r>
            </w:hyperlink>
            <w:r w:rsidRPr="00665287">
              <w:rPr>
                <w:rFonts w:ascii="Verdana" w:hAnsi="Verdana"/>
              </w:rPr>
              <w:t xml:space="preserve">, </w:t>
            </w:r>
            <w:hyperlink r:id="rId31" w:anchor="!/view?docid=e1f9ddb2-60d2-4249-96b5-6d0b2b1849bf" w:tgtFrame="_blank" w:history="1">
              <w:r w:rsidRPr="00665287">
                <w:rPr>
                  <w:rStyle w:val="Hyperlink"/>
                  <w:rFonts w:ascii="Verdana" w:eastAsiaTheme="majorEastAsia" w:hAnsi="Verdana" w:cs="Helvetica"/>
                  <w:shd w:val="clear" w:color="auto" w:fill="FFFFFF"/>
                </w:rPr>
                <w:t>Prior Authorization Questions and Answers (074022)</w:t>
              </w:r>
            </w:hyperlink>
            <w:r w:rsidRPr="00665287">
              <w:rPr>
                <w:rFonts w:ascii="Verdana" w:hAnsi="Verdana" w:cs="Helvetica"/>
                <w:color w:val="000000"/>
                <w:shd w:val="clear" w:color="auto" w:fill="FFFFFF"/>
              </w:rPr>
              <w:t>,</w:t>
            </w:r>
            <w:r w:rsidRPr="00665287">
              <w:rPr>
                <w:rFonts w:ascii="Verdana" w:hAnsi="Verdana" w:cs="Helvetica"/>
                <w:b/>
                <w:bCs/>
                <w:color w:val="000000"/>
                <w:shd w:val="clear" w:color="auto" w:fill="FFFFFF"/>
              </w:rPr>
              <w:t xml:space="preserve">  </w:t>
            </w:r>
            <w:hyperlink r:id="rId32" w:anchor="!/view?docid=c0bef465-4a70-4ebe-aced-908aad7eec38" w:history="1">
              <w:r w:rsidRPr="00665287">
                <w:rPr>
                  <w:rStyle w:val="Hyperlink"/>
                  <w:rFonts w:ascii="Verdana" w:hAnsi="Verdana"/>
                </w:rPr>
                <w:t>When to Contact the Prior Authorization Team (063998)</w:t>
              </w:r>
            </w:hyperlink>
            <w:r w:rsidRPr="00665287">
              <w:rPr>
                <w:rFonts w:ascii="Verdana" w:hAnsi="Verdana"/>
              </w:rPr>
              <w:t>.</w:t>
            </w:r>
          </w:p>
        </w:tc>
      </w:tr>
      <w:tr w:rsidR="00AB7933" w:rsidRPr="00665287" w14:paraId="1A5B576A" w14:textId="77777777" w:rsidTr="00663543">
        <w:trPr>
          <w:trHeight w:val="255"/>
        </w:trPr>
        <w:tc>
          <w:tcPr>
            <w:tcW w:w="1074" w:type="pct"/>
          </w:tcPr>
          <w:p w14:paraId="16A769A9" w14:textId="77777777" w:rsidR="00AB7933" w:rsidRPr="00665287" w:rsidRDefault="00AB7933" w:rsidP="00363749">
            <w:pPr>
              <w:autoSpaceDE w:val="0"/>
              <w:autoSpaceDN w:val="0"/>
              <w:adjustRightInd w:val="0"/>
              <w:spacing w:before="120" w:after="120"/>
              <w:rPr>
                <w:rFonts w:ascii="Verdana" w:hAnsi="Verdana"/>
              </w:rPr>
            </w:pPr>
            <w:bookmarkStart w:id="31" w:name="RxRejExceeded"/>
            <w:r w:rsidRPr="00665287">
              <w:rPr>
                <w:rFonts w:ascii="Verdana" w:hAnsi="Verdana"/>
              </w:rPr>
              <w:t>Rx Rej – Exceeded</w:t>
            </w:r>
            <w:bookmarkEnd w:id="31"/>
          </w:p>
        </w:tc>
        <w:tc>
          <w:tcPr>
            <w:tcW w:w="3926" w:type="pct"/>
            <w:gridSpan w:val="2"/>
          </w:tcPr>
          <w:p w14:paraId="596532D1" w14:textId="59C67BC5" w:rsidR="00AB7933" w:rsidRPr="00665287" w:rsidRDefault="00AB7933" w:rsidP="00363749">
            <w:pPr>
              <w:spacing w:before="120" w:after="120"/>
              <w:rPr>
                <w:rFonts w:ascii="Verdana" w:hAnsi="Verdana"/>
              </w:rPr>
            </w:pPr>
            <w:r w:rsidRPr="00665287">
              <w:rPr>
                <w:rFonts w:ascii="Verdana" w:hAnsi="Verdana"/>
              </w:rPr>
              <w:t>Settlement codes display the maximum quantity limit.</w:t>
            </w:r>
          </w:p>
        </w:tc>
      </w:tr>
      <w:tr w:rsidR="00AB7933" w:rsidRPr="00665287" w14:paraId="6C3E8ECA" w14:textId="77777777" w:rsidTr="00663543">
        <w:trPr>
          <w:trHeight w:val="255"/>
        </w:trPr>
        <w:tc>
          <w:tcPr>
            <w:tcW w:w="1074" w:type="pct"/>
          </w:tcPr>
          <w:p w14:paraId="3D354F08" w14:textId="77777777" w:rsidR="00AB7933" w:rsidRPr="00665287" w:rsidRDefault="00AB7933" w:rsidP="00363749">
            <w:pPr>
              <w:tabs>
                <w:tab w:val="left" w:pos="3585"/>
              </w:tabs>
              <w:autoSpaceDE w:val="0"/>
              <w:autoSpaceDN w:val="0"/>
              <w:adjustRightInd w:val="0"/>
              <w:spacing w:before="120" w:after="120"/>
              <w:rPr>
                <w:rFonts w:ascii="Verdana" w:hAnsi="Verdana"/>
              </w:rPr>
            </w:pPr>
            <w:bookmarkStart w:id="32" w:name="TherapyProtocolNotMet"/>
            <w:r w:rsidRPr="00665287">
              <w:rPr>
                <w:rFonts w:ascii="Verdana" w:hAnsi="Verdana"/>
              </w:rPr>
              <w:t>Therapy Protocol Not Met</w:t>
            </w:r>
            <w:bookmarkEnd w:id="32"/>
          </w:p>
        </w:tc>
        <w:tc>
          <w:tcPr>
            <w:tcW w:w="3926" w:type="pct"/>
            <w:gridSpan w:val="2"/>
          </w:tcPr>
          <w:p w14:paraId="4125B15C" w14:textId="77777777" w:rsidR="00AB7933" w:rsidRPr="00665287" w:rsidRDefault="00AB7933" w:rsidP="00363749">
            <w:pPr>
              <w:spacing w:before="120" w:after="120"/>
              <w:rPr>
                <w:rFonts w:ascii="Verdana" w:hAnsi="Verdana"/>
                <w:color w:val="000000"/>
              </w:rPr>
            </w:pPr>
            <w:r w:rsidRPr="00665287">
              <w:rPr>
                <w:rFonts w:ascii="Verdana" w:hAnsi="Verdana"/>
                <w:color w:val="000000"/>
              </w:rPr>
              <w:t>Review all settlement codes to determine coverage. The drug may have special requirements, such as:</w:t>
            </w:r>
          </w:p>
          <w:p w14:paraId="5E11ECE3" w14:textId="20037FC2" w:rsidR="00AB7933" w:rsidRPr="00665287" w:rsidRDefault="00AB7933" w:rsidP="00363749">
            <w:pPr>
              <w:numPr>
                <w:ilvl w:val="0"/>
                <w:numId w:val="3"/>
              </w:numPr>
              <w:spacing w:before="120" w:after="120"/>
              <w:ind w:left="720"/>
              <w:rPr>
                <w:rFonts w:ascii="Verdana" w:hAnsi="Verdana"/>
                <w:color w:val="000000"/>
              </w:rPr>
            </w:pPr>
            <w:r w:rsidRPr="00665287">
              <w:rPr>
                <w:rFonts w:ascii="Verdana" w:hAnsi="Verdana"/>
                <w:color w:val="000000"/>
              </w:rPr>
              <w:t xml:space="preserve">Quantity limitations (refer to </w:t>
            </w:r>
            <w:hyperlink r:id="rId33" w:anchor="!/view?docid=81832d97-2dbd-48dc-b545-8a413e55450d" w:history="1">
              <w:r w:rsidRPr="00665287">
                <w:rPr>
                  <w:rStyle w:val="Hyperlink"/>
                  <w:rFonts w:ascii="Verdana" w:hAnsi="Verdana"/>
                </w:rPr>
                <w:t>PeopleSafe - Quantity Versus Time Limit (QVT) (021696)</w:t>
              </w:r>
            </w:hyperlink>
            <w:r w:rsidRPr="00665287">
              <w:rPr>
                <w:rFonts w:ascii="Verdana" w:hAnsi="Verdana"/>
                <w:color w:val="000000"/>
              </w:rPr>
              <w:t xml:space="preserve"> or </w:t>
            </w:r>
            <w:hyperlink r:id="rId34" w:anchor="!/view?docid=ebb38ac4-9984-4685-b0f5-8740059efc94" w:history="1">
              <w:r w:rsidRPr="00665287">
                <w:rPr>
                  <w:rStyle w:val="Hyperlink"/>
                  <w:rFonts w:ascii="Verdana" w:hAnsi="Verdana"/>
                </w:rPr>
                <w:t>Compass - Quantity vs. Time (QVT) Override (061704)</w:t>
              </w:r>
            </w:hyperlink>
            <w:r w:rsidRPr="00665287">
              <w:rPr>
                <w:rFonts w:ascii="Verdana" w:hAnsi="Verdana"/>
                <w:color w:val="000000"/>
              </w:rPr>
              <w:t>).</w:t>
            </w:r>
          </w:p>
          <w:p w14:paraId="70B9B1D4" w14:textId="77777777" w:rsidR="00AB7933" w:rsidRPr="00665287" w:rsidRDefault="00AB7933" w:rsidP="00363749">
            <w:pPr>
              <w:numPr>
                <w:ilvl w:val="0"/>
                <w:numId w:val="3"/>
              </w:numPr>
              <w:spacing w:before="120" w:after="120"/>
              <w:ind w:left="720"/>
              <w:rPr>
                <w:rFonts w:ascii="Verdana" w:hAnsi="Verdana"/>
                <w:color w:val="000000"/>
              </w:rPr>
            </w:pPr>
            <w:r w:rsidRPr="00665287">
              <w:rPr>
                <w:rFonts w:ascii="Verdana" w:hAnsi="Verdana"/>
                <w:color w:val="000000"/>
              </w:rPr>
              <w:t xml:space="preserve">Step Therapy (refer to </w:t>
            </w:r>
            <w:hyperlink r:id="rId35" w:anchor="!/view?docid=ad06cd65-d45c-478c-b05e-01c531a8b19a" w:history="1">
              <w:r w:rsidRPr="00665287">
                <w:rPr>
                  <w:rFonts w:ascii="Verdana" w:hAnsi="Verdana"/>
                  <w:color w:val="0000FF"/>
                  <w:u w:val="single"/>
                </w:rPr>
                <w:t>Generic Step Therapy Plans (GSTP) (025481)</w:t>
              </w:r>
            </w:hyperlink>
            <w:r w:rsidRPr="00665287">
              <w:rPr>
                <w:rFonts w:ascii="Verdana" w:hAnsi="Verdana"/>
                <w:color w:val="000000"/>
              </w:rPr>
              <w:t>.</w:t>
            </w:r>
          </w:p>
          <w:p w14:paraId="470A2BC9" w14:textId="4148FF82" w:rsidR="00AB7933" w:rsidRPr="008E545F" w:rsidRDefault="00AB7933" w:rsidP="00363749">
            <w:pPr>
              <w:numPr>
                <w:ilvl w:val="0"/>
                <w:numId w:val="3"/>
              </w:numPr>
              <w:spacing w:before="120" w:after="120"/>
              <w:ind w:left="720"/>
              <w:rPr>
                <w:rFonts w:ascii="Verdana" w:hAnsi="Verdana"/>
              </w:rPr>
            </w:pPr>
            <w:hyperlink r:id="rId36" w:anchor="!/view?docid=657ddfe3-27d1-4a21-8f51-8cbd3961001c" w:history="1">
              <w:r w:rsidRPr="00665287">
                <w:rPr>
                  <w:rStyle w:val="Hyperlink"/>
                  <w:rFonts w:ascii="Verdana" w:eastAsiaTheme="majorEastAsia" w:hAnsi="Verdana" w:cs="Helvetica"/>
                  <w:shd w:val="clear" w:color="auto" w:fill="FFFFFF"/>
                </w:rPr>
                <w:t>Compass - Prior Authorization, Exceptions, Appeals Guide (063978)</w:t>
              </w:r>
            </w:hyperlink>
            <w:r w:rsidRPr="00665287">
              <w:rPr>
                <w:rFonts w:ascii="Verdana" w:hAnsi="Verdana"/>
                <w:color w:val="000000"/>
              </w:rPr>
              <w:t xml:space="preserve"> required (review the CIF to determine how they are handled).</w:t>
            </w:r>
          </w:p>
        </w:tc>
      </w:tr>
    </w:tbl>
    <w:p w14:paraId="36F8D43E" w14:textId="77777777" w:rsidR="00AB7933" w:rsidRPr="00665287" w:rsidRDefault="00AB7933" w:rsidP="00363749">
      <w:pPr>
        <w:spacing w:before="120" w:after="120"/>
        <w:rPr>
          <w:rStyle w:val="Hyperlink"/>
          <w:rFonts w:ascii="Verdana" w:eastAsiaTheme="majorEastAsia" w:hAnsi="Verdana"/>
        </w:rPr>
      </w:pPr>
    </w:p>
    <w:bookmarkStart w:id="33" w:name="_Updating_a_PBO"/>
    <w:bookmarkEnd w:id="33"/>
    <w:p w14:paraId="02F327EB" w14:textId="77777777" w:rsidR="00AB7933" w:rsidRPr="004A7B62" w:rsidRDefault="00AB7933" w:rsidP="00363749">
      <w:pPr>
        <w:spacing w:before="120" w:after="120"/>
        <w:jc w:val="right"/>
        <w:rPr>
          <w:rFonts w:ascii="Verdana" w:hAnsi="Verdana"/>
        </w:rPr>
      </w:pPr>
      <w:r w:rsidRPr="004A7B62">
        <w:rPr>
          <w:rFonts w:ascii="Verdana" w:hAnsi="Verdana"/>
        </w:rPr>
        <w:fldChar w:fldCharType="begin"/>
      </w:r>
      <w:r w:rsidRPr="004A7B62">
        <w:rPr>
          <w:rFonts w:ascii="Verdana" w:hAnsi="Verdana"/>
        </w:rPr>
        <w:instrText xml:space="preserve"> HYPERLINK  \l "_top" </w:instrText>
      </w:r>
      <w:r w:rsidRPr="004A7B62">
        <w:rPr>
          <w:rFonts w:ascii="Verdana" w:hAnsi="Verdana"/>
        </w:rPr>
      </w:r>
      <w:r w:rsidRPr="004A7B62">
        <w:rPr>
          <w:rFonts w:ascii="Verdana" w:hAnsi="Verdana"/>
        </w:rPr>
        <w:fldChar w:fldCharType="separate"/>
      </w:r>
      <w:r w:rsidRPr="004A7B62">
        <w:rPr>
          <w:rStyle w:val="Hyperlink"/>
          <w:rFonts w:ascii="Verdana" w:eastAsiaTheme="majorEastAsia" w:hAnsi="Verdana"/>
        </w:rPr>
        <w:t>Top of the Document</w:t>
      </w:r>
      <w:r w:rsidRPr="004A7B62">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AB7933" w:rsidRPr="001A15C7" w14:paraId="04486B8E" w14:textId="77777777" w:rsidTr="008E545F">
        <w:tc>
          <w:tcPr>
            <w:tcW w:w="5000" w:type="pct"/>
            <w:shd w:val="clear" w:color="auto" w:fill="BFBFBF" w:themeFill="background1" w:themeFillShade="BF"/>
          </w:tcPr>
          <w:p w14:paraId="454F0A3C" w14:textId="77777777" w:rsidR="00AB7933" w:rsidRPr="001A15C7" w:rsidRDefault="00AB7933" w:rsidP="00363749">
            <w:pPr>
              <w:pStyle w:val="Heading2"/>
              <w:spacing w:before="120" w:after="120"/>
              <w:rPr>
                <w:rFonts w:ascii="Verdana" w:hAnsi="Verdana"/>
                <w:b w:val="0"/>
                <w:bCs w:val="0"/>
                <w:i/>
              </w:rPr>
            </w:pPr>
            <w:bookmarkStart w:id="34" w:name="_Toc525628632"/>
            <w:bookmarkStart w:id="35" w:name="_Toc208408334"/>
            <w:r w:rsidRPr="001A15C7">
              <w:rPr>
                <w:rFonts w:ascii="Verdana" w:hAnsi="Verdana"/>
              </w:rPr>
              <w:t>Related Document</w:t>
            </w:r>
            <w:bookmarkEnd w:id="34"/>
            <w:r w:rsidRPr="001A15C7">
              <w:rPr>
                <w:rFonts w:ascii="Verdana" w:hAnsi="Verdana"/>
              </w:rPr>
              <w:t>s</w:t>
            </w:r>
            <w:bookmarkEnd w:id="35"/>
          </w:p>
        </w:tc>
      </w:tr>
    </w:tbl>
    <w:p w14:paraId="2BC119CD" w14:textId="77777777" w:rsidR="008E545F" w:rsidRDefault="008E545F" w:rsidP="00363749">
      <w:pPr>
        <w:spacing w:before="120" w:after="120"/>
        <w:rPr>
          <w:rFonts w:ascii="Verdana" w:hAnsi="Verdana"/>
          <w:b/>
          <w:bCs/>
          <w:color w:val="000000"/>
        </w:rPr>
      </w:pPr>
    </w:p>
    <w:p w14:paraId="2A0793C2" w14:textId="7FBC3B7C" w:rsidR="008E545F" w:rsidRDefault="008E545F" w:rsidP="00363749">
      <w:pPr>
        <w:spacing w:before="120" w:after="120"/>
        <w:rPr>
          <w:rFonts w:ascii="Verdana" w:hAnsi="Verdana"/>
        </w:rPr>
      </w:pPr>
      <w:r w:rsidRPr="00665287">
        <w:rPr>
          <w:rFonts w:ascii="Verdana" w:hAnsi="Verdana"/>
          <w:b/>
        </w:rPr>
        <w:t>Parent Documents:</w:t>
      </w:r>
      <w:r w:rsidRPr="00665287">
        <w:rPr>
          <w:rFonts w:ascii="Verdana" w:hAnsi="Verdana"/>
        </w:rPr>
        <w:t xml:space="preserve"> </w:t>
      </w:r>
      <w:hyperlink r:id="rId37" w:tgtFrame="_blank" w:history="1">
        <w:r w:rsidRPr="00665287">
          <w:rPr>
            <w:rFonts w:ascii="Verdana" w:hAnsi="Verdana"/>
            <w:color w:val="0000FF"/>
            <w:u w:val="single"/>
          </w:rPr>
          <w:t>CALL-0049 Customer Care Internal and External Call Handling</w:t>
        </w:r>
      </w:hyperlink>
      <w:r w:rsidRPr="00665287">
        <w:rPr>
          <w:rFonts w:ascii="Verdana" w:hAnsi="Verdana"/>
        </w:rPr>
        <w:t xml:space="preserve">  </w:t>
      </w:r>
      <w:hyperlink r:id="rId38" w:history="1">
        <w:r w:rsidRPr="00665287">
          <w:rPr>
            <w:rFonts w:ascii="Verdana" w:hAnsi="Verdana"/>
            <w:color w:val="0000FF"/>
            <w:u w:val="single"/>
          </w:rPr>
          <w:t>CALL-0011 Authenticating Callers</w:t>
        </w:r>
      </w:hyperlink>
    </w:p>
    <w:p w14:paraId="4C63AC82" w14:textId="287EE363" w:rsidR="00E01F83" w:rsidRDefault="008E545F" w:rsidP="00363749">
      <w:pPr>
        <w:spacing w:before="120" w:after="120"/>
      </w:pPr>
      <w:hyperlink r:id="rId39" w:anchor="!/view?docid=c1f1028b-e42c-4b4f-a4cf-cc0b42c91606" w:tgtFrame="_blank" w:history="1">
        <w:r w:rsidRPr="008E545F">
          <w:rPr>
            <w:rFonts w:ascii="Verdana" w:hAnsi="Verdana"/>
            <w:color w:val="0000FF"/>
            <w:u w:val="single"/>
          </w:rPr>
          <w:t>Customer Care Abbreviations, Definitions, and Terms Index (017428)</w:t>
        </w:r>
      </w:hyperlink>
    </w:p>
    <w:p w14:paraId="2BE319B5" w14:textId="3F76D204" w:rsidR="00AB7933" w:rsidRPr="00665287" w:rsidRDefault="00AB7933" w:rsidP="00363749">
      <w:pPr>
        <w:spacing w:before="120" w:after="120"/>
        <w:rPr>
          <w:rStyle w:val="Hyperlink"/>
          <w:rFonts w:ascii="Verdana" w:eastAsia="Calibri" w:hAnsi="Verdana" w:cs="Verdana"/>
        </w:rPr>
      </w:pPr>
      <w:hyperlink r:id="rId40" w:anchor="!/view?docid=59c4e7fa-4a87-43c4-89cd-5d4f8c6c3421" w:history="1">
        <w:r w:rsidRPr="00665287">
          <w:rPr>
            <w:rStyle w:val="Hyperlink"/>
            <w:rFonts w:ascii="Verdana" w:eastAsia="Calibri" w:hAnsi="Verdana" w:cs="Verdana"/>
          </w:rPr>
          <w:t>PeopleSafe - Test Claim (004573)</w:t>
        </w:r>
      </w:hyperlink>
    </w:p>
    <w:p w14:paraId="425E0A19" w14:textId="77777777" w:rsidR="00AB7933" w:rsidRPr="00665287" w:rsidRDefault="00AB7933" w:rsidP="00363749">
      <w:pPr>
        <w:spacing w:before="120" w:after="120"/>
        <w:rPr>
          <w:rStyle w:val="Hyperlink"/>
          <w:rFonts w:ascii="Verdana" w:eastAsia="Calibri" w:hAnsi="Verdana" w:cs="Verdana"/>
          <w:color w:val="auto"/>
          <w:u w:val="none"/>
        </w:rPr>
      </w:pPr>
      <w:hyperlink r:id="rId41" w:anchor="!/view?docid=60c20ea0-1d07-46e3-809a-b54734b80fbe" w:history="1">
        <w:r w:rsidRPr="00665287">
          <w:rPr>
            <w:rStyle w:val="Hyperlink"/>
            <w:rFonts w:ascii="Verdana" w:eastAsia="Calibri" w:hAnsi="Verdana" w:cs="Verdana"/>
          </w:rPr>
          <w:t>Compass - Test Claims (050041)</w:t>
        </w:r>
      </w:hyperlink>
    </w:p>
    <w:p w14:paraId="370B8EB0" w14:textId="77777777" w:rsidR="00665287" w:rsidRPr="00665287" w:rsidRDefault="00665287" w:rsidP="00363749">
      <w:pPr>
        <w:spacing w:before="120" w:after="120"/>
        <w:rPr>
          <w:rStyle w:val="Hyperlink"/>
          <w:rFonts w:ascii="Verdana" w:eastAsiaTheme="majorEastAsia" w:hAnsi="Verdana"/>
        </w:rPr>
      </w:pPr>
    </w:p>
    <w:p w14:paraId="655B68C7" w14:textId="77777777" w:rsidR="00AB7933" w:rsidRPr="00665287" w:rsidRDefault="00AB7933" w:rsidP="00363749">
      <w:pPr>
        <w:spacing w:before="120" w:after="120"/>
        <w:jc w:val="right"/>
        <w:rPr>
          <w:rFonts w:ascii="Verdana" w:hAnsi="Verdana"/>
          <w:color w:val="0000FF"/>
          <w:u w:val="single"/>
        </w:rPr>
      </w:pPr>
      <w:hyperlink w:anchor="_top" w:history="1">
        <w:r w:rsidRPr="00665287">
          <w:rPr>
            <w:rStyle w:val="Hyperlink"/>
            <w:rFonts w:ascii="Verdana" w:eastAsiaTheme="majorEastAsia" w:hAnsi="Verdana"/>
          </w:rPr>
          <w:t>Top of the Document</w:t>
        </w:r>
      </w:hyperlink>
      <w:r w:rsidRPr="00665287">
        <w:rPr>
          <w:rFonts w:ascii="Verdana" w:hAnsi="Verdana"/>
          <w:color w:val="0000FF"/>
          <w:u w:val="single"/>
        </w:rPr>
        <w:t xml:space="preserve"> </w:t>
      </w:r>
    </w:p>
    <w:p w14:paraId="6D2C3B3D" w14:textId="77777777" w:rsidR="008E545F" w:rsidRDefault="008E545F" w:rsidP="00AB7933">
      <w:pPr>
        <w:jc w:val="center"/>
        <w:rPr>
          <w:rFonts w:ascii="Verdana" w:hAnsi="Verdana"/>
          <w:color w:val="000000"/>
          <w:sz w:val="16"/>
          <w:szCs w:val="16"/>
        </w:rPr>
      </w:pPr>
    </w:p>
    <w:p w14:paraId="7ECF7866" w14:textId="73430538" w:rsidR="00AB7933" w:rsidRPr="00665287" w:rsidRDefault="00AB7933" w:rsidP="00AB7933">
      <w:pPr>
        <w:jc w:val="center"/>
        <w:rPr>
          <w:rFonts w:ascii="Verdana" w:hAnsi="Verdana"/>
          <w:color w:val="000000"/>
          <w:sz w:val="16"/>
          <w:szCs w:val="16"/>
        </w:rPr>
      </w:pPr>
      <w:r w:rsidRPr="00665287">
        <w:rPr>
          <w:rFonts w:ascii="Verdana" w:hAnsi="Verdana"/>
          <w:color w:val="000000"/>
          <w:sz w:val="16"/>
          <w:szCs w:val="16"/>
        </w:rPr>
        <w:t>Not to Be Reproduced or Disclosed to Others without Prior Written Approval</w:t>
      </w:r>
    </w:p>
    <w:p w14:paraId="30A078D4" w14:textId="033D983F" w:rsidR="003C1DBC" w:rsidRPr="00665287" w:rsidRDefault="00AB7933" w:rsidP="00665287">
      <w:pPr>
        <w:jc w:val="center"/>
        <w:rPr>
          <w:rFonts w:ascii="Verdana" w:hAnsi="Verdana"/>
          <w:sz w:val="16"/>
          <w:szCs w:val="16"/>
        </w:rPr>
      </w:pPr>
      <w:r w:rsidRPr="00665287">
        <w:rPr>
          <w:rFonts w:ascii="Verdana" w:hAnsi="Verdana"/>
          <w:b/>
          <w:bCs/>
          <w:color w:val="000000"/>
          <w:sz w:val="16"/>
          <w:szCs w:val="16"/>
        </w:rPr>
        <w:t>ELECTRONIC DATA = OFFICIAL VERSION – PAPER COPY – INFORMATIONAL ONLY</w:t>
      </w:r>
    </w:p>
    <w:sectPr w:rsidR="003C1DBC" w:rsidRPr="00665287" w:rsidSect="00AB793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966EB"/>
    <w:multiLevelType w:val="hybridMultilevel"/>
    <w:tmpl w:val="410A9C8E"/>
    <w:lvl w:ilvl="0" w:tplc="6A6082C2">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630506"/>
    <w:multiLevelType w:val="hybridMultilevel"/>
    <w:tmpl w:val="2ED62C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A3D86"/>
    <w:multiLevelType w:val="hybridMultilevel"/>
    <w:tmpl w:val="EF58AB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FB7456"/>
    <w:multiLevelType w:val="hybridMultilevel"/>
    <w:tmpl w:val="B1B875E0"/>
    <w:lvl w:ilvl="0" w:tplc="91D06268">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2D6662AA"/>
    <w:multiLevelType w:val="hybridMultilevel"/>
    <w:tmpl w:val="CA80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C7CFA"/>
    <w:multiLevelType w:val="hybridMultilevel"/>
    <w:tmpl w:val="AFC49C1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 w15:restartNumberingAfterBreak="0">
    <w:nsid w:val="4424612A"/>
    <w:multiLevelType w:val="hybridMultilevel"/>
    <w:tmpl w:val="9A52CFCE"/>
    <w:lvl w:ilvl="0" w:tplc="56DA4188">
      <w:start w:val="1"/>
      <w:numFmt w:val="bullet"/>
      <w:pStyle w:val="BulletText1"/>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D016D1C"/>
    <w:multiLevelType w:val="hybridMultilevel"/>
    <w:tmpl w:val="2ED02F46"/>
    <w:lvl w:ilvl="0" w:tplc="DB829300">
      <w:start w:val="1"/>
      <w:numFmt w:val="bullet"/>
      <w:lvlText w:val=""/>
      <w:lvlJc w:val="left"/>
      <w:pPr>
        <w:tabs>
          <w:tab w:val="num" w:pos="360"/>
        </w:tabs>
        <w:ind w:left="360" w:hanging="360"/>
      </w:pPr>
      <w:rPr>
        <w:rFonts w:ascii="Symbol" w:hAnsi="Symbol" w:hint="default"/>
        <w:color w:val="auto"/>
      </w:rPr>
    </w:lvl>
    <w:lvl w:ilvl="1" w:tplc="BAA00066" w:tentative="1">
      <w:start w:val="1"/>
      <w:numFmt w:val="bullet"/>
      <w:lvlText w:val=""/>
      <w:lvlJc w:val="left"/>
      <w:pPr>
        <w:tabs>
          <w:tab w:val="num" w:pos="1080"/>
        </w:tabs>
        <w:ind w:left="1080" w:hanging="360"/>
      </w:pPr>
      <w:rPr>
        <w:rFonts w:ascii="Symbol" w:hAnsi="Symbol" w:hint="default"/>
      </w:rPr>
    </w:lvl>
    <w:lvl w:ilvl="2" w:tplc="8C0AEFE0" w:tentative="1">
      <w:start w:val="1"/>
      <w:numFmt w:val="bullet"/>
      <w:lvlText w:val=""/>
      <w:lvlJc w:val="left"/>
      <w:pPr>
        <w:tabs>
          <w:tab w:val="num" w:pos="1800"/>
        </w:tabs>
        <w:ind w:left="1800" w:hanging="360"/>
      </w:pPr>
      <w:rPr>
        <w:rFonts w:ascii="Symbol" w:hAnsi="Symbol" w:hint="default"/>
      </w:rPr>
    </w:lvl>
    <w:lvl w:ilvl="3" w:tplc="26C6CE48" w:tentative="1">
      <w:start w:val="1"/>
      <w:numFmt w:val="bullet"/>
      <w:lvlText w:val=""/>
      <w:lvlJc w:val="left"/>
      <w:pPr>
        <w:tabs>
          <w:tab w:val="num" w:pos="2520"/>
        </w:tabs>
        <w:ind w:left="2520" w:hanging="360"/>
      </w:pPr>
      <w:rPr>
        <w:rFonts w:ascii="Symbol" w:hAnsi="Symbol" w:hint="default"/>
      </w:rPr>
    </w:lvl>
    <w:lvl w:ilvl="4" w:tplc="5D2CF8D0" w:tentative="1">
      <w:start w:val="1"/>
      <w:numFmt w:val="bullet"/>
      <w:lvlText w:val=""/>
      <w:lvlJc w:val="left"/>
      <w:pPr>
        <w:tabs>
          <w:tab w:val="num" w:pos="3240"/>
        </w:tabs>
        <w:ind w:left="3240" w:hanging="360"/>
      </w:pPr>
      <w:rPr>
        <w:rFonts w:ascii="Symbol" w:hAnsi="Symbol" w:hint="default"/>
      </w:rPr>
    </w:lvl>
    <w:lvl w:ilvl="5" w:tplc="F294E0F4" w:tentative="1">
      <w:start w:val="1"/>
      <w:numFmt w:val="bullet"/>
      <w:lvlText w:val=""/>
      <w:lvlJc w:val="left"/>
      <w:pPr>
        <w:tabs>
          <w:tab w:val="num" w:pos="3960"/>
        </w:tabs>
        <w:ind w:left="3960" w:hanging="360"/>
      </w:pPr>
      <w:rPr>
        <w:rFonts w:ascii="Symbol" w:hAnsi="Symbol" w:hint="default"/>
      </w:rPr>
    </w:lvl>
    <w:lvl w:ilvl="6" w:tplc="82CEAD2A" w:tentative="1">
      <w:start w:val="1"/>
      <w:numFmt w:val="bullet"/>
      <w:lvlText w:val=""/>
      <w:lvlJc w:val="left"/>
      <w:pPr>
        <w:tabs>
          <w:tab w:val="num" w:pos="4680"/>
        </w:tabs>
        <w:ind w:left="4680" w:hanging="360"/>
      </w:pPr>
      <w:rPr>
        <w:rFonts w:ascii="Symbol" w:hAnsi="Symbol" w:hint="default"/>
      </w:rPr>
    </w:lvl>
    <w:lvl w:ilvl="7" w:tplc="9CB08668" w:tentative="1">
      <w:start w:val="1"/>
      <w:numFmt w:val="bullet"/>
      <w:lvlText w:val=""/>
      <w:lvlJc w:val="left"/>
      <w:pPr>
        <w:tabs>
          <w:tab w:val="num" w:pos="5400"/>
        </w:tabs>
        <w:ind w:left="5400" w:hanging="360"/>
      </w:pPr>
      <w:rPr>
        <w:rFonts w:ascii="Symbol" w:hAnsi="Symbol" w:hint="default"/>
      </w:rPr>
    </w:lvl>
    <w:lvl w:ilvl="8" w:tplc="C69027DE"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6A063BB2"/>
    <w:multiLevelType w:val="hybridMultilevel"/>
    <w:tmpl w:val="9266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4014A"/>
    <w:multiLevelType w:val="hybridMultilevel"/>
    <w:tmpl w:val="5A7E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251A1"/>
    <w:multiLevelType w:val="hybridMultilevel"/>
    <w:tmpl w:val="8DF0D872"/>
    <w:lvl w:ilvl="0" w:tplc="E0B4E5F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B040E"/>
    <w:multiLevelType w:val="hybridMultilevel"/>
    <w:tmpl w:val="5CB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394801">
    <w:abstractNumId w:val="6"/>
  </w:num>
  <w:num w:numId="2" w16cid:durableId="688724207">
    <w:abstractNumId w:val="3"/>
  </w:num>
  <w:num w:numId="3" w16cid:durableId="710031858">
    <w:abstractNumId w:val="7"/>
  </w:num>
  <w:num w:numId="4" w16cid:durableId="1140925701">
    <w:abstractNumId w:val="4"/>
  </w:num>
  <w:num w:numId="5" w16cid:durableId="1490903030">
    <w:abstractNumId w:val="0"/>
  </w:num>
  <w:num w:numId="6" w16cid:durableId="1741513417">
    <w:abstractNumId w:val="2"/>
  </w:num>
  <w:num w:numId="7" w16cid:durableId="1880900032">
    <w:abstractNumId w:val="1"/>
  </w:num>
  <w:num w:numId="8" w16cid:durableId="832722151">
    <w:abstractNumId w:val="10"/>
  </w:num>
  <w:num w:numId="9" w16cid:durableId="1622371128">
    <w:abstractNumId w:val="5"/>
  </w:num>
  <w:num w:numId="10" w16cid:durableId="128713066">
    <w:abstractNumId w:val="8"/>
  </w:num>
  <w:num w:numId="11" w16cid:durableId="1109543216">
    <w:abstractNumId w:val="11"/>
  </w:num>
  <w:num w:numId="12" w16cid:durableId="440683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33"/>
    <w:rsid w:val="00027CF7"/>
    <w:rsid w:val="000E593C"/>
    <w:rsid w:val="001A55FF"/>
    <w:rsid w:val="00207FCF"/>
    <w:rsid w:val="002174B0"/>
    <w:rsid w:val="002A6FB2"/>
    <w:rsid w:val="00342CCE"/>
    <w:rsid w:val="00363749"/>
    <w:rsid w:val="00367A5C"/>
    <w:rsid w:val="0037031D"/>
    <w:rsid w:val="003A160E"/>
    <w:rsid w:val="003C1DBC"/>
    <w:rsid w:val="003E3F85"/>
    <w:rsid w:val="004601FA"/>
    <w:rsid w:val="004E45AA"/>
    <w:rsid w:val="005145D5"/>
    <w:rsid w:val="0052596A"/>
    <w:rsid w:val="00544177"/>
    <w:rsid w:val="00660852"/>
    <w:rsid w:val="00663543"/>
    <w:rsid w:val="00665287"/>
    <w:rsid w:val="00692670"/>
    <w:rsid w:val="006A6719"/>
    <w:rsid w:val="007434FC"/>
    <w:rsid w:val="00755B92"/>
    <w:rsid w:val="007D06C3"/>
    <w:rsid w:val="00865B45"/>
    <w:rsid w:val="008E545F"/>
    <w:rsid w:val="00985CC1"/>
    <w:rsid w:val="00A52899"/>
    <w:rsid w:val="00A73C5F"/>
    <w:rsid w:val="00AB7933"/>
    <w:rsid w:val="00B0395E"/>
    <w:rsid w:val="00B50FAF"/>
    <w:rsid w:val="00B541DD"/>
    <w:rsid w:val="00B73683"/>
    <w:rsid w:val="00CC6089"/>
    <w:rsid w:val="00CD00C3"/>
    <w:rsid w:val="00CE09B4"/>
    <w:rsid w:val="00CE2226"/>
    <w:rsid w:val="00D32D5F"/>
    <w:rsid w:val="00D976D0"/>
    <w:rsid w:val="00DA0E53"/>
    <w:rsid w:val="00DD5B73"/>
    <w:rsid w:val="00E01F83"/>
    <w:rsid w:val="00F52BE3"/>
    <w:rsid w:val="00FA507E"/>
    <w:rsid w:val="00FE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DCF6"/>
  <w15:chartTrackingRefBased/>
  <w15:docId w15:val="{D69148BC-FD08-416E-8429-1473A300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33"/>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AB79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793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793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793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793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AB7933"/>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AB7933"/>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B7933"/>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AB7933"/>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AB7933"/>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AB7933"/>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AB79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3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B793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3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B79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933"/>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AB7933"/>
    <w:pPr>
      <w:ind w:left="720"/>
      <w:contextualSpacing/>
    </w:pPr>
  </w:style>
  <w:style w:type="character" w:styleId="IntenseEmphasis">
    <w:name w:val="Intense Emphasis"/>
    <w:basedOn w:val="DefaultParagraphFont"/>
    <w:uiPriority w:val="21"/>
    <w:qFormat/>
    <w:rsid w:val="00AB7933"/>
    <w:rPr>
      <w:i/>
      <w:iCs/>
      <w:color w:val="0F4761" w:themeColor="accent1" w:themeShade="BF"/>
    </w:rPr>
  </w:style>
  <w:style w:type="paragraph" w:styleId="IntenseQuote">
    <w:name w:val="Intense Quote"/>
    <w:basedOn w:val="Normal"/>
    <w:next w:val="Normal"/>
    <w:link w:val="IntenseQuoteChar"/>
    <w:uiPriority w:val="30"/>
    <w:qFormat/>
    <w:rsid w:val="00AB7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33"/>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AB7933"/>
    <w:rPr>
      <w:b/>
      <w:bCs/>
      <w:smallCaps/>
      <w:color w:val="0F4761" w:themeColor="accent1" w:themeShade="BF"/>
      <w:spacing w:val="5"/>
    </w:rPr>
  </w:style>
  <w:style w:type="character" w:styleId="Hyperlink">
    <w:name w:val="Hyperlink"/>
    <w:uiPriority w:val="99"/>
    <w:rsid w:val="00AB7933"/>
    <w:rPr>
      <w:color w:val="0000FF"/>
      <w:u w:val="single"/>
    </w:rPr>
  </w:style>
  <w:style w:type="paragraph" w:styleId="TOC2">
    <w:name w:val="toc 2"/>
    <w:basedOn w:val="Normal"/>
    <w:next w:val="Normal"/>
    <w:autoRedefine/>
    <w:uiPriority w:val="39"/>
    <w:rsid w:val="00AB7933"/>
    <w:pPr>
      <w:tabs>
        <w:tab w:val="right" w:leader="dot" w:pos="12950"/>
      </w:tabs>
    </w:pPr>
    <w:rPr>
      <w:rFonts w:ascii="Verdana" w:hAnsi="Verdana"/>
      <w:noProof/>
      <w:color w:val="3333FF"/>
      <w:u w:val="single"/>
    </w:rPr>
  </w:style>
  <w:style w:type="paragraph" w:customStyle="1" w:styleId="BulletText1">
    <w:name w:val="Bullet Text 1"/>
    <w:basedOn w:val="Normal"/>
    <w:rsid w:val="00AB7933"/>
    <w:pPr>
      <w:numPr>
        <w:numId w:val="1"/>
      </w:numPr>
    </w:pPr>
    <w:rPr>
      <w:color w:val="000000"/>
      <w:szCs w:val="20"/>
    </w:rPr>
  </w:style>
  <w:style w:type="character" w:styleId="FollowedHyperlink">
    <w:name w:val="FollowedHyperlink"/>
    <w:basedOn w:val="DefaultParagraphFont"/>
    <w:uiPriority w:val="99"/>
    <w:semiHidden/>
    <w:unhideWhenUsed/>
    <w:rsid w:val="00665287"/>
    <w:rPr>
      <w:color w:val="96607D" w:themeColor="followedHyperlink"/>
      <w:u w:val="single"/>
    </w:rPr>
  </w:style>
  <w:style w:type="paragraph" w:styleId="Revision">
    <w:name w:val="Revision"/>
    <w:hidden/>
    <w:uiPriority w:val="99"/>
    <w:semiHidden/>
    <w:rsid w:val="006A6719"/>
    <w:pPr>
      <w:spacing w:after="0" w:line="240" w:lineRule="auto"/>
    </w:pPr>
    <w:rPr>
      <w:rFonts w:ascii="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source.cvshealth.com/nuxeo/thesource/" TargetMode="External"/><Relationship Id="rId18" Type="http://schemas.openxmlformats.org/officeDocument/2006/relationships/image" Target="media/image3.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thesource.cvshealth.com/nuxeo/thesource/" TargetMode="External"/><Relationship Id="rId42" Type="http://schemas.openxmlformats.org/officeDocument/2006/relationships/fontTable" Target="fontTable.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policy.corp.cvscaremark.com/pnp/faces/DocRenderer?documentId=CALL-0011"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policy.corp.cvscaremark.com/pnp/faces/DocRenderer?documentId=CALL-0049" TargetMode="External"/><Relationship Id="rId40" Type="http://schemas.openxmlformats.org/officeDocument/2006/relationships/hyperlink" Target="https://thesource.cvshealth.com/nuxeo/thesource/" TargetMode="External"/><Relationship Id="rId5" Type="http://schemas.openxmlformats.org/officeDocument/2006/relationships/hyperlink" Target="https://thesource.cvshealth.com/nuxeo/thesource/" TargetMode="Externa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Davis, David P.</cp:lastModifiedBy>
  <cp:revision>8</cp:revision>
  <dcterms:created xsi:type="dcterms:W3CDTF">2025-09-10T19:43:00Z</dcterms:created>
  <dcterms:modified xsi:type="dcterms:W3CDTF">2025-09-10T19:55:00Z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2025-03-26T16:16:23Z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2e0eba5f-e437-4bc6-b0f0-30ef04a2e5eb</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