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F77316" w14:textId="0DC975B7" w:rsidR="00524CDD" w:rsidRPr="007E39C0" w:rsidRDefault="004A2651" w:rsidP="007E39C0">
      <w:pPr>
        <w:pStyle w:val="Heading1"/>
        <w:spacing w:before="120" w:after="120"/>
        <w:rPr>
          <w:rFonts w:ascii="Verdana" w:hAnsi="Verdana"/>
          <w:color w:val="000000"/>
          <w:sz w:val="36"/>
          <w:szCs w:val="36"/>
        </w:rPr>
      </w:pPr>
      <w:bookmarkStart w:id="0" w:name="_top"/>
      <w:bookmarkEnd w:id="0"/>
      <w:r w:rsidRPr="007E39C0">
        <w:rPr>
          <w:rFonts w:ascii="Verdana" w:hAnsi="Verdana"/>
          <w:color w:val="000000"/>
          <w:sz w:val="36"/>
          <w:szCs w:val="36"/>
        </w:rPr>
        <w:t>Test Claims Index</w:t>
      </w:r>
    </w:p>
    <w:p w14:paraId="5686A88A" w14:textId="77777777" w:rsidR="007E39C0" w:rsidRDefault="007E39C0">
      <w:pPr>
        <w:pStyle w:val="TOC2"/>
        <w:rPr>
          <w:rFonts w:ascii="Verdana" w:hAnsi="Verdana"/>
        </w:rPr>
      </w:pPr>
    </w:p>
    <w:p w14:paraId="5B16CB97" w14:textId="3BAC27FB" w:rsidR="007E39C0" w:rsidRDefault="00C821ED">
      <w:pPr>
        <w:pStyle w:val="TOC2"/>
        <w:rPr>
          <w:rFonts w:asciiTheme="minorHAnsi" w:eastAsiaTheme="minorEastAsia" w:hAnsiTheme="minorHAnsi" w:cstheme="minorBidi"/>
          <w:noProof/>
          <w:sz w:val="22"/>
          <w:szCs w:val="22"/>
        </w:rPr>
      </w:pPr>
      <w:r w:rsidRPr="007E39C0">
        <w:rPr>
          <w:rFonts w:ascii="Verdana" w:hAnsi="Verdana"/>
        </w:rPr>
        <w:fldChar w:fldCharType="begin"/>
      </w:r>
      <w:r w:rsidRPr="007E39C0">
        <w:rPr>
          <w:rFonts w:ascii="Verdana" w:hAnsi="Verdana"/>
        </w:rPr>
        <w:instrText xml:space="preserve"> TOC \o "2-2" \n \p " " \h \z \u </w:instrText>
      </w:r>
      <w:r w:rsidRPr="007E39C0">
        <w:rPr>
          <w:rFonts w:ascii="Verdana" w:hAnsi="Verdana"/>
        </w:rPr>
        <w:fldChar w:fldCharType="separate"/>
      </w:r>
      <w:hyperlink w:anchor="_Toc95129663" w:history="1">
        <w:r w:rsidR="007E39C0" w:rsidRPr="00F87BC8">
          <w:rPr>
            <w:rStyle w:val="Hyperlink"/>
            <w:rFonts w:ascii="Verdana" w:hAnsi="Verdana"/>
            <w:noProof/>
          </w:rPr>
          <w:t>Document Listing</w:t>
        </w:r>
      </w:hyperlink>
    </w:p>
    <w:p w14:paraId="148D4430" w14:textId="1B61ADB3" w:rsidR="007E39C0" w:rsidRDefault="007E39C0">
      <w:pPr>
        <w:pStyle w:val="TOC2"/>
        <w:rPr>
          <w:rFonts w:asciiTheme="minorHAnsi" w:eastAsiaTheme="minorEastAsia" w:hAnsiTheme="minorHAnsi" w:cstheme="minorBidi"/>
          <w:noProof/>
          <w:sz w:val="22"/>
          <w:szCs w:val="22"/>
        </w:rPr>
      </w:pPr>
      <w:hyperlink w:anchor="_Toc95129664" w:history="1">
        <w:r w:rsidRPr="00F87BC8">
          <w:rPr>
            <w:rStyle w:val="Hyperlink"/>
            <w:rFonts w:ascii="Verdana" w:hAnsi="Verdana"/>
            <w:noProof/>
          </w:rPr>
          <w:t>Related Documents</w:t>
        </w:r>
      </w:hyperlink>
    </w:p>
    <w:p w14:paraId="5EF4A12D" w14:textId="0A7DA13C" w:rsidR="001B1FBE" w:rsidRPr="000C05CE" w:rsidRDefault="00C821ED" w:rsidP="007E39C0">
      <w:pPr>
        <w:spacing w:before="120" w:after="120"/>
        <w:rPr>
          <w:rFonts w:ascii="Verdana" w:hAnsi="Verdana"/>
        </w:rPr>
      </w:pPr>
      <w:r w:rsidRPr="007E39C0">
        <w:rPr>
          <w:rFonts w:ascii="Verdana" w:hAnsi="Verdana"/>
        </w:rPr>
        <w:fldChar w:fldCharType="end"/>
      </w:r>
    </w:p>
    <w:p w14:paraId="6AFE03B2" w14:textId="6933C748" w:rsidR="00E30B3D" w:rsidRDefault="001B1FBE" w:rsidP="007E39C0">
      <w:pPr>
        <w:spacing w:before="120" w:after="120"/>
        <w:rPr>
          <w:rFonts w:ascii="Verdana" w:hAnsi="Verdana"/>
        </w:rPr>
      </w:pPr>
      <w:r w:rsidRPr="000C05CE">
        <w:rPr>
          <w:rFonts w:ascii="Verdana" w:hAnsi="Verdana"/>
          <w:b/>
          <w:bCs/>
        </w:rPr>
        <w:t>Description:</w:t>
      </w:r>
      <w:r w:rsidRPr="000C05CE">
        <w:rPr>
          <w:rFonts w:ascii="Verdana" w:hAnsi="Verdana"/>
        </w:rPr>
        <w:t xml:space="preserve"> </w:t>
      </w:r>
      <w:bookmarkStart w:id="1" w:name="OLE_LINK1"/>
      <w:bookmarkStart w:id="2" w:name="OLE_LINK2"/>
      <w:r w:rsidR="004A2651" w:rsidRPr="000C05CE">
        <w:rPr>
          <w:rFonts w:ascii="Verdana" w:hAnsi="Verdana"/>
        </w:rPr>
        <w:t xml:space="preserve">Test Claims </w:t>
      </w:r>
      <w:r w:rsidR="00074934">
        <w:rPr>
          <w:rFonts w:ascii="Verdana" w:hAnsi="Verdana"/>
        </w:rPr>
        <w:t xml:space="preserve">related </w:t>
      </w:r>
      <w:r w:rsidR="004A2651" w:rsidRPr="000C05CE">
        <w:rPr>
          <w:rFonts w:ascii="Verdana" w:hAnsi="Verdana"/>
        </w:rPr>
        <w:t>documents</w:t>
      </w:r>
      <w:r w:rsidR="002A3CEC">
        <w:rPr>
          <w:rFonts w:ascii="Verdana" w:hAnsi="Verdana"/>
        </w:rPr>
        <w:t xml:space="preserve"> list with descriptions</w:t>
      </w:r>
      <w:r w:rsidR="007E39C0">
        <w:rPr>
          <w:rFonts w:ascii="Verdana" w:hAnsi="Verdana"/>
        </w:rPr>
        <w:t>.</w:t>
      </w:r>
      <w:r w:rsidR="004A2651" w:rsidRPr="000C05CE">
        <w:rPr>
          <w:rFonts w:ascii="Verdana" w:hAnsi="Verdana"/>
        </w:rPr>
        <w:t xml:space="preserve"> </w:t>
      </w:r>
      <w:r w:rsidR="007E39C0">
        <w:rPr>
          <w:rFonts w:ascii="Verdana" w:hAnsi="Verdana"/>
        </w:rPr>
        <w:t xml:space="preserve"> </w:t>
      </w:r>
      <w:bookmarkEnd w:id="1"/>
      <w:bookmarkEnd w:id="2"/>
    </w:p>
    <w:p w14:paraId="6774D653" w14:textId="77777777" w:rsidR="002A3CEC" w:rsidRPr="000C05CE" w:rsidRDefault="002A3CEC" w:rsidP="007E39C0">
      <w:pPr>
        <w:spacing w:before="120" w:after="120"/>
        <w:rPr>
          <w:rFonts w:ascii="Verdana" w:hAnsi="Verdan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E30B3D" w:rsidRPr="000C05CE" w14:paraId="21907B5D" w14:textId="77777777" w:rsidTr="00B76B82">
        <w:tc>
          <w:tcPr>
            <w:tcW w:w="5000" w:type="pct"/>
            <w:shd w:val="clear" w:color="auto" w:fill="C0C0C0"/>
          </w:tcPr>
          <w:p w14:paraId="2DE0BBC7" w14:textId="7A200056" w:rsidR="00E30B3D" w:rsidRPr="007E39C0" w:rsidRDefault="004A2651" w:rsidP="007E39C0">
            <w:pPr>
              <w:pStyle w:val="Heading2"/>
              <w:spacing w:before="120" w:after="120"/>
              <w:rPr>
                <w:rFonts w:ascii="Verdana" w:hAnsi="Verdana"/>
                <w:i w:val="0"/>
                <w:iCs w:val="0"/>
                <w:sz w:val="24"/>
                <w:szCs w:val="24"/>
              </w:rPr>
            </w:pPr>
            <w:bookmarkStart w:id="3" w:name="_Toc95129663"/>
            <w:r w:rsidRPr="007E39C0">
              <w:rPr>
                <w:rFonts w:ascii="Verdana" w:hAnsi="Verdana"/>
                <w:i w:val="0"/>
                <w:iCs w:val="0"/>
                <w:sz w:val="24"/>
                <w:szCs w:val="24"/>
              </w:rPr>
              <w:t>Document Listing</w:t>
            </w:r>
            <w:bookmarkEnd w:id="3"/>
          </w:p>
        </w:tc>
      </w:tr>
    </w:tbl>
    <w:p w14:paraId="7475EC7A" w14:textId="70C16BCB" w:rsidR="00E30B3D" w:rsidRPr="000C05CE" w:rsidRDefault="004A2651" w:rsidP="007E39C0">
      <w:pPr>
        <w:spacing w:before="120" w:after="120"/>
        <w:rPr>
          <w:rFonts w:ascii="Verdana" w:hAnsi="Verdana"/>
        </w:rPr>
      </w:pPr>
      <w:r w:rsidRPr="000C05CE">
        <w:rPr>
          <w:rFonts w:ascii="Verdana" w:hAnsi="Verdana"/>
        </w:rPr>
        <w:t>Refer to as needed:</w:t>
      </w:r>
    </w:p>
    <w:tbl>
      <w:tblPr>
        <w:tblW w:w="5000" w:type="pct"/>
        <w:tblCellMar>
          <w:left w:w="0" w:type="dxa"/>
          <w:right w:w="0" w:type="dxa"/>
        </w:tblCellMar>
        <w:tblLook w:val="04A0" w:firstRow="1" w:lastRow="0" w:firstColumn="1" w:lastColumn="0" w:noHBand="0" w:noVBand="1"/>
      </w:tblPr>
      <w:tblGrid>
        <w:gridCol w:w="5435"/>
        <w:gridCol w:w="7505"/>
      </w:tblGrid>
      <w:tr w:rsidR="002A1B70" w:rsidRPr="000C05CE" w14:paraId="191556F4" w14:textId="77777777" w:rsidTr="00BB6A60">
        <w:tc>
          <w:tcPr>
            <w:tcW w:w="2100" w:type="pct"/>
            <w:tcBorders>
              <w:top w:val="single" w:sz="8" w:space="0" w:color="auto"/>
              <w:left w:val="single" w:sz="8" w:space="0" w:color="auto"/>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p w14:paraId="6AE78E99" w14:textId="4069DB8E" w:rsidR="009B1E29" w:rsidRPr="000C05CE" w:rsidRDefault="009B1E29" w:rsidP="007E39C0">
            <w:pPr>
              <w:spacing w:before="120" w:after="120"/>
              <w:jc w:val="center"/>
              <w:rPr>
                <w:rFonts w:ascii="Verdana" w:hAnsi="Verdana"/>
                <w:b/>
                <w:bCs/>
              </w:rPr>
            </w:pPr>
            <w:r w:rsidRPr="000C05CE">
              <w:rPr>
                <w:rFonts w:ascii="Verdana" w:hAnsi="Verdana"/>
                <w:b/>
                <w:bCs/>
              </w:rPr>
              <w:t>Title</w:t>
            </w:r>
          </w:p>
        </w:tc>
        <w:tc>
          <w:tcPr>
            <w:tcW w:w="2900" w:type="pct"/>
            <w:tcBorders>
              <w:top w:val="single" w:sz="8" w:space="0" w:color="auto"/>
              <w:left w:val="nil"/>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p w14:paraId="202A7D4B" w14:textId="77777777" w:rsidR="009B1E29" w:rsidRPr="000C05CE" w:rsidRDefault="009B1E29" w:rsidP="007E39C0">
            <w:pPr>
              <w:spacing w:before="120" w:after="120"/>
              <w:jc w:val="center"/>
              <w:rPr>
                <w:rFonts w:ascii="Verdana" w:hAnsi="Verdana"/>
                <w:b/>
                <w:bCs/>
              </w:rPr>
            </w:pPr>
            <w:r w:rsidRPr="000C05CE">
              <w:rPr>
                <w:rFonts w:ascii="Verdana" w:hAnsi="Verdana"/>
                <w:b/>
                <w:bCs/>
              </w:rPr>
              <w:t>Description of Document</w:t>
            </w:r>
          </w:p>
        </w:tc>
      </w:tr>
      <w:tr w:rsidR="002A1B70" w:rsidRPr="00F86CC5" w14:paraId="4A09FD3A" w14:textId="77777777" w:rsidTr="00BB6A60">
        <w:tc>
          <w:tcPr>
            <w:tcW w:w="2100" w:type="pct"/>
            <w:tcBorders>
              <w:top w:val="nil"/>
              <w:left w:val="single" w:sz="8" w:space="0" w:color="auto"/>
              <w:bottom w:val="single" w:sz="8" w:space="0" w:color="auto"/>
              <w:right w:val="single" w:sz="8" w:space="0" w:color="auto"/>
            </w:tcBorders>
            <w:tcMar>
              <w:top w:w="0" w:type="dxa"/>
              <w:left w:w="108" w:type="dxa"/>
              <w:bottom w:w="0" w:type="dxa"/>
              <w:right w:w="108" w:type="dxa"/>
            </w:tcMar>
          </w:tcPr>
          <w:p w14:paraId="5D61F38D" w14:textId="11C73821" w:rsidR="00EF367D" w:rsidRPr="00F86CC5" w:rsidRDefault="004910F7">
            <w:pPr>
              <w:spacing w:before="120" w:after="120"/>
              <w:rPr>
                <w:rFonts w:ascii="Verdana" w:hAnsi="Verdana" w:cs="Helvetica"/>
                <w:b/>
                <w:bCs/>
                <w:color w:val="000000"/>
                <w:shd w:val="clear" w:color="auto" w:fill="FFFFFF"/>
              </w:rPr>
            </w:pPr>
            <w:r w:rsidRPr="00F86CC5">
              <w:rPr>
                <w:rFonts w:ascii="Verdana" w:hAnsi="Verdana"/>
                <w:b/>
                <w:bCs/>
              </w:rPr>
              <w:t xml:space="preserve">PeopleSafe - </w:t>
            </w:r>
            <w:r w:rsidR="00EF367D" w:rsidRPr="00F86CC5">
              <w:rPr>
                <w:rFonts w:ascii="Verdana" w:hAnsi="Verdana" w:cs="Helvetica"/>
                <w:b/>
                <w:bCs/>
                <w:color w:val="000000"/>
                <w:shd w:val="clear" w:color="auto" w:fill="FFFFFF"/>
              </w:rPr>
              <w:t>Assisting Members with Diabetes - Diabetic Supplies/Insulin and Test Claims</w:t>
            </w:r>
          </w:p>
          <w:p w14:paraId="68944A49" w14:textId="1AF18A88" w:rsidR="00EF367D" w:rsidRPr="00F86CC5" w:rsidRDefault="00EF367D">
            <w:pPr>
              <w:spacing w:before="120" w:after="120"/>
              <w:rPr>
                <w:rFonts w:ascii="Verdana" w:hAnsi="Verdana" w:cs="Helvetica"/>
                <w:b/>
                <w:bCs/>
                <w:color w:val="000000"/>
                <w:shd w:val="clear" w:color="auto" w:fill="FFFFFF"/>
              </w:rPr>
            </w:pPr>
            <w:hyperlink r:id="rId11" w:anchor="!/view?docid=1f23f5bf-109b-41e2-82c5-5582f66f3c6c" w:history="1">
              <w:r w:rsidRPr="00F86CC5">
                <w:rPr>
                  <w:rStyle w:val="Hyperlink"/>
                  <w:rFonts w:ascii="Verdana" w:hAnsi="Verdana"/>
                </w:rPr>
                <w:t>TSRC-PROD-049629</w:t>
              </w:r>
            </w:hyperlink>
          </w:p>
        </w:tc>
        <w:tc>
          <w:tcPr>
            <w:tcW w:w="2900" w:type="pct"/>
            <w:tcBorders>
              <w:top w:val="nil"/>
              <w:left w:val="nil"/>
              <w:bottom w:val="single" w:sz="8" w:space="0" w:color="auto"/>
              <w:right w:val="single" w:sz="8" w:space="0" w:color="auto"/>
            </w:tcBorders>
            <w:tcMar>
              <w:top w:w="0" w:type="dxa"/>
              <w:left w:w="108" w:type="dxa"/>
              <w:bottom w:w="0" w:type="dxa"/>
              <w:right w:w="108" w:type="dxa"/>
            </w:tcMar>
          </w:tcPr>
          <w:p w14:paraId="1BF2BB59" w14:textId="6D277889" w:rsidR="00EF367D" w:rsidRPr="00F86CC5" w:rsidRDefault="00A958A5">
            <w:pPr>
              <w:spacing w:before="120" w:after="120"/>
              <w:rPr>
                <w:rFonts w:ascii="Verdana" w:hAnsi="Verdana" w:cs="Helvetica"/>
                <w:color w:val="333333"/>
                <w:shd w:val="clear" w:color="auto" w:fill="FFFFFF"/>
              </w:rPr>
            </w:pPr>
            <w:r w:rsidRPr="00F86CC5">
              <w:rPr>
                <w:rFonts w:ascii="Verdana" w:hAnsi="Verdana" w:cs="Helvetica"/>
                <w:color w:val="333333"/>
                <w:shd w:val="clear" w:color="auto" w:fill="FFFFFF"/>
              </w:rPr>
              <w:t>R</w:t>
            </w:r>
            <w:r w:rsidR="00EF367D" w:rsidRPr="00F86CC5">
              <w:rPr>
                <w:rFonts w:ascii="Verdana" w:hAnsi="Verdana" w:cs="Helvetica"/>
                <w:color w:val="333333"/>
                <w:shd w:val="clear" w:color="auto" w:fill="FFFFFF"/>
              </w:rPr>
              <w:t>eferences and information regarding diabetic supplies and test claims for these medications.</w:t>
            </w:r>
          </w:p>
        </w:tc>
      </w:tr>
      <w:tr w:rsidR="002A1B70" w:rsidRPr="00F86CC5" w14:paraId="587F2D27" w14:textId="77777777" w:rsidTr="00BB6A60">
        <w:tc>
          <w:tcPr>
            <w:tcW w:w="2100" w:type="pct"/>
            <w:tcBorders>
              <w:top w:val="nil"/>
              <w:left w:val="single" w:sz="8" w:space="0" w:color="auto"/>
              <w:bottom w:val="single" w:sz="8" w:space="0" w:color="auto"/>
              <w:right w:val="single" w:sz="8" w:space="0" w:color="auto"/>
            </w:tcBorders>
            <w:tcMar>
              <w:top w:w="0" w:type="dxa"/>
              <w:left w:w="108" w:type="dxa"/>
              <w:bottom w:w="0" w:type="dxa"/>
              <w:right w:w="108" w:type="dxa"/>
            </w:tcMar>
          </w:tcPr>
          <w:p w14:paraId="331D78C3" w14:textId="1E481E7A" w:rsidR="00EF367D" w:rsidRPr="00F86CC5" w:rsidRDefault="00EF367D">
            <w:pPr>
              <w:spacing w:before="120" w:after="120"/>
              <w:rPr>
                <w:rFonts w:ascii="Verdana" w:hAnsi="Verdana" w:cs="Helvetica"/>
                <w:b/>
                <w:bCs/>
                <w:color w:val="000000"/>
                <w:shd w:val="clear" w:color="auto" w:fill="FFFFFF"/>
              </w:rPr>
            </w:pPr>
            <w:r w:rsidRPr="00F86CC5">
              <w:rPr>
                <w:rFonts w:ascii="Verdana" w:hAnsi="Verdana" w:cs="Helvetica"/>
                <w:b/>
                <w:bCs/>
                <w:color w:val="000000"/>
                <w:shd w:val="clear" w:color="auto" w:fill="FFFFFF"/>
              </w:rPr>
              <w:t>Common Medication Dosage Form Abbreviations</w:t>
            </w:r>
          </w:p>
          <w:p w14:paraId="212A9E1C" w14:textId="72FC6C85" w:rsidR="00EF367D" w:rsidRPr="00F86CC5" w:rsidRDefault="00EF367D">
            <w:pPr>
              <w:spacing w:before="120" w:after="120"/>
              <w:rPr>
                <w:rFonts w:ascii="Verdana" w:hAnsi="Verdana"/>
                <w:b/>
                <w:bCs/>
              </w:rPr>
            </w:pPr>
            <w:hyperlink r:id="rId12" w:anchor="!/view?docid=e820e098-38e5-4512-b1c1-21685f52b857" w:history="1">
              <w:r w:rsidRPr="00F86CC5">
                <w:rPr>
                  <w:rStyle w:val="Hyperlink"/>
                  <w:rFonts w:ascii="Verdana" w:hAnsi="Verdana"/>
                </w:rPr>
                <w:t>TSRC-PROD-003600</w:t>
              </w:r>
            </w:hyperlink>
          </w:p>
        </w:tc>
        <w:tc>
          <w:tcPr>
            <w:tcW w:w="2900" w:type="pct"/>
            <w:tcBorders>
              <w:top w:val="nil"/>
              <w:left w:val="nil"/>
              <w:bottom w:val="single" w:sz="8" w:space="0" w:color="auto"/>
              <w:right w:val="single" w:sz="8" w:space="0" w:color="auto"/>
            </w:tcBorders>
            <w:tcMar>
              <w:top w:w="0" w:type="dxa"/>
              <w:left w:w="108" w:type="dxa"/>
              <w:bottom w:w="0" w:type="dxa"/>
              <w:right w:w="108" w:type="dxa"/>
            </w:tcMar>
          </w:tcPr>
          <w:p w14:paraId="7B006066" w14:textId="3080E7B6" w:rsidR="00EF367D" w:rsidRPr="00F86CC5" w:rsidRDefault="00A958A5">
            <w:pPr>
              <w:spacing w:before="120" w:after="120"/>
              <w:rPr>
                <w:rFonts w:ascii="Verdana" w:hAnsi="Verdana"/>
              </w:rPr>
            </w:pPr>
            <w:r w:rsidRPr="00F86CC5">
              <w:rPr>
                <w:rFonts w:ascii="Verdana" w:hAnsi="Verdana" w:cs="Helvetica"/>
                <w:color w:val="333333"/>
                <w:shd w:val="clear" w:color="auto" w:fill="FFFFFF"/>
              </w:rPr>
              <w:t>C</w:t>
            </w:r>
            <w:r w:rsidR="00EF367D" w:rsidRPr="00F86CC5">
              <w:rPr>
                <w:rFonts w:ascii="Verdana" w:hAnsi="Verdana" w:cs="Helvetica"/>
                <w:color w:val="333333"/>
                <w:shd w:val="clear" w:color="auto" w:fill="FFFFFF"/>
              </w:rPr>
              <w:t>ommon medication dosage form abbreviations and descriptions </w:t>
            </w:r>
          </w:p>
        </w:tc>
      </w:tr>
      <w:tr w:rsidR="00EF367D" w:rsidRPr="00F86CC5" w14:paraId="2126C91C" w14:textId="77777777" w:rsidTr="00BB6A60">
        <w:tc>
          <w:tcPr>
            <w:tcW w:w="2100" w:type="pct"/>
            <w:tcBorders>
              <w:top w:val="nil"/>
              <w:left w:val="single" w:sz="8" w:space="0" w:color="auto"/>
              <w:bottom w:val="single" w:sz="8" w:space="0" w:color="auto"/>
              <w:right w:val="single" w:sz="8" w:space="0" w:color="auto"/>
            </w:tcBorders>
            <w:tcMar>
              <w:top w:w="0" w:type="dxa"/>
              <w:left w:w="108" w:type="dxa"/>
              <w:bottom w:w="0" w:type="dxa"/>
              <w:right w:w="108" w:type="dxa"/>
            </w:tcMar>
          </w:tcPr>
          <w:p w14:paraId="5B878AAA" w14:textId="73ED4BAE" w:rsidR="00EF367D" w:rsidRPr="00F86CC5" w:rsidRDefault="004910F7">
            <w:pPr>
              <w:spacing w:before="120" w:after="120"/>
              <w:rPr>
                <w:rFonts w:ascii="Verdana" w:hAnsi="Verdana" w:cs="Helvetica"/>
                <w:b/>
                <w:bCs/>
                <w:color w:val="000000"/>
                <w:shd w:val="clear" w:color="auto" w:fill="FFFFFF"/>
              </w:rPr>
            </w:pPr>
            <w:r w:rsidRPr="00F86CC5">
              <w:rPr>
                <w:rFonts w:ascii="Verdana" w:hAnsi="Verdana"/>
                <w:b/>
                <w:bCs/>
              </w:rPr>
              <w:t>PeopleSafe -</w:t>
            </w:r>
            <w:r w:rsidR="00EF367D" w:rsidRPr="00F86CC5">
              <w:rPr>
                <w:rFonts w:ascii="Verdana" w:hAnsi="Verdana" w:cs="Helvetica"/>
                <w:b/>
                <w:bCs/>
                <w:color w:val="000000"/>
                <w:shd w:val="clear" w:color="auto" w:fill="FFFFFF"/>
              </w:rPr>
              <w:t>Specialty Pharmacy (CTS - Caremark Therapeutic Pharmacy Services)</w:t>
            </w:r>
            <w:r w:rsidR="00CA4A04" w:rsidRPr="00F86CC5">
              <w:rPr>
                <w:rFonts w:ascii="Verdana" w:hAnsi="Verdana" w:cs="Helvetica"/>
                <w:b/>
                <w:bCs/>
                <w:color w:val="000000"/>
                <w:shd w:val="clear" w:color="auto" w:fill="FFFFFF"/>
              </w:rPr>
              <w:t xml:space="preserve"> Call Handling</w:t>
            </w:r>
          </w:p>
          <w:p w14:paraId="3D7DE3BB" w14:textId="56823A03" w:rsidR="00EF367D" w:rsidRPr="00F86CC5" w:rsidRDefault="00FB33F6">
            <w:pPr>
              <w:spacing w:before="120" w:after="120"/>
              <w:rPr>
                <w:rFonts w:ascii="Verdana" w:hAnsi="Verdana"/>
                <w:b/>
                <w:bCs/>
              </w:rPr>
            </w:pPr>
            <w:hyperlink r:id="rId13" w:anchor="!/view?docid=2eb2f621-bbbb-4e0e-9189-6b47d44f42b3" w:history="1">
              <w:r w:rsidRPr="00F86CC5">
                <w:rPr>
                  <w:rStyle w:val="Hyperlink"/>
                  <w:rFonts w:ascii="Verdana" w:hAnsi="Verdana"/>
                </w:rPr>
                <w:t>CMS-2</w:t>
              </w:r>
              <w:r w:rsidR="00BB6A60" w:rsidRPr="00F86CC5">
                <w:rPr>
                  <w:rStyle w:val="Hyperlink"/>
                  <w:rFonts w:ascii="Verdana" w:hAnsi="Verdana"/>
                </w:rPr>
                <w:t>-</w:t>
              </w:r>
              <w:r w:rsidRPr="00F86CC5">
                <w:rPr>
                  <w:rStyle w:val="Hyperlink"/>
                  <w:rFonts w:ascii="Verdana" w:hAnsi="Verdana"/>
                </w:rPr>
                <w:t>007148</w:t>
              </w:r>
            </w:hyperlink>
          </w:p>
        </w:tc>
        <w:tc>
          <w:tcPr>
            <w:tcW w:w="2900" w:type="pct"/>
            <w:tcBorders>
              <w:top w:val="nil"/>
              <w:left w:val="nil"/>
              <w:bottom w:val="single" w:sz="8" w:space="0" w:color="auto"/>
              <w:right w:val="single" w:sz="8" w:space="0" w:color="auto"/>
            </w:tcBorders>
            <w:tcMar>
              <w:top w:w="0" w:type="dxa"/>
              <w:left w:w="108" w:type="dxa"/>
              <w:bottom w:w="0" w:type="dxa"/>
              <w:right w:w="108" w:type="dxa"/>
            </w:tcMar>
          </w:tcPr>
          <w:p w14:paraId="2196617D" w14:textId="5571C914" w:rsidR="00EF367D" w:rsidRPr="00F86CC5" w:rsidRDefault="00A958A5">
            <w:pPr>
              <w:spacing w:before="120" w:after="120"/>
              <w:rPr>
                <w:rFonts w:ascii="Verdana" w:hAnsi="Verdana"/>
              </w:rPr>
            </w:pPr>
            <w:r w:rsidRPr="00F86CC5">
              <w:rPr>
                <w:rFonts w:ascii="Verdana" w:hAnsi="Verdana" w:cs="Helvetica"/>
                <w:color w:val="333333"/>
                <w:shd w:val="clear" w:color="auto" w:fill="FFFFFF"/>
              </w:rPr>
              <w:t>P</w:t>
            </w:r>
            <w:r w:rsidR="00EF367D" w:rsidRPr="00F86CC5">
              <w:rPr>
                <w:rFonts w:ascii="Verdana" w:hAnsi="Verdana" w:cs="Helvetica"/>
                <w:color w:val="333333"/>
                <w:shd w:val="clear" w:color="auto" w:fill="FFFFFF"/>
              </w:rPr>
              <w:t>rocedures when handling requests for CVS Specialty Pharmacy, commonly known as “Specialty Pharmacy.” CVS Specialty Pharmacy dispenses medications that help members manage rare and complex health conditions. It dispenses medications that help members manage rare and complex health conditions. Specialty drugs are sometimes referred to as biologics, and are most commonly injectable medications that treat chronic disease states such as rheumatoid arthritis, growth hormone deficiencies, etc.</w:t>
            </w:r>
          </w:p>
        </w:tc>
      </w:tr>
      <w:tr w:rsidR="002A1B70" w:rsidRPr="00F86CC5" w14:paraId="283CDD15" w14:textId="77777777" w:rsidTr="00BB6A60">
        <w:tc>
          <w:tcPr>
            <w:tcW w:w="21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0F006E" w14:textId="51C4CD2B" w:rsidR="009B1E29" w:rsidRPr="00F86CC5" w:rsidRDefault="00941809">
            <w:pPr>
              <w:spacing w:before="120" w:after="120"/>
              <w:rPr>
                <w:rStyle w:val="Hyperlink"/>
                <w:rFonts w:ascii="Verdana" w:hAnsi="Verdana"/>
                <w:b/>
                <w:bCs/>
              </w:rPr>
            </w:pPr>
            <w:r w:rsidRPr="00F86CC5">
              <w:rPr>
                <w:rFonts w:ascii="Verdana" w:hAnsi="Verdana"/>
                <w:b/>
                <w:bCs/>
              </w:rPr>
              <w:t xml:space="preserve">PeopleSafe - </w:t>
            </w:r>
            <w:r w:rsidR="009B1E29" w:rsidRPr="00F86CC5">
              <w:rPr>
                <w:rFonts w:ascii="Verdana" w:hAnsi="Verdana"/>
                <w:b/>
                <w:bCs/>
              </w:rPr>
              <w:t>Test Claim</w:t>
            </w:r>
          </w:p>
          <w:p w14:paraId="62B584AA" w14:textId="4954A008" w:rsidR="009B1E29" w:rsidRPr="00F86CC5" w:rsidRDefault="009B1E29">
            <w:pPr>
              <w:spacing w:before="120" w:after="120"/>
              <w:rPr>
                <w:rFonts w:ascii="Verdana" w:hAnsi="Verdana"/>
              </w:rPr>
            </w:pPr>
            <w:hyperlink r:id="rId14" w:anchor="!/view?docid=59c4e7fa-4a87-43c4-89cd-5d4f8c6c3421" w:history="1">
              <w:r w:rsidRPr="00F86CC5">
                <w:rPr>
                  <w:rStyle w:val="Hyperlink"/>
                  <w:rFonts w:ascii="Verdana" w:hAnsi="Verdana"/>
                </w:rPr>
                <w:t>CMS-2-004573</w:t>
              </w:r>
            </w:hyperlink>
          </w:p>
        </w:tc>
        <w:tc>
          <w:tcPr>
            <w:tcW w:w="2900" w:type="pct"/>
            <w:tcBorders>
              <w:top w:val="nil"/>
              <w:left w:val="nil"/>
              <w:bottom w:val="single" w:sz="8" w:space="0" w:color="auto"/>
              <w:right w:val="single" w:sz="8" w:space="0" w:color="auto"/>
            </w:tcBorders>
            <w:tcMar>
              <w:top w:w="0" w:type="dxa"/>
              <w:left w:w="108" w:type="dxa"/>
              <w:bottom w:w="0" w:type="dxa"/>
              <w:right w:w="108" w:type="dxa"/>
            </w:tcMar>
            <w:hideMark/>
          </w:tcPr>
          <w:p w14:paraId="2723ECB7" w14:textId="4315539D" w:rsidR="009B1E29" w:rsidRPr="00F86CC5" w:rsidRDefault="007E39C0">
            <w:pPr>
              <w:spacing w:before="120" w:after="120"/>
              <w:rPr>
                <w:rFonts w:ascii="Verdana" w:hAnsi="Verdana"/>
              </w:rPr>
            </w:pPr>
            <w:r w:rsidRPr="00F86CC5">
              <w:rPr>
                <w:rFonts w:ascii="Verdana" w:hAnsi="Verdana"/>
              </w:rPr>
              <w:t>U</w:t>
            </w:r>
            <w:r w:rsidR="009B1E29" w:rsidRPr="00F86CC5">
              <w:rPr>
                <w:rFonts w:ascii="Verdana" w:hAnsi="Verdana"/>
              </w:rPr>
              <w:t>sed for Test Claim calls about price quote inquiries</w:t>
            </w:r>
          </w:p>
        </w:tc>
      </w:tr>
      <w:tr w:rsidR="002A1B70" w:rsidRPr="00F86CC5" w14:paraId="5AAAF015" w14:textId="77777777" w:rsidTr="00BB6A60">
        <w:tc>
          <w:tcPr>
            <w:tcW w:w="21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FD8C7F2" w14:textId="4994D1A9" w:rsidR="009B1E29" w:rsidRPr="00F86CC5" w:rsidRDefault="00B02E0B" w:rsidP="00F50F1E">
            <w:pPr>
              <w:spacing w:before="120" w:after="120"/>
              <w:rPr>
                <w:rStyle w:val="Hyperlink"/>
                <w:rFonts w:ascii="Verdana" w:hAnsi="Verdana"/>
                <w:b/>
                <w:bCs/>
              </w:rPr>
            </w:pPr>
            <w:r w:rsidRPr="00F86CC5">
              <w:rPr>
                <w:rFonts w:ascii="Verdana" w:hAnsi="Verdana"/>
                <w:b/>
                <w:bCs/>
              </w:rPr>
              <w:t>PeopleSafe -</w:t>
            </w:r>
            <w:r w:rsidR="00F50F1E" w:rsidRPr="00F86CC5">
              <w:rPr>
                <w:rFonts w:ascii="Verdana" w:hAnsi="Verdana"/>
                <w:b/>
                <w:bCs/>
              </w:rPr>
              <w:t>Test Claim Calculate Quantity for Packaged Medication</w:t>
            </w:r>
          </w:p>
          <w:p w14:paraId="3A54774C" w14:textId="58522EC5" w:rsidR="009B1E29" w:rsidRPr="00F86CC5" w:rsidRDefault="009B1E29">
            <w:pPr>
              <w:spacing w:before="120" w:after="120"/>
              <w:rPr>
                <w:rFonts w:ascii="Verdana" w:hAnsi="Verdana"/>
              </w:rPr>
            </w:pPr>
            <w:hyperlink r:id="rId15" w:anchor="!/view?docid=469e4571-83ef-47f7-9a70-e881b945b605" w:history="1">
              <w:r w:rsidRPr="00F86CC5">
                <w:rPr>
                  <w:rStyle w:val="Hyperlink"/>
                  <w:rFonts w:ascii="Verdana" w:hAnsi="Verdana"/>
                </w:rPr>
                <w:t>TSRC-PROD-031773</w:t>
              </w:r>
            </w:hyperlink>
          </w:p>
        </w:tc>
        <w:tc>
          <w:tcPr>
            <w:tcW w:w="2900" w:type="pct"/>
            <w:tcBorders>
              <w:top w:val="nil"/>
              <w:left w:val="nil"/>
              <w:bottom w:val="single" w:sz="8" w:space="0" w:color="auto"/>
              <w:right w:val="single" w:sz="8" w:space="0" w:color="auto"/>
            </w:tcBorders>
            <w:tcMar>
              <w:top w:w="0" w:type="dxa"/>
              <w:left w:w="108" w:type="dxa"/>
              <w:bottom w:w="0" w:type="dxa"/>
              <w:right w:w="108" w:type="dxa"/>
            </w:tcMar>
            <w:hideMark/>
          </w:tcPr>
          <w:p w14:paraId="7BED538B" w14:textId="608ED685" w:rsidR="009B1E29" w:rsidRPr="00F86CC5" w:rsidRDefault="007E39C0">
            <w:pPr>
              <w:spacing w:before="120" w:after="120"/>
              <w:rPr>
                <w:rFonts w:ascii="Verdana" w:hAnsi="Verdana"/>
              </w:rPr>
            </w:pPr>
            <w:r w:rsidRPr="00F86CC5">
              <w:rPr>
                <w:rFonts w:ascii="Verdana" w:hAnsi="Verdana"/>
              </w:rPr>
              <w:t>P</w:t>
            </w:r>
            <w:r w:rsidR="009B1E29" w:rsidRPr="00F86CC5">
              <w:rPr>
                <w:rFonts w:ascii="Verdana" w:hAnsi="Verdana"/>
              </w:rPr>
              <w:t>rovides instructions on how to calculate quantity for packaged medication including Insulin Pens, Eyedrops, Creams and any other prepackaged medication</w:t>
            </w:r>
          </w:p>
        </w:tc>
      </w:tr>
      <w:tr w:rsidR="002A1B70" w:rsidRPr="00F86CC5" w14:paraId="1EEA454E" w14:textId="77777777" w:rsidTr="00BB6A60">
        <w:tc>
          <w:tcPr>
            <w:tcW w:w="21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D1E444" w14:textId="1D2387D8" w:rsidR="009B1E29" w:rsidRPr="00F86CC5" w:rsidRDefault="00B02E0B" w:rsidP="00F50F1E">
            <w:pPr>
              <w:spacing w:before="120" w:after="120"/>
              <w:rPr>
                <w:rStyle w:val="Hyperlink"/>
                <w:rFonts w:ascii="Verdana" w:hAnsi="Verdana"/>
                <w:b/>
                <w:bCs/>
              </w:rPr>
            </w:pPr>
            <w:bookmarkStart w:id="4" w:name="OLE_LINK8"/>
            <w:r w:rsidRPr="00F86CC5">
              <w:rPr>
                <w:rFonts w:ascii="Verdana" w:hAnsi="Verdana"/>
                <w:b/>
                <w:bCs/>
              </w:rPr>
              <w:t>PeopleSafe -</w:t>
            </w:r>
            <w:r w:rsidR="00F50F1E" w:rsidRPr="00F86CC5">
              <w:rPr>
                <w:rFonts w:ascii="Verdana" w:hAnsi="Verdana"/>
                <w:b/>
                <w:bCs/>
              </w:rPr>
              <w:t>Test Claim Formulary and Additional Alternatives</w:t>
            </w:r>
          </w:p>
          <w:bookmarkEnd w:id="4"/>
          <w:p w14:paraId="4F2FD718" w14:textId="0F46F8AD" w:rsidR="009B1E29" w:rsidRPr="00F86CC5" w:rsidRDefault="00F50F1E">
            <w:pPr>
              <w:spacing w:before="120" w:after="120"/>
              <w:rPr>
                <w:rFonts w:ascii="Verdana" w:hAnsi="Verdana"/>
              </w:rPr>
            </w:pPr>
            <w:r w:rsidRPr="00F86CC5">
              <w:rPr>
                <w:rFonts w:ascii="Verdana" w:hAnsi="Verdana"/>
              </w:rPr>
              <w:fldChar w:fldCharType="begin"/>
            </w:r>
            <w:r w:rsidRPr="00F86CC5">
              <w:rPr>
                <w:rFonts w:ascii="Verdana" w:hAnsi="Verdana"/>
              </w:rPr>
              <w:instrText xml:space="preserve"> HYPERLINK "https://thesource.cvshealth.com/nuxeo/thesource/" \l "!/view?docid=48ee161e-9b5e-4cfb-904f-f80995018f28" </w:instrText>
            </w:r>
            <w:r w:rsidRPr="00F86CC5">
              <w:rPr>
                <w:rFonts w:ascii="Verdana" w:hAnsi="Verdana"/>
              </w:rPr>
            </w:r>
            <w:r w:rsidRPr="00F86CC5">
              <w:rPr>
                <w:rFonts w:ascii="Verdana" w:hAnsi="Verdana"/>
              </w:rPr>
              <w:fldChar w:fldCharType="separate"/>
            </w:r>
            <w:r w:rsidR="009B1E29" w:rsidRPr="00F86CC5">
              <w:rPr>
                <w:rStyle w:val="Hyperlink"/>
                <w:rFonts w:ascii="Verdana" w:hAnsi="Verdana"/>
              </w:rPr>
              <w:t>TSRC-PROD-031769</w:t>
            </w:r>
            <w:r w:rsidRPr="00F86CC5">
              <w:rPr>
                <w:rFonts w:ascii="Verdana" w:hAnsi="Verdana"/>
              </w:rPr>
              <w:fldChar w:fldCharType="end"/>
            </w:r>
          </w:p>
        </w:tc>
        <w:tc>
          <w:tcPr>
            <w:tcW w:w="2900" w:type="pct"/>
            <w:tcBorders>
              <w:top w:val="nil"/>
              <w:left w:val="nil"/>
              <w:bottom w:val="single" w:sz="8" w:space="0" w:color="auto"/>
              <w:right w:val="single" w:sz="8" w:space="0" w:color="auto"/>
            </w:tcBorders>
            <w:tcMar>
              <w:top w:w="0" w:type="dxa"/>
              <w:left w:w="108" w:type="dxa"/>
              <w:bottom w:w="0" w:type="dxa"/>
              <w:right w:w="108" w:type="dxa"/>
            </w:tcMar>
            <w:hideMark/>
          </w:tcPr>
          <w:p w14:paraId="4852789F" w14:textId="571F2302" w:rsidR="009B1E29" w:rsidRPr="00F86CC5" w:rsidRDefault="007E39C0">
            <w:pPr>
              <w:spacing w:before="120" w:after="120"/>
              <w:rPr>
                <w:rFonts w:ascii="Verdana" w:hAnsi="Verdana"/>
              </w:rPr>
            </w:pPr>
            <w:r w:rsidRPr="00F86CC5">
              <w:rPr>
                <w:rFonts w:ascii="Verdana" w:hAnsi="Verdana"/>
                <w:color w:val="000000"/>
                <w:shd w:val="clear" w:color="auto" w:fill="FFFFFF"/>
              </w:rPr>
              <w:t>P</w:t>
            </w:r>
            <w:r w:rsidR="009B1E29" w:rsidRPr="00F86CC5">
              <w:rPr>
                <w:rFonts w:ascii="Verdana" w:hAnsi="Verdana"/>
                <w:color w:val="000000"/>
                <w:shd w:val="clear" w:color="auto" w:fill="FFFFFF"/>
              </w:rPr>
              <w:t>rovides the process to select Formulary or Additional Alternatives when running a Test Claim to provide the member with improved cost options for their medications</w:t>
            </w:r>
          </w:p>
        </w:tc>
      </w:tr>
      <w:tr w:rsidR="3EBBE432" w:rsidRPr="00F86CC5" w14:paraId="435B29B6" w14:textId="77777777" w:rsidTr="00BB6A60">
        <w:trPr>
          <w:trHeight w:val="300"/>
        </w:trPr>
        <w:tc>
          <w:tcPr>
            <w:tcW w:w="21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39680A7" w14:textId="1B80E294" w:rsidR="34975366" w:rsidRPr="00F86CC5" w:rsidRDefault="00A70197" w:rsidP="001B04DC">
            <w:pPr>
              <w:pStyle w:val="Heading1"/>
              <w:spacing w:after="0"/>
              <w:rPr>
                <w:rFonts w:ascii="Verdana" w:eastAsia="Verdana" w:hAnsi="Verdana" w:cs="Verdana"/>
                <w:b w:val="0"/>
                <w:bCs/>
                <w:color w:val="000000" w:themeColor="text1"/>
                <w:sz w:val="24"/>
                <w:szCs w:val="24"/>
              </w:rPr>
            </w:pPr>
            <w:r w:rsidRPr="00F86CC5">
              <w:rPr>
                <w:rFonts w:ascii="Verdana" w:eastAsia="Verdana" w:hAnsi="Verdana" w:cs="Verdana"/>
                <w:bCs/>
                <w:noProof/>
                <w:color w:val="000000" w:themeColor="text1"/>
                <w:sz w:val="24"/>
                <w:szCs w:val="24"/>
              </w:rPr>
              <w:drawing>
                <wp:inline distT="0" distB="0" distL="0" distR="0" wp14:anchorId="29A029D6" wp14:editId="76120A08">
                  <wp:extent cx="304762" cy="304762"/>
                  <wp:effectExtent l="0" t="0" r="635" b="635"/>
                  <wp:docPr id="982546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54628" name="Picture 98254628"/>
                          <pic:cNvPicPr/>
                        </pic:nvPicPr>
                        <pic:blipFill>
                          <a:blip r:embed="rId16">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008301A3" w:rsidRPr="00F86CC5">
              <w:rPr>
                <w:rFonts w:ascii="Verdana" w:hAnsi="Verdana"/>
                <w:b w:val="0"/>
                <w:bCs/>
                <w:sz w:val="24"/>
                <w:szCs w:val="24"/>
              </w:rPr>
              <w:t xml:space="preserve"> </w:t>
            </w:r>
            <w:r w:rsidR="008301A3" w:rsidRPr="00F86CC5">
              <w:rPr>
                <w:rFonts w:ascii="Verdana" w:hAnsi="Verdana"/>
                <w:color w:val="000000" w:themeColor="text1"/>
                <w:sz w:val="24"/>
                <w:szCs w:val="24"/>
              </w:rPr>
              <w:t>PeopleSafe -</w:t>
            </w:r>
            <w:r w:rsidR="34975366" w:rsidRPr="00F86CC5">
              <w:rPr>
                <w:rFonts w:ascii="Verdana" w:eastAsia="Verdana" w:hAnsi="Verdana"/>
                <w:color w:val="000000" w:themeColor="text1"/>
                <w:sz w:val="24"/>
                <w:szCs w:val="24"/>
              </w:rPr>
              <w:t>Te</w:t>
            </w:r>
            <w:r w:rsidR="34975366" w:rsidRPr="00F86CC5">
              <w:rPr>
                <w:rFonts w:ascii="Verdana" w:eastAsia="Verdana" w:hAnsi="Verdana" w:cs="Verdana"/>
                <w:bCs/>
                <w:color w:val="000000" w:themeColor="text1"/>
                <w:sz w:val="24"/>
                <w:szCs w:val="24"/>
              </w:rPr>
              <w:t>st Claim (Cost Estimate) May Sub Box Details</w:t>
            </w:r>
          </w:p>
          <w:p w14:paraId="6759D481" w14:textId="3A623470" w:rsidR="3EBBE432" w:rsidRPr="00F86CC5" w:rsidRDefault="3EBBE432" w:rsidP="3EBBE432">
            <w:pPr>
              <w:rPr>
                <w:rFonts w:ascii="Verdana" w:hAnsi="Verdana"/>
                <w:b/>
                <w:bCs/>
              </w:rPr>
            </w:pPr>
          </w:p>
          <w:p w14:paraId="4C8A8468" w14:textId="1F333B54" w:rsidR="34975366" w:rsidRPr="00F86CC5" w:rsidRDefault="34975366" w:rsidP="3EBBE432">
            <w:pPr>
              <w:rPr>
                <w:rFonts w:ascii="Verdana" w:eastAsia="Verdana" w:hAnsi="Verdana" w:cs="Verdana"/>
              </w:rPr>
            </w:pPr>
            <w:hyperlink r:id="rId17" w:anchor="!/view?docid=c1ff1fb2-f764-474d-b5ca-4488d9605ed9" w:history="1">
              <w:r w:rsidRPr="00F86CC5">
                <w:rPr>
                  <w:rStyle w:val="Hyperlink"/>
                  <w:rFonts w:ascii="Verdana" w:eastAsia="Helvetica" w:hAnsi="Verdana" w:cs="Helvetica"/>
                </w:rPr>
                <w:t>TSRC-PROD-059337</w:t>
              </w:r>
            </w:hyperlink>
          </w:p>
        </w:tc>
        <w:tc>
          <w:tcPr>
            <w:tcW w:w="2900" w:type="pct"/>
            <w:tcBorders>
              <w:top w:val="nil"/>
              <w:left w:val="nil"/>
              <w:bottom w:val="single" w:sz="8" w:space="0" w:color="auto"/>
              <w:right w:val="single" w:sz="8" w:space="0" w:color="auto"/>
            </w:tcBorders>
            <w:tcMar>
              <w:top w:w="0" w:type="dxa"/>
              <w:left w:w="108" w:type="dxa"/>
              <w:bottom w:w="0" w:type="dxa"/>
              <w:right w:w="108" w:type="dxa"/>
            </w:tcMar>
            <w:hideMark/>
          </w:tcPr>
          <w:p w14:paraId="1D8D9938" w14:textId="2EB21DE6" w:rsidR="4F2E3FE9" w:rsidRPr="00F86CC5" w:rsidRDefault="4F2E3FE9" w:rsidP="3EBBE432">
            <w:pPr>
              <w:rPr>
                <w:rFonts w:ascii="Verdana" w:hAnsi="Verdana"/>
              </w:rPr>
            </w:pPr>
            <w:r w:rsidRPr="00F86CC5">
              <w:rPr>
                <w:rFonts w:ascii="Verdana" w:hAnsi="Verdana"/>
              </w:rPr>
              <w:t xml:space="preserve">Provides steps on how to </w:t>
            </w:r>
            <w:r w:rsidR="4C780A4C" w:rsidRPr="00F86CC5">
              <w:rPr>
                <w:rFonts w:ascii="Verdana" w:hAnsi="Verdana"/>
              </w:rPr>
              <w:t>customize</w:t>
            </w:r>
            <w:r w:rsidR="34E748E6" w:rsidRPr="00F86CC5">
              <w:rPr>
                <w:rFonts w:ascii="Verdana" w:hAnsi="Verdana"/>
              </w:rPr>
              <w:t xml:space="preserve"> the Test Claim according to the DAW</w:t>
            </w:r>
            <w:r w:rsidR="52DEA0B0" w:rsidRPr="00F86CC5">
              <w:rPr>
                <w:rFonts w:ascii="Verdana" w:hAnsi="Verdana"/>
              </w:rPr>
              <w:t xml:space="preserve"> (Dispensed as Written)</w:t>
            </w:r>
            <w:r w:rsidR="34E748E6" w:rsidRPr="00F86CC5">
              <w:rPr>
                <w:rFonts w:ascii="Verdana" w:hAnsi="Verdana"/>
              </w:rPr>
              <w:t xml:space="preserve"> code. </w:t>
            </w:r>
          </w:p>
        </w:tc>
      </w:tr>
      <w:tr w:rsidR="002A1B70" w:rsidRPr="00F86CC5" w14:paraId="4B101340" w14:textId="77777777" w:rsidTr="00BB6A60">
        <w:tc>
          <w:tcPr>
            <w:tcW w:w="21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38EA121" w14:textId="6752F52B" w:rsidR="009B1E29" w:rsidRPr="00F86CC5" w:rsidRDefault="00651E29" w:rsidP="00F50F1E">
            <w:pPr>
              <w:spacing w:before="120" w:after="120"/>
              <w:rPr>
                <w:rStyle w:val="Hyperlink"/>
                <w:rFonts w:ascii="Verdana" w:hAnsi="Verdana"/>
                <w:b/>
                <w:bCs/>
              </w:rPr>
            </w:pPr>
            <w:r w:rsidRPr="00F86CC5">
              <w:rPr>
                <w:rFonts w:ascii="Verdana" w:hAnsi="Verdana"/>
                <w:b/>
                <w:bCs/>
              </w:rPr>
              <w:t>PeopleSafe -</w:t>
            </w:r>
            <w:r w:rsidR="00913370" w:rsidRPr="00F86CC5">
              <w:rPr>
                <w:rFonts w:ascii="Verdana" w:hAnsi="Verdana"/>
                <w:b/>
                <w:bCs/>
              </w:rPr>
              <w:t xml:space="preserve"> </w:t>
            </w:r>
            <w:r w:rsidR="00F50F1E" w:rsidRPr="00F86CC5">
              <w:rPr>
                <w:rFonts w:ascii="Verdana" w:hAnsi="Verdana"/>
                <w:b/>
                <w:bCs/>
              </w:rPr>
              <w:t>Test Claim Populate from Existing Entry</w:t>
            </w:r>
          </w:p>
          <w:p w14:paraId="41FA35BC" w14:textId="6FEACF0F" w:rsidR="009B1E29" w:rsidRPr="00F86CC5" w:rsidRDefault="009B1E29">
            <w:pPr>
              <w:spacing w:before="120" w:after="120"/>
              <w:rPr>
                <w:rFonts w:ascii="Verdana" w:hAnsi="Verdana"/>
              </w:rPr>
            </w:pPr>
            <w:hyperlink r:id="rId18" w:anchor="!/view?docid=c5f33a2d-1db6-4b31-8a9e-e079d7cbfc1d" w:history="1">
              <w:r w:rsidRPr="00F86CC5">
                <w:rPr>
                  <w:rStyle w:val="Hyperlink"/>
                  <w:rFonts w:ascii="Verdana" w:hAnsi="Verdana"/>
                </w:rPr>
                <w:t>TSRC-PROD-031770</w:t>
              </w:r>
            </w:hyperlink>
          </w:p>
        </w:tc>
        <w:tc>
          <w:tcPr>
            <w:tcW w:w="2900" w:type="pct"/>
            <w:tcBorders>
              <w:top w:val="nil"/>
              <w:left w:val="nil"/>
              <w:bottom w:val="single" w:sz="8" w:space="0" w:color="auto"/>
              <w:right w:val="single" w:sz="8" w:space="0" w:color="auto"/>
            </w:tcBorders>
            <w:tcMar>
              <w:top w:w="0" w:type="dxa"/>
              <w:left w:w="108" w:type="dxa"/>
              <w:bottom w:w="0" w:type="dxa"/>
              <w:right w:w="108" w:type="dxa"/>
            </w:tcMar>
            <w:hideMark/>
          </w:tcPr>
          <w:p w14:paraId="239CA26E" w14:textId="37CD49DA" w:rsidR="009B1E29" w:rsidRPr="00F86CC5" w:rsidRDefault="007E39C0">
            <w:pPr>
              <w:spacing w:before="120" w:after="120"/>
              <w:rPr>
                <w:rFonts w:ascii="Verdana" w:hAnsi="Verdana"/>
              </w:rPr>
            </w:pPr>
            <w:r w:rsidRPr="00F86CC5">
              <w:rPr>
                <w:rFonts w:ascii="Verdana" w:hAnsi="Verdana"/>
              </w:rPr>
              <w:t>P</w:t>
            </w:r>
            <w:r w:rsidR="009B1E29" w:rsidRPr="00F86CC5">
              <w:rPr>
                <w:rFonts w:ascii="Verdana" w:hAnsi="Verdana"/>
              </w:rPr>
              <w:t>rovides steps on how to populate a Test Claim from an existing entry without having to create a new test claim</w:t>
            </w:r>
          </w:p>
        </w:tc>
      </w:tr>
      <w:tr w:rsidR="002A1B70" w:rsidRPr="00F86CC5" w14:paraId="0CCCD292" w14:textId="77777777" w:rsidTr="00BB6A60">
        <w:tc>
          <w:tcPr>
            <w:tcW w:w="21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C661E36" w14:textId="4D28916C" w:rsidR="009B1E29" w:rsidRPr="00F86CC5" w:rsidRDefault="00651E29" w:rsidP="00F50F1E">
            <w:pPr>
              <w:spacing w:before="120" w:after="120"/>
              <w:rPr>
                <w:rStyle w:val="Hyperlink"/>
                <w:rFonts w:ascii="Verdana" w:hAnsi="Verdana"/>
                <w:b/>
                <w:bCs/>
              </w:rPr>
            </w:pPr>
            <w:r w:rsidRPr="00F86CC5">
              <w:rPr>
                <w:rFonts w:ascii="Verdana" w:hAnsi="Verdana"/>
                <w:b/>
                <w:bCs/>
              </w:rPr>
              <w:t xml:space="preserve">PeopleSafe - </w:t>
            </w:r>
            <w:r w:rsidR="00F50F1E" w:rsidRPr="00F86CC5">
              <w:rPr>
                <w:rFonts w:ascii="Verdana" w:hAnsi="Verdana"/>
                <w:b/>
                <w:bCs/>
              </w:rPr>
              <w:t>Test Claim Processing with an Inactive NDC</w:t>
            </w:r>
          </w:p>
          <w:p w14:paraId="2F2964F0" w14:textId="72653A19" w:rsidR="009B1E29" w:rsidRPr="00F86CC5" w:rsidRDefault="009B1E29">
            <w:pPr>
              <w:spacing w:before="120" w:after="120"/>
              <w:rPr>
                <w:rFonts w:ascii="Verdana" w:hAnsi="Verdana"/>
              </w:rPr>
            </w:pPr>
            <w:hyperlink r:id="rId19" w:anchor="!/view?docid=e59170ca-634e-472a-9a63-8f4af6097a9e" w:history="1">
              <w:r w:rsidRPr="00F86CC5">
                <w:rPr>
                  <w:rStyle w:val="Hyperlink"/>
                  <w:rFonts w:ascii="Verdana" w:hAnsi="Verdana"/>
                </w:rPr>
                <w:t>TSRC-PROD-031768</w:t>
              </w:r>
            </w:hyperlink>
          </w:p>
        </w:tc>
        <w:tc>
          <w:tcPr>
            <w:tcW w:w="2900" w:type="pct"/>
            <w:tcBorders>
              <w:top w:val="nil"/>
              <w:left w:val="nil"/>
              <w:bottom w:val="single" w:sz="8" w:space="0" w:color="auto"/>
              <w:right w:val="single" w:sz="8" w:space="0" w:color="auto"/>
            </w:tcBorders>
            <w:tcMar>
              <w:top w:w="0" w:type="dxa"/>
              <w:left w:w="108" w:type="dxa"/>
              <w:bottom w:w="0" w:type="dxa"/>
              <w:right w:w="108" w:type="dxa"/>
            </w:tcMar>
            <w:hideMark/>
          </w:tcPr>
          <w:p w14:paraId="6ADBC977" w14:textId="55BA0169" w:rsidR="009B1E29" w:rsidRPr="00F86CC5" w:rsidRDefault="007E39C0">
            <w:pPr>
              <w:spacing w:before="120" w:after="120"/>
              <w:rPr>
                <w:rFonts w:ascii="Verdana" w:hAnsi="Verdana"/>
              </w:rPr>
            </w:pPr>
            <w:r w:rsidRPr="00F86CC5">
              <w:rPr>
                <w:rFonts w:ascii="Verdana" w:hAnsi="Verdana"/>
              </w:rPr>
              <w:t>U</w:t>
            </w:r>
            <w:r w:rsidR="009B1E29" w:rsidRPr="00F86CC5">
              <w:rPr>
                <w:rFonts w:ascii="Verdana" w:hAnsi="Verdana"/>
              </w:rPr>
              <w:t>sed when a pharmacist is calling in and processing a prescription with an inactive NDC</w:t>
            </w:r>
          </w:p>
        </w:tc>
      </w:tr>
      <w:tr w:rsidR="002A1B70" w:rsidRPr="00F86CC5" w14:paraId="2686487A" w14:textId="77777777" w:rsidTr="00BB6A60">
        <w:tc>
          <w:tcPr>
            <w:tcW w:w="21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E73E7E" w14:textId="52C7311B" w:rsidR="009B1E29" w:rsidRPr="00F86CC5" w:rsidRDefault="00F50F1E" w:rsidP="00F50F1E">
            <w:pPr>
              <w:spacing w:before="120" w:after="120"/>
              <w:rPr>
                <w:rStyle w:val="Hyperlink"/>
                <w:rFonts w:ascii="Verdana" w:hAnsi="Verdana"/>
                <w:b/>
                <w:bCs/>
              </w:rPr>
            </w:pPr>
            <w:r w:rsidRPr="00F86CC5">
              <w:rPr>
                <w:rFonts w:ascii="Verdana" w:hAnsi="Verdana"/>
                <w:b/>
                <w:bCs/>
              </w:rPr>
              <w:t>Test Claim Reasons Why It Was Rejected</w:t>
            </w:r>
          </w:p>
          <w:p w14:paraId="42BF6E6B" w14:textId="406E3806" w:rsidR="009B1E29" w:rsidRPr="00F86CC5" w:rsidRDefault="009B1E29">
            <w:pPr>
              <w:spacing w:before="120" w:after="120"/>
              <w:rPr>
                <w:rFonts w:ascii="Verdana" w:hAnsi="Verdana"/>
              </w:rPr>
            </w:pPr>
            <w:hyperlink r:id="rId20" w:anchor="!/view?docid=0f0e7b3c-0522-4477-9b3f-8c3a71f09d6a" w:history="1">
              <w:r w:rsidRPr="00F86CC5">
                <w:rPr>
                  <w:rStyle w:val="Hyperlink"/>
                  <w:rFonts w:ascii="Verdana" w:hAnsi="Verdana"/>
                </w:rPr>
                <w:t>TSRC-PROD-031771</w:t>
              </w:r>
            </w:hyperlink>
          </w:p>
        </w:tc>
        <w:tc>
          <w:tcPr>
            <w:tcW w:w="2900" w:type="pct"/>
            <w:tcBorders>
              <w:top w:val="nil"/>
              <w:left w:val="nil"/>
              <w:bottom w:val="single" w:sz="8" w:space="0" w:color="auto"/>
              <w:right w:val="single" w:sz="8" w:space="0" w:color="auto"/>
            </w:tcBorders>
            <w:tcMar>
              <w:top w:w="0" w:type="dxa"/>
              <w:left w:w="108" w:type="dxa"/>
              <w:bottom w:w="0" w:type="dxa"/>
              <w:right w:w="108" w:type="dxa"/>
            </w:tcMar>
            <w:hideMark/>
          </w:tcPr>
          <w:p w14:paraId="0C39F55B" w14:textId="079AB90E" w:rsidR="009B1E29" w:rsidRPr="00F86CC5" w:rsidRDefault="007E39C0">
            <w:pPr>
              <w:spacing w:before="120" w:after="120"/>
              <w:rPr>
                <w:rFonts w:ascii="Verdana" w:hAnsi="Verdana"/>
              </w:rPr>
            </w:pPr>
            <w:r w:rsidRPr="00F86CC5">
              <w:rPr>
                <w:rFonts w:ascii="Verdana" w:hAnsi="Verdana"/>
              </w:rPr>
              <w:t>P</w:t>
            </w:r>
            <w:r w:rsidR="009B1E29" w:rsidRPr="00F86CC5">
              <w:rPr>
                <w:rFonts w:ascii="Verdana" w:hAnsi="Verdana"/>
              </w:rPr>
              <w:t>rovides reason why the Test Claim was rejected and how to resolve the issue</w:t>
            </w:r>
          </w:p>
        </w:tc>
      </w:tr>
      <w:tr w:rsidR="3EBBE432" w:rsidRPr="00F86CC5" w14:paraId="768893CE" w14:textId="77777777" w:rsidTr="00BB6A60">
        <w:trPr>
          <w:trHeight w:val="300"/>
        </w:trPr>
        <w:tc>
          <w:tcPr>
            <w:tcW w:w="21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1FC5146" w14:textId="76B866A8" w:rsidR="50F47A8C" w:rsidRPr="00F86CC5" w:rsidRDefault="00630332" w:rsidP="001B04DC">
            <w:pPr>
              <w:pStyle w:val="Heading1"/>
              <w:spacing w:after="0"/>
              <w:rPr>
                <w:rFonts w:ascii="Verdana" w:eastAsia="Verdana" w:hAnsi="Verdana" w:cs="Verdana"/>
                <w:b w:val="0"/>
                <w:bCs/>
                <w:color w:val="000000" w:themeColor="text1"/>
                <w:sz w:val="24"/>
                <w:szCs w:val="24"/>
              </w:rPr>
            </w:pPr>
            <w:r w:rsidRPr="00F86CC5">
              <w:rPr>
                <w:rFonts w:ascii="Verdana" w:eastAsia="Verdana" w:hAnsi="Verdana" w:cs="Verdana"/>
                <w:bCs/>
                <w:noProof/>
                <w:color w:val="000000" w:themeColor="text1"/>
                <w:sz w:val="24"/>
                <w:szCs w:val="24"/>
              </w:rPr>
              <w:drawing>
                <wp:inline distT="0" distB="0" distL="0" distR="0" wp14:anchorId="1B4739F6" wp14:editId="168760D2">
                  <wp:extent cx="304762" cy="304762"/>
                  <wp:effectExtent l="0" t="0" r="635" b="635"/>
                  <wp:docPr id="3620543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54628" name="Picture 98254628"/>
                          <pic:cNvPicPr/>
                        </pic:nvPicPr>
                        <pic:blipFill>
                          <a:blip r:embed="rId16">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50F47A8C" w:rsidRPr="00F86CC5">
              <w:rPr>
                <w:rFonts w:ascii="Verdana" w:eastAsia="Verdana" w:hAnsi="Verdana" w:cs="Verdana"/>
                <w:bCs/>
                <w:color w:val="000000" w:themeColor="text1"/>
                <w:sz w:val="24"/>
                <w:szCs w:val="24"/>
              </w:rPr>
              <w:t>TiC (Transparency in Coverage) - Cost Estimator Tool</w:t>
            </w:r>
          </w:p>
          <w:p w14:paraId="33454A4F" w14:textId="3AF10A01" w:rsidR="3EBBE432" w:rsidRPr="00F86CC5" w:rsidRDefault="3EBBE432" w:rsidP="3EBBE432">
            <w:pPr>
              <w:rPr>
                <w:rFonts w:ascii="Verdana" w:hAnsi="Verdana"/>
                <w:b/>
                <w:bCs/>
              </w:rPr>
            </w:pPr>
          </w:p>
          <w:p w14:paraId="4AF32316" w14:textId="0A5ACBA7" w:rsidR="50F47A8C" w:rsidRPr="00F86CC5" w:rsidRDefault="50F47A8C" w:rsidP="3EBBE432">
            <w:pPr>
              <w:rPr>
                <w:rFonts w:ascii="Verdana" w:eastAsia="Verdana" w:hAnsi="Verdana" w:cs="Verdana"/>
              </w:rPr>
            </w:pPr>
            <w:hyperlink r:id="rId21" w:anchor="!/view?docid=7d37a103-40ad-459a-b8c8-8c4a1d2c915d" w:history="1">
              <w:r w:rsidRPr="00F86CC5">
                <w:rPr>
                  <w:rStyle w:val="Hyperlink"/>
                  <w:rFonts w:ascii="Verdana" w:eastAsia="Helvetica" w:hAnsi="Verdana" w:cs="Helvetica"/>
                </w:rPr>
                <w:t>TSRC-PROD-062004</w:t>
              </w:r>
            </w:hyperlink>
          </w:p>
        </w:tc>
        <w:tc>
          <w:tcPr>
            <w:tcW w:w="2900" w:type="pct"/>
            <w:tcBorders>
              <w:top w:val="nil"/>
              <w:left w:val="nil"/>
              <w:bottom w:val="single" w:sz="8" w:space="0" w:color="auto"/>
              <w:right w:val="single" w:sz="8" w:space="0" w:color="auto"/>
            </w:tcBorders>
            <w:tcMar>
              <w:top w:w="0" w:type="dxa"/>
              <w:left w:w="108" w:type="dxa"/>
              <w:bottom w:w="0" w:type="dxa"/>
              <w:right w:w="108" w:type="dxa"/>
            </w:tcMar>
            <w:hideMark/>
          </w:tcPr>
          <w:p w14:paraId="5C247D45" w14:textId="6F0183C0" w:rsidR="79C2B192" w:rsidRPr="00F86CC5" w:rsidRDefault="79C2B192" w:rsidP="3EBBE432">
            <w:pPr>
              <w:rPr>
                <w:rFonts w:ascii="Verdana" w:hAnsi="Verdana"/>
              </w:rPr>
            </w:pPr>
            <w:r w:rsidRPr="00F86CC5">
              <w:rPr>
                <w:rFonts w:ascii="Verdana" w:hAnsi="Verdana"/>
              </w:rPr>
              <w:t xml:space="preserve">Provides instructions on how and when to generate a Transparency in Coverage letter </w:t>
            </w:r>
          </w:p>
        </w:tc>
      </w:tr>
      <w:tr w:rsidR="002A1B70" w:rsidRPr="00F86CC5" w14:paraId="391B75D6" w14:textId="77777777" w:rsidTr="00BB6A60">
        <w:tc>
          <w:tcPr>
            <w:tcW w:w="21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4AC8049" w14:textId="3EB3AF93" w:rsidR="009B1E29" w:rsidRPr="00F86CC5" w:rsidRDefault="00F50F1E" w:rsidP="00F50F1E">
            <w:pPr>
              <w:spacing w:before="120" w:after="120"/>
              <w:rPr>
                <w:rStyle w:val="Hyperlink"/>
                <w:rFonts w:ascii="Verdana" w:hAnsi="Verdana"/>
                <w:b/>
                <w:bCs/>
              </w:rPr>
            </w:pPr>
            <w:bookmarkStart w:id="5" w:name="OLE_LINK9"/>
            <w:bookmarkStart w:id="6" w:name="OLE_LINK72"/>
            <w:r w:rsidRPr="00F86CC5">
              <w:rPr>
                <w:rFonts w:ascii="Verdana" w:hAnsi="Verdana"/>
                <w:b/>
                <w:bCs/>
              </w:rPr>
              <w:t>Using Universal IDs for Test Claims in PeopleSafe</w:t>
            </w:r>
          </w:p>
          <w:bookmarkEnd w:id="5"/>
          <w:p w14:paraId="6E5AD5A5" w14:textId="1757CBA8" w:rsidR="009B1E29" w:rsidRPr="00F86CC5" w:rsidRDefault="00F50F1E">
            <w:pPr>
              <w:spacing w:before="120" w:after="120"/>
              <w:rPr>
                <w:rFonts w:ascii="Verdana" w:hAnsi="Verdana"/>
              </w:rPr>
            </w:pPr>
            <w:r w:rsidRPr="00F86CC5">
              <w:rPr>
                <w:rFonts w:ascii="Verdana" w:hAnsi="Verdana"/>
              </w:rPr>
              <w:fldChar w:fldCharType="begin"/>
            </w:r>
            <w:r w:rsidRPr="00F86CC5">
              <w:rPr>
                <w:rFonts w:ascii="Verdana" w:hAnsi="Verdana"/>
              </w:rPr>
              <w:instrText xml:space="preserve"> HYPERLINK "https://thesource.cvshealth.com/nuxeo/thesource/" \l "!/view?docid=93b4894f-a537-484c-b4ca-3db1861884c7" </w:instrText>
            </w:r>
            <w:r w:rsidRPr="00F86CC5">
              <w:rPr>
                <w:rFonts w:ascii="Verdana" w:hAnsi="Verdana"/>
              </w:rPr>
            </w:r>
            <w:r w:rsidRPr="00F86CC5">
              <w:rPr>
                <w:rFonts w:ascii="Verdana" w:hAnsi="Verdana"/>
              </w:rPr>
              <w:fldChar w:fldCharType="separate"/>
            </w:r>
            <w:r w:rsidRPr="00F86CC5">
              <w:rPr>
                <w:rStyle w:val="Hyperlink"/>
                <w:rFonts w:ascii="Verdana" w:hAnsi="Verdana"/>
              </w:rPr>
              <w:t>TSRC-PROD-000666</w:t>
            </w:r>
            <w:r w:rsidRPr="00F86CC5">
              <w:rPr>
                <w:rFonts w:ascii="Verdana" w:hAnsi="Verdana"/>
              </w:rPr>
              <w:fldChar w:fldCharType="end"/>
            </w:r>
          </w:p>
        </w:tc>
        <w:tc>
          <w:tcPr>
            <w:tcW w:w="2900" w:type="pct"/>
            <w:tcBorders>
              <w:top w:val="nil"/>
              <w:left w:val="nil"/>
              <w:bottom w:val="single" w:sz="8" w:space="0" w:color="auto"/>
              <w:right w:val="single" w:sz="8" w:space="0" w:color="auto"/>
            </w:tcBorders>
            <w:tcMar>
              <w:top w:w="0" w:type="dxa"/>
              <w:left w:w="108" w:type="dxa"/>
              <w:bottom w:w="0" w:type="dxa"/>
              <w:right w:w="108" w:type="dxa"/>
            </w:tcMar>
            <w:hideMark/>
          </w:tcPr>
          <w:p w14:paraId="2FE9D84B" w14:textId="4075F091" w:rsidR="009B1E29" w:rsidRPr="00F86CC5" w:rsidRDefault="007E39C0">
            <w:pPr>
              <w:spacing w:before="120" w:after="120"/>
              <w:rPr>
                <w:rFonts w:ascii="Verdana" w:hAnsi="Verdana"/>
              </w:rPr>
            </w:pPr>
            <w:r w:rsidRPr="00F86CC5">
              <w:rPr>
                <w:rFonts w:ascii="Verdana" w:hAnsi="Verdana"/>
                <w:color w:val="000000"/>
                <w:shd w:val="clear" w:color="auto" w:fill="FFFFFF"/>
              </w:rPr>
              <w:t>I</w:t>
            </w:r>
            <w:r w:rsidR="009B1E29" w:rsidRPr="00F86CC5">
              <w:rPr>
                <w:rFonts w:ascii="Verdana" w:hAnsi="Verdana"/>
                <w:color w:val="000000"/>
                <w:shd w:val="clear" w:color="auto" w:fill="FFFFFF"/>
              </w:rPr>
              <w:t>nstructs on how to use Universal IDs for test claims in PeopleSafe</w:t>
            </w:r>
          </w:p>
        </w:tc>
      </w:tr>
      <w:tr w:rsidR="00C87465" w:rsidRPr="00F86CC5" w14:paraId="2DBABCFE" w14:textId="77777777" w:rsidTr="00BB6A60">
        <w:tc>
          <w:tcPr>
            <w:tcW w:w="2100" w:type="pct"/>
            <w:tcBorders>
              <w:top w:val="nil"/>
              <w:left w:val="single" w:sz="8" w:space="0" w:color="auto"/>
              <w:bottom w:val="single" w:sz="8" w:space="0" w:color="auto"/>
              <w:right w:val="single" w:sz="8" w:space="0" w:color="auto"/>
            </w:tcBorders>
            <w:tcMar>
              <w:top w:w="0" w:type="dxa"/>
              <w:left w:w="108" w:type="dxa"/>
              <w:bottom w:w="0" w:type="dxa"/>
              <w:right w:w="108" w:type="dxa"/>
            </w:tcMar>
          </w:tcPr>
          <w:p w14:paraId="1120E1D0" w14:textId="30F579A1" w:rsidR="00C87465" w:rsidRPr="00F86CC5" w:rsidRDefault="00913370" w:rsidP="00C87465">
            <w:pPr>
              <w:spacing w:before="120" w:after="120"/>
              <w:rPr>
                <w:rFonts w:ascii="Verdana" w:hAnsi="Verdana" w:cs="Helvetica"/>
                <w:b/>
                <w:bCs/>
                <w:color w:val="000000"/>
                <w:shd w:val="clear" w:color="auto" w:fill="FFFFFF"/>
              </w:rPr>
            </w:pPr>
            <w:r w:rsidRPr="00F86CC5">
              <w:rPr>
                <w:rFonts w:ascii="Verdana" w:hAnsi="Verdana"/>
                <w:b/>
                <w:bCs/>
              </w:rPr>
              <w:t xml:space="preserve">PeopleSafe - </w:t>
            </w:r>
            <w:r w:rsidR="00C87465" w:rsidRPr="00F86CC5">
              <w:rPr>
                <w:rFonts w:ascii="Verdana" w:hAnsi="Verdana" w:cs="Helvetica"/>
                <w:b/>
                <w:bCs/>
                <w:color w:val="000000"/>
                <w:shd w:val="clear" w:color="auto" w:fill="FFFFFF"/>
              </w:rPr>
              <w:t>Viewing the Client Financials Screen in PeopleSafe</w:t>
            </w:r>
          </w:p>
          <w:p w14:paraId="576D06D2" w14:textId="7F9778E8" w:rsidR="00C87465" w:rsidRPr="00F86CC5" w:rsidRDefault="00C87465" w:rsidP="00C87465">
            <w:pPr>
              <w:spacing w:before="120" w:after="120"/>
              <w:rPr>
                <w:rFonts w:ascii="Verdana" w:hAnsi="Verdana"/>
                <w:b/>
                <w:bCs/>
              </w:rPr>
            </w:pPr>
            <w:hyperlink r:id="rId22" w:anchor="!/view?docid=ec123c65-c6d3-4876-9be8-10376d16de4e" w:history="1">
              <w:r w:rsidRPr="00F86CC5">
                <w:rPr>
                  <w:rStyle w:val="Hyperlink"/>
                  <w:rFonts w:ascii="Verdana" w:hAnsi="Verdana" w:cs="Helvetica"/>
                  <w:shd w:val="clear" w:color="auto" w:fill="FFFFFF"/>
                </w:rPr>
                <w:t>TSRC-PROD-018520</w:t>
              </w:r>
            </w:hyperlink>
          </w:p>
        </w:tc>
        <w:tc>
          <w:tcPr>
            <w:tcW w:w="2900" w:type="pct"/>
            <w:tcBorders>
              <w:top w:val="nil"/>
              <w:left w:val="nil"/>
              <w:bottom w:val="single" w:sz="8" w:space="0" w:color="auto"/>
              <w:right w:val="single" w:sz="8" w:space="0" w:color="auto"/>
            </w:tcBorders>
            <w:tcMar>
              <w:top w:w="0" w:type="dxa"/>
              <w:left w:w="108" w:type="dxa"/>
              <w:bottom w:w="0" w:type="dxa"/>
              <w:right w:w="108" w:type="dxa"/>
            </w:tcMar>
          </w:tcPr>
          <w:p w14:paraId="0CAB9689" w14:textId="11F9C8FE" w:rsidR="00C87465" w:rsidRPr="00F86CC5" w:rsidRDefault="00A958A5">
            <w:pPr>
              <w:spacing w:before="120" w:after="120"/>
              <w:rPr>
                <w:rFonts w:ascii="Verdana" w:hAnsi="Verdana"/>
                <w:color w:val="000000"/>
                <w:shd w:val="clear" w:color="auto" w:fill="FFFFFF"/>
              </w:rPr>
            </w:pPr>
            <w:r w:rsidRPr="00F86CC5">
              <w:rPr>
                <w:rFonts w:ascii="Verdana" w:hAnsi="Verdana" w:cs="Helvetica"/>
                <w:color w:val="333333"/>
                <w:shd w:val="clear" w:color="auto" w:fill="FFFFFF"/>
              </w:rPr>
              <w:t>D</w:t>
            </w:r>
            <w:r w:rsidR="00C87465" w:rsidRPr="00F86CC5">
              <w:rPr>
                <w:rFonts w:ascii="Verdana" w:hAnsi="Verdana" w:cs="Helvetica"/>
                <w:color w:val="333333"/>
                <w:shd w:val="clear" w:color="auto" w:fill="FFFFFF"/>
              </w:rPr>
              <w:t>etails regarding the Client Financials screen. It displays the payment breakdown for each adjudicated (processed) prescription claim. The information on this screen can be helpful when explaining the member’s cost for the prescription and how the prescription cost was applied toward the member’s accumulators (if any).</w:t>
            </w:r>
          </w:p>
        </w:tc>
      </w:tr>
    </w:tbl>
    <w:p w14:paraId="1BE604E0" w14:textId="77777777" w:rsidR="00EF367D" w:rsidRPr="000C05CE" w:rsidRDefault="00EF367D" w:rsidP="00CA4A04">
      <w:pPr>
        <w:spacing w:before="120" w:after="120"/>
        <w:rPr>
          <w:rFonts w:ascii="Verdana" w:hAnsi="Verdana"/>
        </w:rPr>
      </w:pPr>
      <w:bookmarkStart w:id="7" w:name="_Hlk75760717"/>
      <w:bookmarkStart w:id="8" w:name="_Hlk75760658"/>
      <w:bookmarkEnd w:id="6"/>
    </w:p>
    <w:p w14:paraId="77DF39B4" w14:textId="59FF0470" w:rsidR="009A4A14" w:rsidRPr="000C05CE" w:rsidRDefault="00DD15E3" w:rsidP="007E39C0">
      <w:pPr>
        <w:spacing w:before="120" w:after="120"/>
        <w:jc w:val="right"/>
        <w:rPr>
          <w:rFonts w:ascii="Verdana" w:hAnsi="Verdana"/>
        </w:rPr>
      </w:pPr>
      <w:hyperlink w:anchor="_top" w:history="1">
        <w:r w:rsidRPr="000C05CE">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9A4A14" w:rsidRPr="000C05CE" w14:paraId="5959B601" w14:textId="77777777" w:rsidTr="00C66B1B">
        <w:tc>
          <w:tcPr>
            <w:tcW w:w="5000" w:type="pct"/>
            <w:shd w:val="clear" w:color="auto" w:fill="C0C0C0"/>
          </w:tcPr>
          <w:p w14:paraId="49B5AA79" w14:textId="77777777" w:rsidR="009A4A14" w:rsidRPr="007E39C0" w:rsidRDefault="009A4A14" w:rsidP="007E39C0">
            <w:pPr>
              <w:pStyle w:val="Heading2"/>
              <w:spacing w:before="120" w:after="120"/>
              <w:rPr>
                <w:rFonts w:ascii="Verdana" w:hAnsi="Verdana"/>
                <w:i w:val="0"/>
                <w:iCs w:val="0"/>
                <w:sz w:val="24"/>
                <w:szCs w:val="24"/>
              </w:rPr>
            </w:pPr>
            <w:bookmarkStart w:id="9" w:name="_Toc95129664"/>
            <w:r w:rsidRPr="007E39C0">
              <w:rPr>
                <w:rFonts w:ascii="Verdana" w:hAnsi="Verdana"/>
                <w:i w:val="0"/>
                <w:iCs w:val="0"/>
                <w:sz w:val="24"/>
                <w:szCs w:val="24"/>
              </w:rPr>
              <w:t>Related Documents</w:t>
            </w:r>
            <w:bookmarkEnd w:id="9"/>
          </w:p>
        </w:tc>
      </w:tr>
    </w:tbl>
    <w:bookmarkEnd w:id="7"/>
    <w:p w14:paraId="0903296C" w14:textId="46F5CC85" w:rsidR="00D01A14" w:rsidRPr="000C05CE" w:rsidRDefault="004A2651" w:rsidP="007E39C0">
      <w:pPr>
        <w:spacing w:before="120" w:after="120"/>
        <w:rPr>
          <w:rStyle w:val="Hyperlink"/>
          <w:rFonts w:ascii="Verdana" w:hAnsi="Verdana"/>
        </w:rPr>
      </w:pPr>
      <w:r w:rsidRPr="007E39C0">
        <w:fldChar w:fldCharType="begin"/>
      </w:r>
      <w:r w:rsidR="005B4B8E">
        <w:instrText>HYPERLINK "https://thesource.cvshealth.com/nuxeo/thesource/" \l "!/view?docid=c1f1028b-e42c-4b4f-a4cf-cc0b42c91606"</w:instrText>
      </w:r>
      <w:r w:rsidRPr="007E39C0">
        <w:fldChar w:fldCharType="separate"/>
      </w:r>
      <w:r w:rsidR="00C40D15">
        <w:rPr>
          <w:rStyle w:val="Hyperlink"/>
          <w:rFonts w:ascii="Verdana" w:hAnsi="Verdana"/>
        </w:rPr>
        <w:t>Customer Care Abbreviations, Definitions, and Terms (017428)</w:t>
      </w:r>
      <w:r w:rsidRPr="007E39C0">
        <w:rPr>
          <w:rStyle w:val="Hyperlink"/>
          <w:rFonts w:ascii="Verdana" w:hAnsi="Verdana"/>
        </w:rPr>
        <w:fldChar w:fldCharType="end"/>
      </w:r>
    </w:p>
    <w:bookmarkStart w:id="10" w:name="_Hlk75760682"/>
    <w:bookmarkEnd w:id="8"/>
    <w:p w14:paraId="5FEF4C98" w14:textId="27AF94C5" w:rsidR="00A97B7D" w:rsidRPr="000C05CE" w:rsidRDefault="006C36FF" w:rsidP="007E39C0">
      <w:pPr>
        <w:spacing w:before="120" w:after="120"/>
        <w:jc w:val="right"/>
        <w:rPr>
          <w:rFonts w:ascii="Verdana" w:hAnsi="Verdana"/>
        </w:rPr>
      </w:pPr>
      <w:r w:rsidRPr="007E39C0">
        <w:fldChar w:fldCharType="begin"/>
      </w:r>
      <w:r w:rsidRPr="007E39C0">
        <w:rPr>
          <w:rFonts w:ascii="Verdana" w:hAnsi="Verdana"/>
        </w:rPr>
        <w:instrText xml:space="preserve"> HYPERLINK \l "_top" </w:instrText>
      </w:r>
      <w:r w:rsidRPr="007E39C0">
        <w:fldChar w:fldCharType="separate"/>
      </w:r>
      <w:r w:rsidR="00DD15E3" w:rsidRPr="000C05CE">
        <w:rPr>
          <w:rStyle w:val="Hyperlink"/>
          <w:rFonts w:ascii="Verdana" w:hAnsi="Verdana"/>
        </w:rPr>
        <w:t>Top of the Document</w:t>
      </w:r>
      <w:r w:rsidRPr="007E39C0">
        <w:rPr>
          <w:rStyle w:val="Hyperlink"/>
          <w:rFonts w:ascii="Verdana" w:hAnsi="Verdana"/>
        </w:rPr>
        <w:fldChar w:fldCharType="end"/>
      </w:r>
    </w:p>
    <w:p w14:paraId="7A5A411A" w14:textId="77777777" w:rsidR="009D03D9" w:rsidRPr="007E39C0" w:rsidRDefault="009D03D9" w:rsidP="007E39C0">
      <w:pPr>
        <w:spacing w:after="0"/>
        <w:jc w:val="center"/>
        <w:rPr>
          <w:rFonts w:ascii="Verdana" w:hAnsi="Verdana"/>
          <w:sz w:val="16"/>
          <w:szCs w:val="16"/>
        </w:rPr>
      </w:pPr>
      <w:r w:rsidRPr="007E39C0">
        <w:rPr>
          <w:rFonts w:ascii="Verdana" w:hAnsi="Verdana"/>
          <w:color w:val="000000"/>
          <w:sz w:val="16"/>
          <w:szCs w:val="16"/>
        </w:rPr>
        <w:t xml:space="preserve"> </w:t>
      </w:r>
      <w:r w:rsidRPr="007E39C0">
        <w:rPr>
          <w:rFonts w:ascii="Verdana" w:hAnsi="Verdana"/>
          <w:sz w:val="16"/>
          <w:szCs w:val="16"/>
        </w:rPr>
        <w:t xml:space="preserve">Not </w:t>
      </w:r>
      <w:r w:rsidR="00F11850" w:rsidRPr="007E39C0">
        <w:rPr>
          <w:rFonts w:ascii="Verdana" w:hAnsi="Verdana"/>
          <w:sz w:val="16"/>
          <w:szCs w:val="16"/>
        </w:rPr>
        <w:t>to</w:t>
      </w:r>
      <w:r w:rsidRPr="007E39C0">
        <w:rPr>
          <w:rFonts w:ascii="Verdana" w:hAnsi="Verdana"/>
          <w:sz w:val="16"/>
          <w:szCs w:val="16"/>
        </w:rPr>
        <w:t xml:space="preserve"> Be Reproduced </w:t>
      </w:r>
      <w:r w:rsidR="00F11850" w:rsidRPr="007E39C0">
        <w:rPr>
          <w:rFonts w:ascii="Verdana" w:hAnsi="Verdana"/>
          <w:sz w:val="16"/>
          <w:szCs w:val="16"/>
        </w:rPr>
        <w:t>or</w:t>
      </w:r>
      <w:r w:rsidRPr="007E39C0">
        <w:rPr>
          <w:rFonts w:ascii="Verdana" w:hAnsi="Verdana"/>
          <w:sz w:val="16"/>
          <w:szCs w:val="16"/>
        </w:rPr>
        <w:t xml:space="preserve"> Disclosed to Others </w:t>
      </w:r>
      <w:r w:rsidR="00F11850" w:rsidRPr="007E39C0">
        <w:rPr>
          <w:rFonts w:ascii="Verdana" w:hAnsi="Verdana"/>
          <w:sz w:val="16"/>
          <w:szCs w:val="16"/>
        </w:rPr>
        <w:t>without</w:t>
      </w:r>
      <w:r w:rsidRPr="007E39C0">
        <w:rPr>
          <w:rFonts w:ascii="Verdana" w:hAnsi="Verdana"/>
          <w:sz w:val="16"/>
          <w:szCs w:val="16"/>
        </w:rPr>
        <w:t xml:space="preserve"> Prior Written Approval</w:t>
      </w:r>
    </w:p>
    <w:p w14:paraId="73807322" w14:textId="77777777" w:rsidR="009D03D9" w:rsidRPr="007E39C0" w:rsidRDefault="009D03D9" w:rsidP="007E39C0">
      <w:pPr>
        <w:spacing w:after="0"/>
        <w:jc w:val="center"/>
        <w:rPr>
          <w:rFonts w:ascii="Verdana" w:hAnsi="Verdana"/>
          <w:b/>
          <w:color w:val="000000"/>
          <w:sz w:val="16"/>
          <w:szCs w:val="16"/>
        </w:rPr>
      </w:pPr>
      <w:r w:rsidRPr="007E39C0">
        <w:rPr>
          <w:rFonts w:ascii="Verdana" w:hAnsi="Verdana"/>
          <w:b/>
          <w:color w:val="000000"/>
          <w:sz w:val="16"/>
          <w:szCs w:val="16"/>
        </w:rPr>
        <w:t xml:space="preserve">ELECTRONIC DATA = OFFICIAL VERSION </w:t>
      </w:r>
      <w:r w:rsidR="005F2CCC" w:rsidRPr="007E39C0">
        <w:rPr>
          <w:rFonts w:ascii="Verdana" w:hAnsi="Verdana"/>
          <w:b/>
          <w:color w:val="000000"/>
          <w:sz w:val="16"/>
          <w:szCs w:val="16"/>
        </w:rPr>
        <w:t>/ PAPER COPY =</w:t>
      </w:r>
      <w:r w:rsidRPr="007E39C0">
        <w:rPr>
          <w:rFonts w:ascii="Verdana" w:hAnsi="Verdana"/>
          <w:b/>
          <w:color w:val="000000"/>
          <w:sz w:val="16"/>
          <w:szCs w:val="16"/>
        </w:rPr>
        <w:t xml:space="preserve"> INFORMATIONAL ONLY</w:t>
      </w:r>
    </w:p>
    <w:bookmarkEnd w:id="10"/>
    <w:p w14:paraId="21CDE6C0" w14:textId="77777777" w:rsidR="005F2CCC" w:rsidRPr="007E39C0" w:rsidRDefault="005F2CCC" w:rsidP="007E39C0">
      <w:pPr>
        <w:spacing w:before="120" w:after="120"/>
        <w:jc w:val="center"/>
        <w:rPr>
          <w:rFonts w:ascii="Verdana" w:hAnsi="Verdana"/>
          <w:b/>
          <w:color w:val="000000"/>
        </w:rPr>
      </w:pPr>
    </w:p>
    <w:sectPr w:rsidR="005F2CCC" w:rsidRPr="007E39C0" w:rsidSect="006D4C1A">
      <w:footerReference w:type="even" r:id="rId23"/>
      <w:footerReference w:type="default" r:id="rId24"/>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F37CB0" w14:textId="77777777" w:rsidR="006D4C1A" w:rsidRDefault="006D4C1A">
      <w:r>
        <w:separator/>
      </w:r>
    </w:p>
  </w:endnote>
  <w:endnote w:type="continuationSeparator" w:id="0">
    <w:p w14:paraId="0CA0FD8F" w14:textId="77777777" w:rsidR="006D4C1A" w:rsidRDefault="006D4C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2FA67F" w14:textId="77777777" w:rsidR="00290527" w:rsidRDefault="00290527" w:rsidP="003E1B3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5134B19" w14:textId="77777777" w:rsidR="00290527" w:rsidRDefault="00290527" w:rsidP="00AC315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688694" w14:textId="77777777" w:rsidR="00290527" w:rsidRDefault="00290527" w:rsidP="003E1B3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A4A14">
      <w:rPr>
        <w:rStyle w:val="PageNumber"/>
        <w:noProof/>
      </w:rPr>
      <w:t>2</w:t>
    </w:r>
    <w:r>
      <w:rPr>
        <w:rStyle w:val="PageNumber"/>
      </w:rPr>
      <w:fldChar w:fldCharType="end"/>
    </w:r>
  </w:p>
  <w:p w14:paraId="39FFE4E3" w14:textId="77777777" w:rsidR="00290527" w:rsidRDefault="00290527" w:rsidP="00AC315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C71894" w14:textId="77777777" w:rsidR="006D4C1A" w:rsidRDefault="006D4C1A">
      <w:r>
        <w:separator/>
      </w:r>
    </w:p>
  </w:footnote>
  <w:footnote w:type="continuationSeparator" w:id="0">
    <w:p w14:paraId="6B52D390" w14:textId="77777777" w:rsidR="006D4C1A" w:rsidRDefault="006D4C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D727A"/>
    <w:multiLevelType w:val="multilevel"/>
    <w:tmpl w:val="B8169474"/>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A423141"/>
    <w:multiLevelType w:val="hybridMultilevel"/>
    <w:tmpl w:val="6C5A2EE2"/>
    <w:lvl w:ilvl="0" w:tplc="56DA418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A68701A"/>
    <w:multiLevelType w:val="hybridMultilevel"/>
    <w:tmpl w:val="DA86EF8A"/>
    <w:lvl w:ilvl="0" w:tplc="56DA418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ACA2BB5"/>
    <w:multiLevelType w:val="hybridMultilevel"/>
    <w:tmpl w:val="174288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C7F2874"/>
    <w:multiLevelType w:val="singleLevel"/>
    <w:tmpl w:val="3C84F5D2"/>
    <w:lvl w:ilvl="0">
      <w:start w:val="1"/>
      <w:numFmt w:val="bullet"/>
      <w:pStyle w:val="Dotbullet"/>
      <w:lvlText w:val=""/>
      <w:lvlJc w:val="left"/>
      <w:pPr>
        <w:tabs>
          <w:tab w:val="num" w:pos="360"/>
        </w:tabs>
        <w:ind w:left="360" w:hanging="360"/>
      </w:pPr>
      <w:rPr>
        <w:rFonts w:ascii="Symbol" w:hAnsi="Symbol" w:hint="default"/>
      </w:rPr>
    </w:lvl>
  </w:abstractNum>
  <w:abstractNum w:abstractNumId="5" w15:restartNumberingAfterBreak="0">
    <w:nsid w:val="0EAA3F34"/>
    <w:multiLevelType w:val="hybridMultilevel"/>
    <w:tmpl w:val="CEB6D478"/>
    <w:lvl w:ilvl="0" w:tplc="C5861958">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30559A0"/>
    <w:multiLevelType w:val="hybridMultilevel"/>
    <w:tmpl w:val="1F124C82"/>
    <w:lvl w:ilvl="0" w:tplc="56DA418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20687D15"/>
    <w:multiLevelType w:val="hybridMultilevel"/>
    <w:tmpl w:val="B5260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16550B"/>
    <w:multiLevelType w:val="hybridMultilevel"/>
    <w:tmpl w:val="8B20F0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8204FBF"/>
    <w:multiLevelType w:val="hybridMultilevel"/>
    <w:tmpl w:val="6624E69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424612A"/>
    <w:multiLevelType w:val="hybridMultilevel"/>
    <w:tmpl w:val="B622DDEC"/>
    <w:lvl w:ilvl="0" w:tplc="56DA418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0313699"/>
    <w:multiLevelType w:val="hybridMultilevel"/>
    <w:tmpl w:val="C122A60C"/>
    <w:lvl w:ilvl="0" w:tplc="3B7A2EFA">
      <w:start w:val="1"/>
      <w:numFmt w:val="bullet"/>
      <w:lvlText w:val="o"/>
      <w:lvlJc w:val="left"/>
      <w:pPr>
        <w:tabs>
          <w:tab w:val="num" w:pos="360"/>
        </w:tabs>
        <w:ind w:left="360" w:hanging="360"/>
      </w:pPr>
      <w:rPr>
        <w:rFonts w:ascii="Courier New" w:hAnsi="Courier New"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2" w15:restartNumberingAfterBreak="0">
    <w:nsid w:val="52BA64F8"/>
    <w:multiLevelType w:val="hybridMultilevel"/>
    <w:tmpl w:val="B8169474"/>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73A1940"/>
    <w:multiLevelType w:val="hybridMultilevel"/>
    <w:tmpl w:val="D3527CBC"/>
    <w:lvl w:ilvl="0" w:tplc="56DA418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654D74CA"/>
    <w:multiLevelType w:val="hybridMultilevel"/>
    <w:tmpl w:val="619E67A2"/>
    <w:lvl w:ilvl="0" w:tplc="56DA418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7969097B"/>
    <w:multiLevelType w:val="hybridMultilevel"/>
    <w:tmpl w:val="6248D6E8"/>
    <w:lvl w:ilvl="0" w:tplc="56DA418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16cid:durableId="1172834249">
    <w:abstractNumId w:val="10"/>
  </w:num>
  <w:num w:numId="2" w16cid:durableId="849375623">
    <w:abstractNumId w:val="9"/>
  </w:num>
  <w:num w:numId="3" w16cid:durableId="215707182">
    <w:abstractNumId w:val="12"/>
  </w:num>
  <w:num w:numId="4" w16cid:durableId="383136433">
    <w:abstractNumId w:val="0"/>
  </w:num>
  <w:num w:numId="5" w16cid:durableId="146359581">
    <w:abstractNumId w:val="2"/>
  </w:num>
  <w:num w:numId="6" w16cid:durableId="1257059595">
    <w:abstractNumId w:val="13"/>
  </w:num>
  <w:num w:numId="7" w16cid:durableId="849565085">
    <w:abstractNumId w:val="14"/>
  </w:num>
  <w:num w:numId="8" w16cid:durableId="1106728113">
    <w:abstractNumId w:val="1"/>
  </w:num>
  <w:num w:numId="9" w16cid:durableId="1885408521">
    <w:abstractNumId w:val="15"/>
  </w:num>
  <w:num w:numId="10" w16cid:durableId="1477838171">
    <w:abstractNumId w:val="6"/>
  </w:num>
  <w:num w:numId="11" w16cid:durableId="737168960">
    <w:abstractNumId w:val="4"/>
  </w:num>
  <w:num w:numId="12" w16cid:durableId="1840851378">
    <w:abstractNumId w:val="5"/>
  </w:num>
  <w:num w:numId="13" w16cid:durableId="595476118">
    <w:abstractNumId w:val="3"/>
  </w:num>
  <w:num w:numId="14" w16cid:durableId="1798254359">
    <w:abstractNumId w:val="8"/>
  </w:num>
  <w:num w:numId="15" w16cid:durableId="228729548">
    <w:abstractNumId w:val="11"/>
  </w:num>
  <w:num w:numId="16" w16cid:durableId="114203935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writeProtection w:recommended="1"/>
  <w:view w:val="web"/>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2D64"/>
    <w:rsid w:val="000120E8"/>
    <w:rsid w:val="00015A2E"/>
    <w:rsid w:val="00025CB1"/>
    <w:rsid w:val="00074934"/>
    <w:rsid w:val="000825E5"/>
    <w:rsid w:val="0008665F"/>
    <w:rsid w:val="000B3C4C"/>
    <w:rsid w:val="000C05CE"/>
    <w:rsid w:val="000C311D"/>
    <w:rsid w:val="000C5599"/>
    <w:rsid w:val="000D6714"/>
    <w:rsid w:val="00122012"/>
    <w:rsid w:val="00122B8F"/>
    <w:rsid w:val="00131E49"/>
    <w:rsid w:val="00146D5E"/>
    <w:rsid w:val="001503B9"/>
    <w:rsid w:val="0016273A"/>
    <w:rsid w:val="00182A5F"/>
    <w:rsid w:val="0019353A"/>
    <w:rsid w:val="001A32B4"/>
    <w:rsid w:val="001B04DC"/>
    <w:rsid w:val="001B1FBE"/>
    <w:rsid w:val="001D38A1"/>
    <w:rsid w:val="001D5D68"/>
    <w:rsid w:val="002016B4"/>
    <w:rsid w:val="00215763"/>
    <w:rsid w:val="0024202F"/>
    <w:rsid w:val="002467D2"/>
    <w:rsid w:val="002609A1"/>
    <w:rsid w:val="0026321A"/>
    <w:rsid w:val="00265A08"/>
    <w:rsid w:val="00266693"/>
    <w:rsid w:val="00290527"/>
    <w:rsid w:val="00293370"/>
    <w:rsid w:val="002A1B70"/>
    <w:rsid w:val="002A3CEC"/>
    <w:rsid w:val="002B593E"/>
    <w:rsid w:val="002F102E"/>
    <w:rsid w:val="002F5A53"/>
    <w:rsid w:val="00303F88"/>
    <w:rsid w:val="00356DBE"/>
    <w:rsid w:val="0038070C"/>
    <w:rsid w:val="0038233B"/>
    <w:rsid w:val="00397991"/>
    <w:rsid w:val="003B079F"/>
    <w:rsid w:val="003E1B34"/>
    <w:rsid w:val="003E2A56"/>
    <w:rsid w:val="003E3D95"/>
    <w:rsid w:val="00406DB5"/>
    <w:rsid w:val="00413BA5"/>
    <w:rsid w:val="004173D7"/>
    <w:rsid w:val="00436228"/>
    <w:rsid w:val="00457EAE"/>
    <w:rsid w:val="00460203"/>
    <w:rsid w:val="00485A27"/>
    <w:rsid w:val="004910F7"/>
    <w:rsid w:val="004A2651"/>
    <w:rsid w:val="004B66C6"/>
    <w:rsid w:val="00524CDD"/>
    <w:rsid w:val="00536FF5"/>
    <w:rsid w:val="00540E4C"/>
    <w:rsid w:val="00544465"/>
    <w:rsid w:val="005910B5"/>
    <w:rsid w:val="005A2DE3"/>
    <w:rsid w:val="005B4B8E"/>
    <w:rsid w:val="005F2CCC"/>
    <w:rsid w:val="00622D77"/>
    <w:rsid w:val="006230B5"/>
    <w:rsid w:val="0062346D"/>
    <w:rsid w:val="00630332"/>
    <w:rsid w:val="00636B18"/>
    <w:rsid w:val="00637CA1"/>
    <w:rsid w:val="00651E29"/>
    <w:rsid w:val="00652F46"/>
    <w:rsid w:val="00655B34"/>
    <w:rsid w:val="006A0481"/>
    <w:rsid w:val="006A23D7"/>
    <w:rsid w:val="006C36FF"/>
    <w:rsid w:val="006D4C1A"/>
    <w:rsid w:val="006F581F"/>
    <w:rsid w:val="00702C2E"/>
    <w:rsid w:val="00704AF2"/>
    <w:rsid w:val="0073294A"/>
    <w:rsid w:val="00750920"/>
    <w:rsid w:val="00752801"/>
    <w:rsid w:val="007752BC"/>
    <w:rsid w:val="00786BEB"/>
    <w:rsid w:val="007924BF"/>
    <w:rsid w:val="00797157"/>
    <w:rsid w:val="007A6931"/>
    <w:rsid w:val="007E39C0"/>
    <w:rsid w:val="00806B9D"/>
    <w:rsid w:val="0082021E"/>
    <w:rsid w:val="00827C8A"/>
    <w:rsid w:val="008301A3"/>
    <w:rsid w:val="008739E5"/>
    <w:rsid w:val="00873D09"/>
    <w:rsid w:val="00877414"/>
    <w:rsid w:val="0088113F"/>
    <w:rsid w:val="00882A79"/>
    <w:rsid w:val="00887EEF"/>
    <w:rsid w:val="008C0BCC"/>
    <w:rsid w:val="008C2197"/>
    <w:rsid w:val="008C3493"/>
    <w:rsid w:val="008D11A6"/>
    <w:rsid w:val="008D27A5"/>
    <w:rsid w:val="008D2D64"/>
    <w:rsid w:val="008D46DE"/>
    <w:rsid w:val="008E11B8"/>
    <w:rsid w:val="008E5D28"/>
    <w:rsid w:val="008F32F4"/>
    <w:rsid w:val="008F4B0F"/>
    <w:rsid w:val="00902E07"/>
    <w:rsid w:val="00911B67"/>
    <w:rsid w:val="00913370"/>
    <w:rsid w:val="00925DA0"/>
    <w:rsid w:val="00934DD7"/>
    <w:rsid w:val="00941809"/>
    <w:rsid w:val="0094232F"/>
    <w:rsid w:val="00956E2A"/>
    <w:rsid w:val="00965DD5"/>
    <w:rsid w:val="009847E4"/>
    <w:rsid w:val="009A4A14"/>
    <w:rsid w:val="009B1E29"/>
    <w:rsid w:val="009B3495"/>
    <w:rsid w:val="009B4D41"/>
    <w:rsid w:val="009C0F0E"/>
    <w:rsid w:val="009C55E4"/>
    <w:rsid w:val="009D03D9"/>
    <w:rsid w:val="009D29D8"/>
    <w:rsid w:val="00A141FD"/>
    <w:rsid w:val="00A2791E"/>
    <w:rsid w:val="00A40E31"/>
    <w:rsid w:val="00A44145"/>
    <w:rsid w:val="00A70197"/>
    <w:rsid w:val="00A7166B"/>
    <w:rsid w:val="00A7191A"/>
    <w:rsid w:val="00A82722"/>
    <w:rsid w:val="00A85045"/>
    <w:rsid w:val="00A958A5"/>
    <w:rsid w:val="00A97B7D"/>
    <w:rsid w:val="00AB1D50"/>
    <w:rsid w:val="00AB33E1"/>
    <w:rsid w:val="00AB4BB3"/>
    <w:rsid w:val="00AC2A58"/>
    <w:rsid w:val="00AC3152"/>
    <w:rsid w:val="00AC6059"/>
    <w:rsid w:val="00AD1646"/>
    <w:rsid w:val="00AD5E23"/>
    <w:rsid w:val="00B02E0B"/>
    <w:rsid w:val="00B10BC8"/>
    <w:rsid w:val="00B14282"/>
    <w:rsid w:val="00B24CF8"/>
    <w:rsid w:val="00B26045"/>
    <w:rsid w:val="00B437C0"/>
    <w:rsid w:val="00B45DAC"/>
    <w:rsid w:val="00B46A95"/>
    <w:rsid w:val="00B548B1"/>
    <w:rsid w:val="00B54C9B"/>
    <w:rsid w:val="00B75620"/>
    <w:rsid w:val="00BB371A"/>
    <w:rsid w:val="00BB3834"/>
    <w:rsid w:val="00BB6A60"/>
    <w:rsid w:val="00BC33E0"/>
    <w:rsid w:val="00BD78D8"/>
    <w:rsid w:val="00BF74E9"/>
    <w:rsid w:val="00C03C70"/>
    <w:rsid w:val="00C05C65"/>
    <w:rsid w:val="00C311D3"/>
    <w:rsid w:val="00C3523B"/>
    <w:rsid w:val="00C40D15"/>
    <w:rsid w:val="00C566B3"/>
    <w:rsid w:val="00C65FBD"/>
    <w:rsid w:val="00C67B32"/>
    <w:rsid w:val="00C821ED"/>
    <w:rsid w:val="00C87465"/>
    <w:rsid w:val="00CA4A04"/>
    <w:rsid w:val="00CB0C1D"/>
    <w:rsid w:val="00CD3007"/>
    <w:rsid w:val="00CE0B2F"/>
    <w:rsid w:val="00CE20A5"/>
    <w:rsid w:val="00CE6586"/>
    <w:rsid w:val="00D01A14"/>
    <w:rsid w:val="00D226FE"/>
    <w:rsid w:val="00D36733"/>
    <w:rsid w:val="00D44C7F"/>
    <w:rsid w:val="00D471B5"/>
    <w:rsid w:val="00D5449B"/>
    <w:rsid w:val="00D571DB"/>
    <w:rsid w:val="00D61075"/>
    <w:rsid w:val="00D74426"/>
    <w:rsid w:val="00D76D6A"/>
    <w:rsid w:val="00D82C2E"/>
    <w:rsid w:val="00D85254"/>
    <w:rsid w:val="00D92B56"/>
    <w:rsid w:val="00DB4750"/>
    <w:rsid w:val="00DC5934"/>
    <w:rsid w:val="00DD15E3"/>
    <w:rsid w:val="00E041FD"/>
    <w:rsid w:val="00E1265F"/>
    <w:rsid w:val="00E30B3D"/>
    <w:rsid w:val="00E35B3E"/>
    <w:rsid w:val="00E5095E"/>
    <w:rsid w:val="00E52789"/>
    <w:rsid w:val="00EB52F0"/>
    <w:rsid w:val="00EB57EB"/>
    <w:rsid w:val="00EE3919"/>
    <w:rsid w:val="00EE68E7"/>
    <w:rsid w:val="00EF367D"/>
    <w:rsid w:val="00F11850"/>
    <w:rsid w:val="00F22BA2"/>
    <w:rsid w:val="00F27C5D"/>
    <w:rsid w:val="00F30C73"/>
    <w:rsid w:val="00F50F1E"/>
    <w:rsid w:val="00F51150"/>
    <w:rsid w:val="00F558AA"/>
    <w:rsid w:val="00F67BD0"/>
    <w:rsid w:val="00F67FDD"/>
    <w:rsid w:val="00F859B7"/>
    <w:rsid w:val="00F86918"/>
    <w:rsid w:val="00F86CC5"/>
    <w:rsid w:val="00FB33F6"/>
    <w:rsid w:val="00FC1C44"/>
    <w:rsid w:val="00FC49D1"/>
    <w:rsid w:val="00FD0FDA"/>
    <w:rsid w:val="00FE5962"/>
    <w:rsid w:val="088CCF20"/>
    <w:rsid w:val="0EFC10A4"/>
    <w:rsid w:val="1DA3618F"/>
    <w:rsid w:val="265C1088"/>
    <w:rsid w:val="29D9D729"/>
    <w:rsid w:val="2E87D2AE"/>
    <w:rsid w:val="34975366"/>
    <w:rsid w:val="34E748E6"/>
    <w:rsid w:val="3EBBE432"/>
    <w:rsid w:val="483172D8"/>
    <w:rsid w:val="4C780A4C"/>
    <w:rsid w:val="4F2E3FE9"/>
    <w:rsid w:val="4F758C7B"/>
    <w:rsid w:val="50F47A8C"/>
    <w:rsid w:val="52DEA0B0"/>
    <w:rsid w:val="5DD71D29"/>
    <w:rsid w:val="62AA8E4C"/>
    <w:rsid w:val="6F052632"/>
    <w:rsid w:val="75371D0D"/>
    <w:rsid w:val="79C2B192"/>
    <w:rsid w:val="7AC275AF"/>
    <w:rsid w:val="7BC70ED2"/>
    <w:rsid w:val="7EFEAF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214698F"/>
  <w15:chartTrackingRefBased/>
  <w15:docId w15:val="{93066A54-14E7-4293-AAE3-3B159A6AD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pPr>
        <w:spacing w:after="80"/>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37CA1"/>
    <w:rPr>
      <w:sz w:val="24"/>
      <w:szCs w:val="24"/>
    </w:rPr>
  </w:style>
  <w:style w:type="paragraph" w:styleId="Heading1">
    <w:name w:val="heading 1"/>
    <w:basedOn w:val="Normal"/>
    <w:next w:val="Heading4"/>
    <w:link w:val="Heading1Char"/>
    <w:qFormat/>
    <w:rsid w:val="00524CDD"/>
    <w:pPr>
      <w:spacing w:after="240"/>
      <w:outlineLvl w:val="0"/>
    </w:pPr>
    <w:rPr>
      <w:rFonts w:ascii="Arial" w:hAnsi="Arial" w:cs="Arial"/>
      <w:b/>
      <w:color w:val="FF9900"/>
      <w:sz w:val="32"/>
      <w:szCs w:val="20"/>
    </w:rPr>
  </w:style>
  <w:style w:type="paragraph" w:styleId="Heading2">
    <w:name w:val="heading 2"/>
    <w:basedOn w:val="Normal"/>
    <w:next w:val="Normal"/>
    <w:link w:val="Heading2Char"/>
    <w:qFormat/>
    <w:rsid w:val="00BF74E9"/>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637CA1"/>
    <w:pPr>
      <w:keepNext/>
      <w:spacing w:before="240" w:after="60"/>
      <w:outlineLvl w:val="2"/>
    </w:pPr>
    <w:rPr>
      <w:rFonts w:ascii="Arial" w:hAnsi="Arial" w:cs="Arial"/>
      <w:b/>
      <w:bCs/>
      <w:sz w:val="26"/>
      <w:szCs w:val="26"/>
    </w:rPr>
  </w:style>
  <w:style w:type="paragraph" w:styleId="Heading4">
    <w:name w:val="heading 4"/>
    <w:basedOn w:val="Normal"/>
    <w:next w:val="Normal"/>
    <w:qFormat/>
    <w:rsid w:val="00524CDD"/>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524CDD"/>
    <w:rPr>
      <w:color w:val="0000FF"/>
      <w:u w:val="single"/>
    </w:rPr>
  </w:style>
  <w:style w:type="table" w:styleId="TableWeb1">
    <w:name w:val="Table Web 1"/>
    <w:basedOn w:val="TableNormal"/>
    <w:rsid w:val="00637CA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Classic1">
    <w:name w:val="Table Classic 1"/>
    <w:basedOn w:val="TableNormal"/>
    <w:rsid w:val="00637CA1"/>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3Char">
    <w:name w:val="Heading 3 Char"/>
    <w:basedOn w:val="DefaultParagraphFont"/>
    <w:link w:val="Heading3"/>
    <w:rsid w:val="00637CA1"/>
    <w:rPr>
      <w:rFonts w:ascii="Arial" w:hAnsi="Arial" w:cs="Arial"/>
      <w:b/>
      <w:bCs/>
      <w:sz w:val="26"/>
      <w:szCs w:val="26"/>
      <w:lang w:val="en-US" w:eastAsia="en-US" w:bidi="ar-SA"/>
    </w:rPr>
  </w:style>
  <w:style w:type="character" w:customStyle="1" w:styleId="Heading1Char">
    <w:name w:val="Heading 1 Char"/>
    <w:basedOn w:val="DefaultParagraphFont"/>
    <w:link w:val="Heading1"/>
    <w:rsid w:val="00637CA1"/>
    <w:rPr>
      <w:rFonts w:ascii="Arial" w:hAnsi="Arial" w:cs="Arial"/>
      <w:b/>
      <w:color w:val="FF9900"/>
      <w:sz w:val="32"/>
      <w:lang w:val="en-US" w:eastAsia="en-US" w:bidi="ar-SA"/>
    </w:rPr>
  </w:style>
  <w:style w:type="character" w:styleId="FollowedHyperlink">
    <w:name w:val="FollowedHyperlink"/>
    <w:basedOn w:val="DefaultParagraphFont"/>
    <w:rsid w:val="00637CA1"/>
    <w:rPr>
      <w:color w:val="800080"/>
      <w:u w:val="single"/>
    </w:rPr>
  </w:style>
  <w:style w:type="table" w:styleId="TableGrid">
    <w:name w:val="Table Grid"/>
    <w:basedOn w:val="TableNormal"/>
    <w:rsid w:val="00637C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qFormat/>
    <w:rsid w:val="000B3C4C"/>
    <w:rPr>
      <w:b/>
      <w:bCs/>
    </w:rPr>
  </w:style>
  <w:style w:type="paragraph" w:styleId="Header">
    <w:name w:val="header"/>
    <w:basedOn w:val="Normal"/>
    <w:rsid w:val="00FC1C44"/>
    <w:pPr>
      <w:tabs>
        <w:tab w:val="center" w:pos="4320"/>
        <w:tab w:val="right" w:pos="8640"/>
      </w:tabs>
    </w:pPr>
  </w:style>
  <w:style w:type="paragraph" w:styleId="Footer">
    <w:name w:val="footer"/>
    <w:basedOn w:val="Normal"/>
    <w:rsid w:val="00FC1C44"/>
    <w:pPr>
      <w:tabs>
        <w:tab w:val="center" w:pos="4320"/>
        <w:tab w:val="right" w:pos="8640"/>
      </w:tabs>
    </w:pPr>
  </w:style>
  <w:style w:type="paragraph" w:styleId="DocumentMap">
    <w:name w:val="Document Map"/>
    <w:basedOn w:val="Normal"/>
    <w:semiHidden/>
    <w:rsid w:val="000C311D"/>
    <w:pPr>
      <w:shd w:val="clear" w:color="auto" w:fill="000080"/>
    </w:pPr>
    <w:rPr>
      <w:rFonts w:ascii="Tahoma" w:hAnsi="Tahoma" w:cs="Tahoma"/>
      <w:sz w:val="20"/>
      <w:szCs w:val="20"/>
    </w:rPr>
  </w:style>
  <w:style w:type="paragraph" w:customStyle="1" w:styleId="Dotbullet">
    <w:name w:val="Dot bullet"/>
    <w:basedOn w:val="Normal"/>
    <w:rsid w:val="001D5D68"/>
    <w:pPr>
      <w:widowControl w:val="0"/>
      <w:numPr>
        <w:numId w:val="11"/>
      </w:numPr>
      <w:tabs>
        <w:tab w:val="clear" w:pos="360"/>
        <w:tab w:val="num" w:pos="720"/>
      </w:tabs>
      <w:ind w:left="720"/>
    </w:pPr>
    <w:rPr>
      <w:rFonts w:ascii="Verdana" w:hAnsi="Verdana"/>
      <w:snapToGrid w:val="0"/>
      <w:szCs w:val="20"/>
    </w:rPr>
  </w:style>
  <w:style w:type="character" w:styleId="PageNumber">
    <w:name w:val="page number"/>
    <w:basedOn w:val="DefaultParagraphFont"/>
    <w:rsid w:val="00AC3152"/>
  </w:style>
  <w:style w:type="paragraph" w:styleId="BalloonText">
    <w:name w:val="Balloon Text"/>
    <w:basedOn w:val="Normal"/>
    <w:semiHidden/>
    <w:rsid w:val="007A6931"/>
    <w:rPr>
      <w:rFonts w:ascii="Tahoma" w:hAnsi="Tahoma" w:cs="Tahoma"/>
      <w:sz w:val="16"/>
      <w:szCs w:val="16"/>
    </w:rPr>
  </w:style>
  <w:style w:type="paragraph" w:styleId="TOC2">
    <w:name w:val="toc 2"/>
    <w:basedOn w:val="Normal"/>
    <w:next w:val="Normal"/>
    <w:autoRedefine/>
    <w:uiPriority w:val="39"/>
    <w:rsid w:val="00C821ED"/>
    <w:pPr>
      <w:tabs>
        <w:tab w:val="right" w:leader="dot" w:pos="12950"/>
      </w:tabs>
    </w:pPr>
  </w:style>
  <w:style w:type="character" w:customStyle="1" w:styleId="Heading2Char">
    <w:name w:val="Heading 2 Char"/>
    <w:basedOn w:val="DefaultParagraphFont"/>
    <w:link w:val="Heading2"/>
    <w:rsid w:val="00E30B3D"/>
    <w:rPr>
      <w:rFonts w:ascii="Arial" w:hAnsi="Arial" w:cs="Arial"/>
      <w:b/>
      <w:bCs/>
      <w:i/>
      <w:iCs/>
      <w:sz w:val="28"/>
      <w:szCs w:val="28"/>
    </w:rPr>
  </w:style>
  <w:style w:type="character" w:styleId="UnresolvedMention">
    <w:name w:val="Unresolved Mention"/>
    <w:basedOn w:val="DefaultParagraphFont"/>
    <w:uiPriority w:val="99"/>
    <w:semiHidden/>
    <w:unhideWhenUsed/>
    <w:rsid w:val="004A2651"/>
    <w:rPr>
      <w:color w:val="605E5C"/>
      <w:shd w:val="clear" w:color="auto" w:fill="E1DFDD"/>
    </w:rPr>
  </w:style>
  <w:style w:type="paragraph" w:styleId="Revision">
    <w:name w:val="Revision"/>
    <w:hidden/>
    <w:uiPriority w:val="99"/>
    <w:semiHidden/>
    <w:rsid w:val="00146D5E"/>
    <w:pPr>
      <w:spacing w:after="0"/>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391101">
      <w:bodyDiv w:val="1"/>
      <w:marLeft w:val="0"/>
      <w:marRight w:val="0"/>
      <w:marTop w:val="0"/>
      <w:marBottom w:val="0"/>
      <w:divBdr>
        <w:top w:val="none" w:sz="0" w:space="0" w:color="auto"/>
        <w:left w:val="none" w:sz="0" w:space="0" w:color="auto"/>
        <w:bottom w:val="none" w:sz="0" w:space="0" w:color="auto"/>
        <w:right w:val="none" w:sz="0" w:space="0" w:color="auto"/>
      </w:divBdr>
      <w:divsChild>
        <w:div w:id="376246874">
          <w:marLeft w:val="0"/>
          <w:marRight w:val="0"/>
          <w:marTop w:val="0"/>
          <w:marBottom w:val="0"/>
          <w:divBdr>
            <w:top w:val="none" w:sz="0" w:space="0" w:color="auto"/>
            <w:left w:val="none" w:sz="0" w:space="0" w:color="auto"/>
            <w:bottom w:val="none" w:sz="0" w:space="0" w:color="auto"/>
            <w:right w:val="none" w:sz="0" w:space="0" w:color="auto"/>
          </w:divBdr>
        </w:div>
        <w:div w:id="559170859">
          <w:marLeft w:val="0"/>
          <w:marRight w:val="0"/>
          <w:marTop w:val="0"/>
          <w:marBottom w:val="0"/>
          <w:divBdr>
            <w:top w:val="none" w:sz="0" w:space="0" w:color="auto"/>
            <w:left w:val="none" w:sz="0" w:space="0" w:color="auto"/>
            <w:bottom w:val="none" w:sz="0" w:space="0" w:color="auto"/>
            <w:right w:val="none" w:sz="0" w:space="0" w:color="auto"/>
          </w:divBdr>
        </w:div>
        <w:div w:id="598950192">
          <w:marLeft w:val="0"/>
          <w:marRight w:val="0"/>
          <w:marTop w:val="0"/>
          <w:marBottom w:val="0"/>
          <w:divBdr>
            <w:top w:val="none" w:sz="0" w:space="0" w:color="auto"/>
            <w:left w:val="none" w:sz="0" w:space="0" w:color="auto"/>
            <w:bottom w:val="none" w:sz="0" w:space="0" w:color="auto"/>
            <w:right w:val="none" w:sz="0" w:space="0" w:color="auto"/>
          </w:divBdr>
        </w:div>
        <w:div w:id="651914222">
          <w:marLeft w:val="0"/>
          <w:marRight w:val="0"/>
          <w:marTop w:val="0"/>
          <w:marBottom w:val="0"/>
          <w:divBdr>
            <w:top w:val="none" w:sz="0" w:space="0" w:color="auto"/>
            <w:left w:val="none" w:sz="0" w:space="0" w:color="auto"/>
            <w:bottom w:val="none" w:sz="0" w:space="0" w:color="auto"/>
            <w:right w:val="none" w:sz="0" w:space="0" w:color="auto"/>
          </w:divBdr>
        </w:div>
        <w:div w:id="1141312148">
          <w:marLeft w:val="0"/>
          <w:marRight w:val="0"/>
          <w:marTop w:val="0"/>
          <w:marBottom w:val="0"/>
          <w:divBdr>
            <w:top w:val="none" w:sz="0" w:space="0" w:color="auto"/>
            <w:left w:val="none" w:sz="0" w:space="0" w:color="auto"/>
            <w:bottom w:val="none" w:sz="0" w:space="0" w:color="auto"/>
            <w:right w:val="none" w:sz="0" w:space="0" w:color="auto"/>
          </w:divBdr>
        </w:div>
        <w:div w:id="1220088774">
          <w:marLeft w:val="0"/>
          <w:marRight w:val="0"/>
          <w:marTop w:val="0"/>
          <w:marBottom w:val="0"/>
          <w:divBdr>
            <w:top w:val="none" w:sz="0" w:space="0" w:color="auto"/>
            <w:left w:val="none" w:sz="0" w:space="0" w:color="auto"/>
            <w:bottom w:val="none" w:sz="0" w:space="0" w:color="auto"/>
            <w:right w:val="none" w:sz="0" w:space="0" w:color="auto"/>
          </w:divBdr>
        </w:div>
        <w:div w:id="1616867714">
          <w:marLeft w:val="0"/>
          <w:marRight w:val="0"/>
          <w:marTop w:val="0"/>
          <w:marBottom w:val="0"/>
          <w:divBdr>
            <w:top w:val="none" w:sz="0" w:space="0" w:color="auto"/>
            <w:left w:val="none" w:sz="0" w:space="0" w:color="auto"/>
            <w:bottom w:val="none" w:sz="0" w:space="0" w:color="auto"/>
            <w:right w:val="none" w:sz="0" w:space="0" w:color="auto"/>
          </w:divBdr>
        </w:div>
        <w:div w:id="1714696025">
          <w:marLeft w:val="0"/>
          <w:marRight w:val="0"/>
          <w:marTop w:val="0"/>
          <w:marBottom w:val="0"/>
          <w:divBdr>
            <w:top w:val="none" w:sz="0" w:space="0" w:color="auto"/>
            <w:left w:val="none" w:sz="0" w:space="0" w:color="auto"/>
            <w:bottom w:val="none" w:sz="0" w:space="0" w:color="auto"/>
            <w:right w:val="none" w:sz="0" w:space="0" w:color="auto"/>
          </w:divBdr>
        </w:div>
      </w:divsChild>
    </w:div>
    <w:div w:id="115369144">
      <w:bodyDiv w:val="1"/>
      <w:marLeft w:val="0"/>
      <w:marRight w:val="0"/>
      <w:marTop w:val="0"/>
      <w:marBottom w:val="0"/>
      <w:divBdr>
        <w:top w:val="none" w:sz="0" w:space="0" w:color="auto"/>
        <w:left w:val="none" w:sz="0" w:space="0" w:color="auto"/>
        <w:bottom w:val="none" w:sz="0" w:space="0" w:color="auto"/>
        <w:right w:val="none" w:sz="0" w:space="0" w:color="auto"/>
      </w:divBdr>
    </w:div>
    <w:div w:id="460147371">
      <w:bodyDiv w:val="1"/>
      <w:marLeft w:val="0"/>
      <w:marRight w:val="0"/>
      <w:marTop w:val="0"/>
      <w:marBottom w:val="0"/>
      <w:divBdr>
        <w:top w:val="none" w:sz="0" w:space="0" w:color="auto"/>
        <w:left w:val="none" w:sz="0" w:space="0" w:color="auto"/>
        <w:bottom w:val="none" w:sz="0" w:space="0" w:color="auto"/>
        <w:right w:val="none" w:sz="0" w:space="0" w:color="auto"/>
      </w:divBdr>
    </w:div>
    <w:div w:id="636834724">
      <w:bodyDiv w:val="1"/>
      <w:marLeft w:val="0"/>
      <w:marRight w:val="0"/>
      <w:marTop w:val="0"/>
      <w:marBottom w:val="0"/>
      <w:divBdr>
        <w:top w:val="none" w:sz="0" w:space="0" w:color="auto"/>
        <w:left w:val="none" w:sz="0" w:space="0" w:color="auto"/>
        <w:bottom w:val="none" w:sz="0" w:space="0" w:color="auto"/>
        <w:right w:val="none" w:sz="0" w:space="0" w:color="auto"/>
      </w:divBdr>
    </w:div>
    <w:div w:id="716440108">
      <w:bodyDiv w:val="1"/>
      <w:marLeft w:val="0"/>
      <w:marRight w:val="0"/>
      <w:marTop w:val="0"/>
      <w:marBottom w:val="0"/>
      <w:divBdr>
        <w:top w:val="none" w:sz="0" w:space="0" w:color="auto"/>
        <w:left w:val="none" w:sz="0" w:space="0" w:color="auto"/>
        <w:bottom w:val="none" w:sz="0" w:space="0" w:color="auto"/>
        <w:right w:val="none" w:sz="0" w:space="0" w:color="auto"/>
      </w:divBdr>
      <w:divsChild>
        <w:div w:id="49812795">
          <w:marLeft w:val="0"/>
          <w:marRight w:val="0"/>
          <w:marTop w:val="0"/>
          <w:marBottom w:val="0"/>
          <w:divBdr>
            <w:top w:val="none" w:sz="0" w:space="0" w:color="auto"/>
            <w:left w:val="none" w:sz="0" w:space="0" w:color="auto"/>
            <w:bottom w:val="none" w:sz="0" w:space="0" w:color="auto"/>
            <w:right w:val="none" w:sz="0" w:space="0" w:color="auto"/>
          </w:divBdr>
        </w:div>
        <w:div w:id="771971006">
          <w:marLeft w:val="0"/>
          <w:marRight w:val="0"/>
          <w:marTop w:val="0"/>
          <w:marBottom w:val="0"/>
          <w:divBdr>
            <w:top w:val="none" w:sz="0" w:space="0" w:color="auto"/>
            <w:left w:val="none" w:sz="0" w:space="0" w:color="auto"/>
            <w:bottom w:val="none" w:sz="0" w:space="0" w:color="auto"/>
            <w:right w:val="none" w:sz="0" w:space="0" w:color="auto"/>
          </w:divBdr>
        </w:div>
        <w:div w:id="1206522181">
          <w:marLeft w:val="0"/>
          <w:marRight w:val="0"/>
          <w:marTop w:val="0"/>
          <w:marBottom w:val="0"/>
          <w:divBdr>
            <w:top w:val="none" w:sz="0" w:space="0" w:color="auto"/>
            <w:left w:val="none" w:sz="0" w:space="0" w:color="auto"/>
            <w:bottom w:val="none" w:sz="0" w:space="0" w:color="auto"/>
            <w:right w:val="none" w:sz="0" w:space="0" w:color="auto"/>
          </w:divBdr>
        </w:div>
        <w:div w:id="1949778431">
          <w:marLeft w:val="0"/>
          <w:marRight w:val="0"/>
          <w:marTop w:val="0"/>
          <w:marBottom w:val="0"/>
          <w:divBdr>
            <w:top w:val="none" w:sz="0" w:space="0" w:color="auto"/>
            <w:left w:val="none" w:sz="0" w:space="0" w:color="auto"/>
            <w:bottom w:val="none" w:sz="0" w:space="0" w:color="auto"/>
            <w:right w:val="none" w:sz="0" w:space="0" w:color="auto"/>
          </w:divBdr>
        </w:div>
        <w:div w:id="1959945746">
          <w:marLeft w:val="0"/>
          <w:marRight w:val="0"/>
          <w:marTop w:val="0"/>
          <w:marBottom w:val="0"/>
          <w:divBdr>
            <w:top w:val="none" w:sz="0" w:space="0" w:color="auto"/>
            <w:left w:val="none" w:sz="0" w:space="0" w:color="auto"/>
            <w:bottom w:val="none" w:sz="0" w:space="0" w:color="auto"/>
            <w:right w:val="none" w:sz="0" w:space="0" w:color="auto"/>
          </w:divBdr>
        </w:div>
        <w:div w:id="1964530420">
          <w:marLeft w:val="0"/>
          <w:marRight w:val="0"/>
          <w:marTop w:val="0"/>
          <w:marBottom w:val="0"/>
          <w:divBdr>
            <w:top w:val="none" w:sz="0" w:space="0" w:color="auto"/>
            <w:left w:val="none" w:sz="0" w:space="0" w:color="auto"/>
            <w:bottom w:val="none" w:sz="0" w:space="0" w:color="auto"/>
            <w:right w:val="none" w:sz="0" w:space="0" w:color="auto"/>
          </w:divBdr>
        </w:div>
        <w:div w:id="2072925008">
          <w:marLeft w:val="0"/>
          <w:marRight w:val="0"/>
          <w:marTop w:val="0"/>
          <w:marBottom w:val="0"/>
          <w:divBdr>
            <w:top w:val="none" w:sz="0" w:space="0" w:color="auto"/>
            <w:left w:val="none" w:sz="0" w:space="0" w:color="auto"/>
            <w:bottom w:val="none" w:sz="0" w:space="0" w:color="auto"/>
            <w:right w:val="none" w:sz="0" w:space="0" w:color="auto"/>
          </w:divBdr>
        </w:div>
        <w:div w:id="2082679118">
          <w:marLeft w:val="0"/>
          <w:marRight w:val="0"/>
          <w:marTop w:val="0"/>
          <w:marBottom w:val="0"/>
          <w:divBdr>
            <w:top w:val="none" w:sz="0" w:space="0" w:color="auto"/>
            <w:left w:val="none" w:sz="0" w:space="0" w:color="auto"/>
            <w:bottom w:val="none" w:sz="0" w:space="0" w:color="auto"/>
            <w:right w:val="none" w:sz="0" w:space="0" w:color="auto"/>
          </w:divBdr>
        </w:div>
      </w:divsChild>
    </w:div>
    <w:div w:id="928393544">
      <w:bodyDiv w:val="1"/>
      <w:marLeft w:val="0"/>
      <w:marRight w:val="0"/>
      <w:marTop w:val="0"/>
      <w:marBottom w:val="0"/>
      <w:divBdr>
        <w:top w:val="none" w:sz="0" w:space="0" w:color="auto"/>
        <w:left w:val="none" w:sz="0" w:space="0" w:color="auto"/>
        <w:bottom w:val="none" w:sz="0" w:space="0" w:color="auto"/>
        <w:right w:val="none" w:sz="0" w:space="0" w:color="auto"/>
      </w:divBdr>
    </w:div>
    <w:div w:id="1086222584">
      <w:bodyDiv w:val="1"/>
      <w:marLeft w:val="0"/>
      <w:marRight w:val="0"/>
      <w:marTop w:val="0"/>
      <w:marBottom w:val="0"/>
      <w:divBdr>
        <w:top w:val="none" w:sz="0" w:space="0" w:color="auto"/>
        <w:left w:val="none" w:sz="0" w:space="0" w:color="auto"/>
        <w:bottom w:val="none" w:sz="0" w:space="0" w:color="auto"/>
        <w:right w:val="none" w:sz="0" w:space="0" w:color="auto"/>
      </w:divBdr>
    </w:div>
    <w:div w:id="1513757681">
      <w:bodyDiv w:val="1"/>
      <w:marLeft w:val="0"/>
      <w:marRight w:val="0"/>
      <w:marTop w:val="0"/>
      <w:marBottom w:val="0"/>
      <w:divBdr>
        <w:top w:val="none" w:sz="0" w:space="0" w:color="auto"/>
        <w:left w:val="none" w:sz="0" w:space="0" w:color="auto"/>
        <w:bottom w:val="none" w:sz="0" w:space="0" w:color="auto"/>
        <w:right w:val="none" w:sz="0" w:space="0" w:color="auto"/>
      </w:divBdr>
      <w:divsChild>
        <w:div w:id="150214329">
          <w:marLeft w:val="0"/>
          <w:marRight w:val="0"/>
          <w:marTop w:val="0"/>
          <w:marBottom w:val="0"/>
          <w:divBdr>
            <w:top w:val="none" w:sz="0" w:space="0" w:color="auto"/>
            <w:left w:val="none" w:sz="0" w:space="0" w:color="auto"/>
            <w:bottom w:val="none" w:sz="0" w:space="0" w:color="auto"/>
            <w:right w:val="none" w:sz="0" w:space="0" w:color="auto"/>
          </w:divBdr>
        </w:div>
        <w:div w:id="388378928">
          <w:marLeft w:val="0"/>
          <w:marRight w:val="0"/>
          <w:marTop w:val="0"/>
          <w:marBottom w:val="0"/>
          <w:divBdr>
            <w:top w:val="none" w:sz="0" w:space="0" w:color="auto"/>
            <w:left w:val="none" w:sz="0" w:space="0" w:color="auto"/>
            <w:bottom w:val="none" w:sz="0" w:space="0" w:color="auto"/>
            <w:right w:val="none" w:sz="0" w:space="0" w:color="auto"/>
          </w:divBdr>
        </w:div>
        <w:div w:id="457452266">
          <w:marLeft w:val="0"/>
          <w:marRight w:val="0"/>
          <w:marTop w:val="0"/>
          <w:marBottom w:val="0"/>
          <w:divBdr>
            <w:top w:val="none" w:sz="0" w:space="0" w:color="auto"/>
            <w:left w:val="none" w:sz="0" w:space="0" w:color="auto"/>
            <w:bottom w:val="none" w:sz="0" w:space="0" w:color="auto"/>
            <w:right w:val="none" w:sz="0" w:space="0" w:color="auto"/>
          </w:divBdr>
        </w:div>
        <w:div w:id="469905751">
          <w:marLeft w:val="0"/>
          <w:marRight w:val="0"/>
          <w:marTop w:val="0"/>
          <w:marBottom w:val="0"/>
          <w:divBdr>
            <w:top w:val="none" w:sz="0" w:space="0" w:color="auto"/>
            <w:left w:val="none" w:sz="0" w:space="0" w:color="auto"/>
            <w:bottom w:val="none" w:sz="0" w:space="0" w:color="auto"/>
            <w:right w:val="none" w:sz="0" w:space="0" w:color="auto"/>
          </w:divBdr>
        </w:div>
        <w:div w:id="543059896">
          <w:marLeft w:val="0"/>
          <w:marRight w:val="0"/>
          <w:marTop w:val="0"/>
          <w:marBottom w:val="0"/>
          <w:divBdr>
            <w:top w:val="none" w:sz="0" w:space="0" w:color="auto"/>
            <w:left w:val="none" w:sz="0" w:space="0" w:color="auto"/>
            <w:bottom w:val="none" w:sz="0" w:space="0" w:color="auto"/>
            <w:right w:val="none" w:sz="0" w:space="0" w:color="auto"/>
          </w:divBdr>
        </w:div>
        <w:div w:id="1292905886">
          <w:marLeft w:val="0"/>
          <w:marRight w:val="0"/>
          <w:marTop w:val="0"/>
          <w:marBottom w:val="0"/>
          <w:divBdr>
            <w:top w:val="none" w:sz="0" w:space="0" w:color="auto"/>
            <w:left w:val="none" w:sz="0" w:space="0" w:color="auto"/>
            <w:bottom w:val="none" w:sz="0" w:space="0" w:color="auto"/>
            <w:right w:val="none" w:sz="0" w:space="0" w:color="auto"/>
          </w:divBdr>
        </w:div>
        <w:div w:id="2118013725">
          <w:marLeft w:val="0"/>
          <w:marRight w:val="0"/>
          <w:marTop w:val="0"/>
          <w:marBottom w:val="0"/>
          <w:divBdr>
            <w:top w:val="none" w:sz="0" w:space="0" w:color="auto"/>
            <w:left w:val="none" w:sz="0" w:space="0" w:color="auto"/>
            <w:bottom w:val="none" w:sz="0" w:space="0" w:color="auto"/>
            <w:right w:val="none" w:sz="0" w:space="0" w:color="auto"/>
          </w:divBdr>
        </w:div>
        <w:div w:id="2128347567">
          <w:marLeft w:val="0"/>
          <w:marRight w:val="0"/>
          <w:marTop w:val="0"/>
          <w:marBottom w:val="0"/>
          <w:divBdr>
            <w:top w:val="none" w:sz="0" w:space="0" w:color="auto"/>
            <w:left w:val="none" w:sz="0" w:space="0" w:color="auto"/>
            <w:bottom w:val="none" w:sz="0" w:space="0" w:color="auto"/>
            <w:right w:val="none" w:sz="0" w:space="0" w:color="auto"/>
          </w:divBdr>
        </w:div>
      </w:divsChild>
    </w:div>
    <w:div w:id="1653095810">
      <w:bodyDiv w:val="1"/>
      <w:marLeft w:val="0"/>
      <w:marRight w:val="0"/>
      <w:marTop w:val="0"/>
      <w:marBottom w:val="0"/>
      <w:divBdr>
        <w:top w:val="none" w:sz="0" w:space="0" w:color="auto"/>
        <w:left w:val="none" w:sz="0" w:space="0" w:color="auto"/>
        <w:bottom w:val="none" w:sz="0" w:space="0" w:color="auto"/>
        <w:right w:val="none" w:sz="0" w:space="0" w:color="auto"/>
      </w:divBdr>
    </w:div>
    <w:div w:id="1745881813">
      <w:bodyDiv w:val="1"/>
      <w:marLeft w:val="0"/>
      <w:marRight w:val="0"/>
      <w:marTop w:val="0"/>
      <w:marBottom w:val="0"/>
      <w:divBdr>
        <w:top w:val="none" w:sz="0" w:space="0" w:color="auto"/>
        <w:left w:val="none" w:sz="0" w:space="0" w:color="auto"/>
        <w:bottom w:val="none" w:sz="0" w:space="0" w:color="auto"/>
        <w:right w:val="none" w:sz="0" w:space="0" w:color="auto"/>
      </w:divBdr>
    </w:div>
    <w:div w:id="1877043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thesource.cvshealth.com/nuxeo/thesource/" TargetMode="External"/><Relationship Id="rId18" Type="http://schemas.openxmlformats.org/officeDocument/2006/relationships/hyperlink" Target="https://thesource.cvshealth.com/nuxeo/thesource/"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thesource.cvshealth.com/nuxeo/thesource/" TargetMode="External"/><Relationship Id="rId7" Type="http://schemas.openxmlformats.org/officeDocument/2006/relationships/settings" Target="settings.xml"/><Relationship Id="rId12" Type="http://schemas.openxmlformats.org/officeDocument/2006/relationships/hyperlink" Target="https://thesource.cvshealth.com/nuxeo/thesource/" TargetMode="External"/><Relationship Id="rId17" Type="http://schemas.openxmlformats.org/officeDocument/2006/relationships/hyperlink" Target="https://thesource.cvshealth.com/nuxeo/thesource/"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hyperlink" Target="https://thesource.cvshealth.com/nuxeo/thesourc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thesource.cvshealth.com/nuxeo/thesource/" TargetMode="External"/><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hyperlink" Target="https://thesource.cvshealth.com/nuxeo/thesource/" TargetMode="External"/><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thesource.cvshealth.com/nuxeo/thesourc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thesource.cvshealth.com/nuxeo/thesource/" TargetMode="External"/><Relationship Id="rId22" Type="http://schemas.openxmlformats.org/officeDocument/2006/relationships/hyperlink" Target="https://thesource.cvshealth.com/nuxeo/thesourc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m1zeup\Application%20Data\Microsoft\Templates\Work%20Instruction%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ct:contentTypeSchema xmlns:ct="http://schemas.microsoft.com/office/2006/metadata/contentType" xmlns:ma="http://schemas.microsoft.com/office/2006/metadata/properties/metaAttributes" ct:_="" ma:_="" ma:contentTypeName="Document" ma:contentTypeID="0x010100ACB49505AAF66544B3991E59A726D05A" ma:contentTypeVersion="6" ma:contentTypeDescription="Create a new document." ma:contentTypeScope="" ma:versionID="af5ba7d2ce506513fcc0017ccedab22d">
  <xsd:schema xmlns:xsd="http://www.w3.org/2001/XMLSchema" xmlns:xs="http://www.w3.org/2001/XMLSchema" xmlns:p="http://schemas.microsoft.com/office/2006/metadata/properties" xmlns:ns2="105b4efb-3be6-4b39-a776-8a7d43adc0ca" xmlns:ns3="c3b1ca30-2eb1-4a7b-bdb7-8ec24a269858" targetNamespace="http://schemas.microsoft.com/office/2006/metadata/properties" ma:root="true" ma:fieldsID="64203a67db843b7f1d76fe9dff7cdfbc" ns2:_="" ns3:_="">
    <xsd:import namespace="105b4efb-3be6-4b39-a776-8a7d43adc0ca"/>
    <xsd:import namespace="c3b1ca30-2eb1-4a7b-bdb7-8ec24a269858"/>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5b4efb-3be6-4b39-a776-8a7d43adc0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3b1ca30-2eb1-4a7b-bdb7-8ec24a269858"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81791B7-257C-4AC2-BFD5-922B017A7DE9}">
  <ds:schemaRefs>
    <ds:schemaRef ds:uri="http://schemas.microsoft.com/sharepoint/v3/contenttype/forms"/>
  </ds:schemaRefs>
</ds:datastoreItem>
</file>

<file path=customXml/itemProps2.xml><?xml version="1.0" encoding="utf-8"?>
<ds:datastoreItem xmlns:ds="http://schemas.openxmlformats.org/officeDocument/2006/customXml" ds:itemID="{39CC5B0C-3E81-46BD-8979-125D4FD42B7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46AF883-BD96-49ED-9417-41FF36D59C8A}">
  <ds:schemaRefs>
    <ds:schemaRef ds:uri="http://schemas.openxmlformats.org/officeDocument/2006/bibliography"/>
  </ds:schemaRefs>
</ds:datastoreItem>
</file>

<file path=customXml/itemProps4.xml><?xml version="1.0" encoding="utf-8"?>
<ds:datastoreItem xmlns:ds="http://schemas.openxmlformats.org/officeDocument/2006/customXml" ds:itemID="{9D5219BA-8268-46F2-8FAD-560AEC4ABF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5b4efb-3be6-4b39-a776-8a7d43adc0ca"/>
    <ds:schemaRef ds:uri="c3b1ca30-2eb1-4a7b-bdb7-8ec24a2698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Work Instruction Template.dot</Template>
  <TotalTime>14</TotalTime>
  <Pages>1</Pages>
  <Words>460</Words>
  <Characters>4671</Characters>
  <Application>Microsoft Office Word</Application>
  <DocSecurity>2</DocSecurity>
  <Lines>38</Lines>
  <Paragraphs>10</Paragraphs>
  <ScaleCrop>false</ScaleCrop>
  <Company>Caremark RX</Company>
  <LinksUpToDate>false</LinksUpToDate>
  <CharactersWithSpaces>5121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Document</dc:title>
  <dc:subject/>
  <dc:creator>Um1zeup</dc:creator>
  <cp:keywords/>
  <cp:lastModifiedBy>Davis, David P.</cp:lastModifiedBy>
  <cp:revision>14</cp:revision>
  <dcterms:created xsi:type="dcterms:W3CDTF">2024-05-07T13:46:00Z</dcterms:created>
  <dcterms:modified xsi:type="dcterms:W3CDTF">2025-09-10T19:24:00Z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etDate">
    <vt:lpwstr>2021-10-12T17:16:58Z</vt:lpwstr>
  </property>
  <property fmtid="{D5CDD505-2E9C-101B-9397-08002B2CF9AE}" pid="4" name="MSIP_Label_67599526-06ca-49cc-9fa9-5307800a949a_Method">
    <vt:lpwstr>Standard</vt:lpwstr>
  </property>
  <property fmtid="{D5CDD505-2E9C-101B-9397-08002B2CF9AE}" pid="5" name="MSIP_Label_67599526-06ca-49cc-9fa9-5307800a949a_Name">
    <vt:lpwstr>67599526-06ca-49cc-9fa9-5307800a949a</vt:lpwstr>
  </property>
  <property fmtid="{D5CDD505-2E9C-101B-9397-08002B2CF9AE}" pid="6" name="MSIP_Label_67599526-06ca-49cc-9fa9-5307800a949a_SiteId">
    <vt:lpwstr>fabb61b8-3afe-4e75-b934-a47f782b8cd7</vt:lpwstr>
  </property>
  <property fmtid="{D5CDD505-2E9C-101B-9397-08002B2CF9AE}" pid="7" name="MSIP_Label_67599526-06ca-49cc-9fa9-5307800a949a_ActionId">
    <vt:lpwstr>0f61385f-09aa-439b-b5ec-4e3582912d77</vt:lpwstr>
  </property>
  <property fmtid="{D5CDD505-2E9C-101B-9397-08002B2CF9AE}" pid="8" name="MSIP_Label_67599526-06ca-49cc-9fa9-5307800a949a_ContentBits">
    <vt:lpwstr>0</vt:lpwstr>
  </property>
  <property fmtid="{D5CDD505-2E9C-101B-9397-08002B2CF9AE}" pid="9" name="ContentTypeId">
    <vt:lpwstr>0x010100ACB49505AAF66544B3991E59A726D05A</vt:lpwstr>
  </property>
</Properties>
</file>