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4D03D" w14:textId="5B496BDA" w:rsidR="00255C6B" w:rsidRPr="00DA3F0D" w:rsidRDefault="006D272D" w:rsidP="00DA3F0D">
      <w:pPr>
        <w:pStyle w:val="Title"/>
        <w:jc w:val="left"/>
        <w:rPr>
          <w:rFonts w:ascii="Verdana" w:hAnsi="Verdana"/>
          <w:u w:val="none"/>
        </w:rPr>
      </w:pPr>
      <w:bookmarkStart w:id="0" w:name="_Value_Formulary_Change"/>
      <w:bookmarkStart w:id="1" w:name="OLE_LINK40"/>
      <w:bookmarkEnd w:id="0"/>
      <w:r w:rsidRPr="00DA3F0D">
        <w:rPr>
          <w:rFonts w:ascii="Verdana" w:hAnsi="Verdana"/>
          <w:u w:val="none"/>
        </w:rPr>
        <w:t xml:space="preserve">Value Formulary Change </w:t>
      </w:r>
      <w:r w:rsidR="00767920" w:rsidRPr="00DA3F0D">
        <w:rPr>
          <w:rFonts w:ascii="Verdana" w:hAnsi="Verdana"/>
          <w:u w:val="none"/>
        </w:rPr>
        <w:t xml:space="preserve">- </w:t>
      </w:r>
      <w:r w:rsidR="00755FFC" w:rsidRPr="00DA3F0D">
        <w:rPr>
          <w:rFonts w:ascii="Verdana" w:hAnsi="Verdana"/>
          <w:u w:val="none"/>
        </w:rPr>
        <w:t>Medication Limits Before the</w:t>
      </w:r>
      <w:r w:rsidR="00767920" w:rsidRPr="00DA3F0D">
        <w:rPr>
          <w:rFonts w:ascii="Verdana" w:hAnsi="Verdana"/>
          <w:u w:val="none"/>
        </w:rPr>
        <w:t xml:space="preserve"> Member </w:t>
      </w:r>
      <w:r w:rsidR="00755FFC" w:rsidRPr="00DA3F0D">
        <w:rPr>
          <w:rFonts w:ascii="Verdana" w:hAnsi="Verdana"/>
          <w:u w:val="none"/>
        </w:rPr>
        <w:t xml:space="preserve">is Responsible for the </w:t>
      </w:r>
      <w:r w:rsidR="00767920" w:rsidRPr="00DA3F0D">
        <w:rPr>
          <w:rFonts w:ascii="Verdana" w:hAnsi="Verdana"/>
          <w:u w:val="none"/>
        </w:rPr>
        <w:t xml:space="preserve">Full Cost </w:t>
      </w:r>
    </w:p>
    <w:bookmarkEnd w:id="1"/>
    <w:p w14:paraId="3DDF622F" w14:textId="77777777" w:rsidR="009A0FEA" w:rsidRDefault="009A0FEA">
      <w:pPr>
        <w:pStyle w:val="TOC2"/>
        <w:rPr>
          <w:rFonts w:ascii="Verdana" w:hAnsi="Verdana"/>
        </w:rPr>
      </w:pPr>
    </w:p>
    <w:p w14:paraId="2D2BF489" w14:textId="40508A0A" w:rsidR="00DA3F0D" w:rsidRPr="00DA3F0D" w:rsidRDefault="00767920" w:rsidP="00DA3F0D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DA3F0D">
        <w:rPr>
          <w:rFonts w:ascii="Verdana" w:hAnsi="Verdana"/>
        </w:rPr>
        <w:fldChar w:fldCharType="begin"/>
      </w:r>
      <w:r w:rsidRPr="00DA3F0D">
        <w:rPr>
          <w:rFonts w:ascii="Verdana" w:hAnsi="Verdana"/>
        </w:rPr>
        <w:instrText xml:space="preserve"> TOC \o "2-3" \n \p " " \h \z \u </w:instrText>
      </w:r>
      <w:r w:rsidRPr="00DA3F0D">
        <w:rPr>
          <w:rFonts w:ascii="Verdana" w:hAnsi="Verdana"/>
        </w:rPr>
        <w:fldChar w:fldCharType="separate"/>
      </w:r>
      <w:hyperlink w:anchor="_Toc206593656" w:history="1">
        <w:r w:rsidR="00DA3F0D" w:rsidRPr="00DA3F0D">
          <w:rPr>
            <w:rStyle w:val="Hyperlink"/>
            <w:rFonts w:ascii="Verdana" w:hAnsi="Verdana"/>
            <w:noProof/>
          </w:rPr>
          <w:t>Change Information</w:t>
        </w:r>
      </w:hyperlink>
    </w:p>
    <w:p w14:paraId="0A50EB63" w14:textId="7A5C31A1" w:rsidR="00DA3F0D" w:rsidRPr="00DA3F0D" w:rsidRDefault="00DA3F0D" w:rsidP="00DA3F0D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6593657" w:history="1">
        <w:r w:rsidRPr="00DA3F0D">
          <w:rPr>
            <w:rStyle w:val="Hyperlink"/>
            <w:rFonts w:ascii="Verdana" w:hAnsi="Verdana"/>
            <w:noProof/>
          </w:rPr>
          <w:t>Process</w:t>
        </w:r>
      </w:hyperlink>
    </w:p>
    <w:p w14:paraId="5D62F09B" w14:textId="28CE9543" w:rsidR="00DA3F0D" w:rsidRPr="00DA3F0D" w:rsidRDefault="00DA3F0D" w:rsidP="00DA3F0D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6593658" w:history="1">
        <w:r w:rsidRPr="00DA3F0D">
          <w:rPr>
            <w:rStyle w:val="Hyperlink"/>
            <w:rFonts w:ascii="Verdana" w:hAnsi="Verdana"/>
            <w:noProof/>
          </w:rPr>
          <w:t>Related Documents</w:t>
        </w:r>
      </w:hyperlink>
    </w:p>
    <w:p w14:paraId="7EA4AAA5" w14:textId="37B55AA0" w:rsidR="00EA2F78" w:rsidRPr="00DA3F0D" w:rsidRDefault="00767920" w:rsidP="00DA3F0D">
      <w:pPr>
        <w:rPr>
          <w:rFonts w:ascii="Verdana" w:hAnsi="Verdana"/>
        </w:rPr>
      </w:pPr>
      <w:r w:rsidRPr="00DA3F0D">
        <w:rPr>
          <w:rFonts w:ascii="Verdana" w:hAnsi="Verdana"/>
        </w:rPr>
        <w:fldChar w:fldCharType="end"/>
      </w:r>
    </w:p>
    <w:p w14:paraId="53BD6EA3" w14:textId="77777777" w:rsidR="00767920" w:rsidRDefault="00767920" w:rsidP="00767920">
      <w:pPr>
        <w:rPr>
          <w:rFonts w:ascii="Verdana" w:hAnsi="Verdana"/>
          <w:b/>
          <w:bCs/>
        </w:rPr>
      </w:pPr>
    </w:p>
    <w:p w14:paraId="3DE70326" w14:textId="1D6ED7A8" w:rsidR="009A0FEA" w:rsidRDefault="00767920" w:rsidP="00205990">
      <w:pPr>
        <w:spacing w:before="120" w:after="120"/>
        <w:rPr>
          <w:rFonts w:ascii="Verdana" w:hAnsi="Verdana"/>
          <w:color w:val="000000" w:themeColor="text1"/>
        </w:rPr>
      </w:pPr>
      <w:r w:rsidRPr="005F3622">
        <w:rPr>
          <w:rFonts w:ascii="Verdana" w:hAnsi="Verdana"/>
          <w:b/>
          <w:bCs/>
        </w:rPr>
        <w:t>Description:</w:t>
      </w:r>
      <w:r w:rsidRPr="005F3622">
        <w:rPr>
          <w:rFonts w:ascii="Verdana" w:hAnsi="Verdana"/>
        </w:rPr>
        <w:t xml:space="preserve"> </w:t>
      </w:r>
      <w:bookmarkStart w:id="2" w:name="OLE_LINK41"/>
      <w:r w:rsidR="009A0FEA">
        <w:rPr>
          <w:rFonts w:ascii="Verdana" w:hAnsi="Verdana"/>
          <w:color w:val="000000" w:themeColor="text1"/>
        </w:rPr>
        <w:t>O</w:t>
      </w:r>
      <w:r w:rsidRPr="005F3622">
        <w:rPr>
          <w:rFonts w:ascii="Verdana" w:hAnsi="Verdana"/>
          <w:color w:val="000000" w:themeColor="text1"/>
        </w:rPr>
        <w:t xml:space="preserve">utlines the changes in the Value Formulary for clients receiving certain types of medications.  </w:t>
      </w:r>
      <w:r w:rsidR="006D272D" w:rsidRPr="005F3622">
        <w:rPr>
          <w:rFonts w:ascii="Verdana" w:hAnsi="Verdana"/>
          <w:color w:val="000000" w:themeColor="text1"/>
        </w:rPr>
        <w:t>The Value Formulary</w:t>
      </w:r>
      <w:r w:rsidRPr="005F3622">
        <w:rPr>
          <w:rFonts w:ascii="Verdana" w:hAnsi="Verdana"/>
          <w:color w:val="000000" w:themeColor="text1"/>
        </w:rPr>
        <w:t xml:space="preserve"> for some medications </w:t>
      </w:r>
      <w:r w:rsidR="006D272D" w:rsidRPr="005F3622">
        <w:rPr>
          <w:rFonts w:ascii="Verdana" w:hAnsi="Verdana"/>
          <w:color w:val="000000" w:themeColor="text1"/>
        </w:rPr>
        <w:t xml:space="preserve">is changing for some of our </w:t>
      </w:r>
      <w:r w:rsidR="006D272D" w:rsidRPr="009A0FEA">
        <w:rPr>
          <w:rFonts w:ascii="Verdana" w:hAnsi="Verdana"/>
        </w:rPr>
        <w:t>clients</w:t>
      </w:r>
      <w:r w:rsidRPr="005F3622">
        <w:rPr>
          <w:rFonts w:ascii="Verdana" w:hAnsi="Verdana"/>
          <w:color w:val="000000" w:themeColor="text1"/>
        </w:rPr>
        <w:t xml:space="preserve"> that places a limit on the amount of medication that can be dispensed and for what time period before the member becomes responsible for the full cost</w:t>
      </w:r>
      <w:r w:rsidR="006D272D" w:rsidRPr="005F3622">
        <w:rPr>
          <w:rFonts w:ascii="Verdana" w:hAnsi="Verdana"/>
          <w:color w:val="000000" w:themeColor="text1"/>
        </w:rPr>
        <w:t xml:space="preserve">. </w:t>
      </w:r>
      <w:r w:rsidRPr="005F3622">
        <w:rPr>
          <w:rFonts w:ascii="Verdana" w:hAnsi="Verdana"/>
          <w:color w:val="000000" w:themeColor="text1"/>
        </w:rPr>
        <w:t xml:space="preserve"> Each affected member will receive a </w:t>
      </w:r>
      <w:hyperlink r:id="rId11" w:anchor="!/view?docid=6729dfc8-5273-4452-928a-1f0cd5e66eb5" w:history="1">
        <w:r w:rsidR="00657A6A">
          <w:rPr>
            <w:rStyle w:val="Hyperlink"/>
            <w:rFonts w:ascii="Verdana" w:hAnsi="Verdana"/>
          </w:rPr>
          <w:t>letter (048775)</w:t>
        </w:r>
      </w:hyperlink>
      <w:r w:rsidR="006D272D" w:rsidRPr="005F3622">
        <w:rPr>
          <w:rFonts w:ascii="Verdana" w:hAnsi="Verdana"/>
          <w:color w:val="000000" w:themeColor="text1"/>
        </w:rPr>
        <w:t xml:space="preserve"> </w:t>
      </w:r>
      <w:r w:rsidR="00223AE0">
        <w:rPr>
          <w:rFonts w:ascii="Verdana" w:hAnsi="Verdana"/>
          <w:color w:val="000000" w:themeColor="text1"/>
        </w:rPr>
        <w:t>with the effective date and changes</w:t>
      </w:r>
      <w:bookmarkEnd w:id="2"/>
      <w:r w:rsidR="00223AE0">
        <w:rPr>
          <w:rFonts w:ascii="Verdana" w:hAnsi="Verdana"/>
          <w:color w:val="000000" w:themeColor="text1"/>
        </w:rPr>
        <w:t xml:space="preserve">. </w:t>
      </w:r>
    </w:p>
    <w:p w14:paraId="6121EB21" w14:textId="0C55428E" w:rsidR="00767920" w:rsidRPr="005F3622" w:rsidRDefault="006D272D" w:rsidP="00205990">
      <w:pPr>
        <w:spacing w:before="120" w:after="120"/>
        <w:rPr>
          <w:rFonts w:ascii="Verdana" w:hAnsi="Verdana" w:cs="Arial"/>
        </w:rPr>
      </w:pPr>
      <w:r w:rsidRPr="005F3622">
        <w:rPr>
          <w:rFonts w:ascii="Verdana" w:hAnsi="Verdana"/>
          <w:color w:val="000000" w:themeColor="text1"/>
        </w:rPr>
        <w:t xml:space="preserve">  </w:t>
      </w:r>
      <w:bookmarkStart w:id="3" w:name="_Hlk7966033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67920" w:rsidRPr="005F3622" w14:paraId="37C919FB" w14:textId="77777777" w:rsidTr="001F58E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D462A13" w14:textId="7AD9B6FE" w:rsidR="00767920" w:rsidRPr="005F3622" w:rsidRDefault="00767920" w:rsidP="00730DD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Toc206593656"/>
            <w:r w:rsidRPr="005F3622">
              <w:rPr>
                <w:rFonts w:ascii="Verdana" w:hAnsi="Verdana"/>
                <w:i w:val="0"/>
                <w:iCs w:val="0"/>
              </w:rPr>
              <w:t>Change Information</w:t>
            </w:r>
            <w:bookmarkEnd w:id="4"/>
          </w:p>
        </w:tc>
      </w:tr>
    </w:tbl>
    <w:bookmarkEnd w:id="3"/>
    <w:p w14:paraId="0106A071" w14:textId="2C62DEB8" w:rsidR="006D272D" w:rsidRPr="005F3622" w:rsidRDefault="006D272D" w:rsidP="00205990">
      <w:pPr>
        <w:spacing w:before="120" w:after="120"/>
        <w:rPr>
          <w:rFonts w:ascii="Verdana" w:hAnsi="Verdana"/>
          <w:color w:val="000000" w:themeColor="text1"/>
        </w:rPr>
      </w:pPr>
      <w:r w:rsidRPr="005F3622">
        <w:rPr>
          <w:rFonts w:ascii="Verdana" w:hAnsi="Verdana"/>
          <w:color w:val="000000" w:themeColor="text1"/>
        </w:rPr>
        <w:t xml:space="preserve">The following changes will be occurring for certain </w:t>
      </w:r>
      <w:r w:rsidR="00C4500E" w:rsidRPr="009A0FEA">
        <w:rPr>
          <w:rFonts w:ascii="Verdana" w:hAnsi="Verdana"/>
        </w:rPr>
        <w:t>clients</w:t>
      </w:r>
      <w:r w:rsidRPr="005F3622">
        <w:rPr>
          <w:rFonts w:ascii="Verdana" w:hAnsi="Verdana"/>
          <w:color w:val="000000" w:themeColor="text1"/>
        </w:rPr>
        <w:t xml:space="preserve"> and their members as follows:</w:t>
      </w:r>
    </w:p>
    <w:p w14:paraId="608DC94F" w14:textId="33C6CF9B" w:rsidR="006D272D" w:rsidRPr="005F3622" w:rsidRDefault="006D272D" w:rsidP="002B31D0">
      <w:pPr>
        <w:pStyle w:val="ListParagraph"/>
        <w:numPr>
          <w:ilvl w:val="0"/>
          <w:numId w:val="14"/>
        </w:numPr>
        <w:spacing w:before="120" w:after="120"/>
        <w:ind w:left="540"/>
        <w:rPr>
          <w:rFonts w:ascii="Verdana" w:hAnsi="Verdana" w:cs="Arial"/>
          <w:color w:val="000000" w:themeColor="text1"/>
          <w:sz w:val="24"/>
          <w:szCs w:val="24"/>
        </w:rPr>
      </w:pPr>
      <w:r w:rsidRPr="005F3622">
        <w:rPr>
          <w:rFonts w:ascii="Verdana" w:hAnsi="Verdana" w:cs="Arial"/>
          <w:color w:val="000000" w:themeColor="text1"/>
          <w:sz w:val="24"/>
          <w:szCs w:val="24"/>
        </w:rPr>
        <w:t xml:space="preserve">Some medications, like the ones listed below are intended to be taken in limited amounts for a specific period of time. </w:t>
      </w:r>
    </w:p>
    <w:p w14:paraId="5F6763E0" w14:textId="77777777" w:rsidR="006D272D" w:rsidRPr="005F3622" w:rsidRDefault="006D272D" w:rsidP="00205990">
      <w:pPr>
        <w:pStyle w:val="ListParagraph"/>
        <w:spacing w:before="120" w:after="120"/>
        <w:rPr>
          <w:rFonts w:ascii="Verdana" w:hAnsi="Verdana" w:cs="Arial"/>
          <w:color w:val="000000" w:themeColor="text1"/>
          <w:sz w:val="24"/>
          <w:szCs w:val="24"/>
        </w:rPr>
      </w:pPr>
    </w:p>
    <w:p w14:paraId="10127011" w14:textId="0CFCDBD2" w:rsidR="006D272D" w:rsidRPr="005F3622" w:rsidRDefault="006D272D" w:rsidP="00205990">
      <w:pPr>
        <w:pStyle w:val="ListParagraph"/>
        <w:numPr>
          <w:ilvl w:val="1"/>
          <w:numId w:val="14"/>
        </w:numPr>
        <w:spacing w:before="120" w:after="120"/>
        <w:ind w:left="990"/>
        <w:rPr>
          <w:rFonts w:ascii="Verdana" w:hAnsi="Verdana" w:cs="Arial"/>
          <w:color w:val="000000" w:themeColor="text1"/>
          <w:sz w:val="24"/>
          <w:szCs w:val="24"/>
        </w:rPr>
      </w:pPr>
      <w:r w:rsidRPr="005F3622">
        <w:rPr>
          <w:rFonts w:ascii="Verdana" w:hAnsi="Verdana" w:cs="Arial"/>
          <w:color w:val="000000" w:themeColor="text1"/>
          <w:sz w:val="24"/>
          <w:szCs w:val="24"/>
        </w:rPr>
        <w:t xml:space="preserve">There is </w:t>
      </w:r>
      <w:r w:rsidRPr="005F3622">
        <w:rPr>
          <w:rFonts w:ascii="Verdana" w:hAnsi="Verdana" w:cs="Arial"/>
          <w:b/>
          <w:bCs/>
          <w:color w:val="000000" w:themeColor="text1"/>
          <w:sz w:val="24"/>
          <w:szCs w:val="24"/>
        </w:rPr>
        <w:t>not</w:t>
      </w:r>
      <w:r w:rsidRPr="005F3622">
        <w:rPr>
          <w:rFonts w:ascii="Verdana" w:hAnsi="Verdana" w:cs="Arial"/>
          <w:color w:val="000000" w:themeColor="text1"/>
          <w:sz w:val="24"/>
          <w:szCs w:val="24"/>
        </w:rPr>
        <w:t xml:space="preserve"> a post limit prior authorization available as the limits imposed on each medication are the maximum allowed per the labeling.  The limits are based on the FDA-approved package labeling and in accordance with the guidelines of the medications. </w:t>
      </w:r>
    </w:p>
    <w:p w14:paraId="5B89CE9F" w14:textId="77777777" w:rsidR="002B31D0" w:rsidRPr="005F3622" w:rsidRDefault="002B31D0" w:rsidP="002B31D0">
      <w:pPr>
        <w:pStyle w:val="ListParagraph"/>
        <w:spacing w:before="120" w:after="120"/>
        <w:ind w:left="990"/>
        <w:rPr>
          <w:rFonts w:ascii="Verdana" w:hAnsi="Verdana" w:cs="Arial"/>
          <w:color w:val="000000" w:themeColor="text1"/>
          <w:sz w:val="24"/>
          <w:szCs w:val="24"/>
        </w:rPr>
      </w:pPr>
    </w:p>
    <w:p w14:paraId="2C8617DB" w14:textId="07D53DFD" w:rsidR="00A45729" w:rsidRDefault="00767920" w:rsidP="00A45729">
      <w:pPr>
        <w:spacing w:before="120" w:after="120"/>
        <w:rPr>
          <w:rFonts w:ascii="Verdana" w:hAnsi="Verdana"/>
        </w:rPr>
      </w:pPr>
      <w:r w:rsidRPr="005F3622">
        <w:rPr>
          <w:rFonts w:ascii="Verdana" w:hAnsi="Verdana" w:cs="Arial"/>
          <w:b/>
          <w:bCs/>
          <w:color w:val="000000" w:themeColor="text1"/>
        </w:rPr>
        <w:t>Note:</w:t>
      </w:r>
      <w:r w:rsidRPr="005F3622">
        <w:rPr>
          <w:rFonts w:ascii="Verdana" w:hAnsi="Verdana" w:cs="Arial"/>
          <w:color w:val="000000" w:themeColor="text1"/>
        </w:rPr>
        <w:t xml:space="preserve"> </w:t>
      </w:r>
      <w:r w:rsidR="006D272D" w:rsidRPr="005F3622">
        <w:rPr>
          <w:rFonts w:ascii="Verdana" w:hAnsi="Verdana" w:cs="Arial"/>
          <w:color w:val="000000" w:themeColor="text1"/>
        </w:rPr>
        <w:t xml:space="preserve">There will be a limit on the amount of medication that the </w:t>
      </w:r>
      <w:r w:rsidR="00A00E29" w:rsidRPr="005F3622">
        <w:rPr>
          <w:rFonts w:ascii="Verdana" w:hAnsi="Verdana" w:cs="Arial"/>
          <w:color w:val="000000" w:themeColor="text1"/>
        </w:rPr>
        <w:t>members’</w:t>
      </w:r>
      <w:r w:rsidR="006D272D" w:rsidRPr="005F3622">
        <w:rPr>
          <w:rFonts w:ascii="Verdana" w:hAnsi="Verdana" w:cs="Arial"/>
          <w:color w:val="000000" w:themeColor="text1"/>
        </w:rPr>
        <w:t xml:space="preserve"> plan cover</w:t>
      </w:r>
      <w:r w:rsidR="00B370B9">
        <w:rPr>
          <w:rFonts w:ascii="Verdana" w:hAnsi="Verdana" w:cs="Arial"/>
          <w:color w:val="000000" w:themeColor="text1"/>
        </w:rPr>
        <w:t>s</w:t>
      </w:r>
      <w:r w:rsidR="006D272D" w:rsidRPr="005F3622">
        <w:rPr>
          <w:rFonts w:ascii="Verdana" w:hAnsi="Verdana" w:cs="Arial"/>
          <w:color w:val="000000" w:themeColor="text1"/>
        </w:rPr>
        <w:t xml:space="preserve"> and once they reach that limit</w:t>
      </w:r>
      <w:r w:rsidRPr="005F3622">
        <w:rPr>
          <w:rFonts w:ascii="Verdana" w:hAnsi="Verdana" w:cs="Arial"/>
          <w:color w:val="000000" w:themeColor="text1"/>
        </w:rPr>
        <w:t xml:space="preserve"> then </w:t>
      </w:r>
      <w:r w:rsidR="006D272D" w:rsidRPr="005F3622">
        <w:rPr>
          <w:rFonts w:ascii="Verdana" w:hAnsi="Verdana" w:cs="Arial"/>
          <w:color w:val="000000" w:themeColor="text1"/>
        </w:rPr>
        <w:t>they will be responsible in paying for the entire cost.</w:t>
      </w:r>
      <w:r w:rsidRPr="005F3622">
        <w:rPr>
          <w:rFonts w:ascii="Verdana" w:hAnsi="Verdana" w:cs="Arial"/>
          <w:color w:val="000000" w:themeColor="text1"/>
        </w:rPr>
        <w:t xml:space="preserve">  The member can select to continue to take the medication however their plan will not cover any part of the cost.</w:t>
      </w:r>
      <w:r w:rsidR="00A45729">
        <w:rPr>
          <w:rFonts w:ascii="Verdana" w:hAnsi="Verdana" w:cs="Arial"/>
          <w:color w:val="000000" w:themeColor="text1"/>
        </w:rPr>
        <w:t xml:space="preserve">  </w:t>
      </w:r>
      <w:r w:rsidR="00A45729">
        <w:rPr>
          <w:rFonts w:ascii="Verdana" w:hAnsi="Verdana"/>
        </w:rPr>
        <w:t>The plan cover</w:t>
      </w:r>
      <w:r w:rsidR="00110E5A">
        <w:rPr>
          <w:rFonts w:ascii="Verdana" w:hAnsi="Verdana"/>
        </w:rPr>
        <w:t>s</w:t>
      </w:r>
      <w:r w:rsidR="00A45729">
        <w:rPr>
          <w:rFonts w:ascii="Verdana" w:hAnsi="Verdana"/>
        </w:rPr>
        <w:t xml:space="preserve"> up to the quantity limit.  It will not cover any amount filled above that quantity limit. </w:t>
      </w:r>
      <w:r w:rsidR="00366B6E">
        <w:rPr>
          <w:rFonts w:ascii="Verdana" w:hAnsi="Verdana"/>
        </w:rPr>
        <w:t>The value formulary program is specific for each clien</w:t>
      </w:r>
      <w:r w:rsidR="00F73966">
        <w:rPr>
          <w:rFonts w:ascii="Verdana" w:hAnsi="Verdana"/>
        </w:rPr>
        <w:t xml:space="preserve">t. Below are examples that may or may not be included in the plans </w:t>
      </w:r>
      <w:r w:rsidR="00C9506D">
        <w:rPr>
          <w:rFonts w:ascii="Verdana" w:hAnsi="Verdana"/>
        </w:rPr>
        <w:t xml:space="preserve">list. Refer to the CIF. </w:t>
      </w:r>
    </w:p>
    <w:p w14:paraId="6CEE4A98" w14:textId="2F4DE7AE" w:rsidR="006D272D" w:rsidRPr="005F3622" w:rsidRDefault="006D272D" w:rsidP="002B31D0">
      <w:pPr>
        <w:pStyle w:val="ListParagraph"/>
        <w:spacing w:before="120" w:after="120"/>
        <w:ind w:left="990"/>
        <w:rPr>
          <w:rFonts w:ascii="Verdana" w:hAnsi="Verdana" w:cs="Arial"/>
          <w:color w:val="000000" w:themeColor="text1"/>
          <w:sz w:val="24"/>
          <w:szCs w:val="24"/>
        </w:rPr>
      </w:pPr>
    </w:p>
    <w:p w14:paraId="1247516B" w14:textId="550B3137" w:rsidR="006D272D" w:rsidRPr="005F3622" w:rsidRDefault="006D272D" w:rsidP="00205990">
      <w:pPr>
        <w:spacing w:before="120" w:after="120"/>
        <w:rPr>
          <w:rFonts w:ascii="Verdana" w:hAnsi="Verdana" w:cs="Arial"/>
          <w:color w:val="000000" w:themeColor="text1"/>
        </w:rPr>
      </w:pPr>
    </w:p>
    <w:p w14:paraId="3C396961" w14:textId="77777777" w:rsidR="006D272D" w:rsidRPr="00B370B9" w:rsidRDefault="006D272D" w:rsidP="00DA3F0D">
      <w:pPr>
        <w:pStyle w:val="NormalWeb"/>
        <w:spacing w:before="120" w:beforeAutospacing="0" w:after="120" w:afterAutospacing="0"/>
        <w:rPr>
          <w:rFonts w:ascii="Verdana" w:hAnsi="Verdana"/>
          <w:sz w:val="22"/>
          <w:szCs w:val="22"/>
        </w:rPr>
      </w:pPr>
      <w:r w:rsidRPr="005F3622">
        <w:rPr>
          <w:rFonts w:ascii="Verdana" w:hAnsi="Verdana"/>
        </w:rPr>
        <w:t xml:space="preserve">Drug Maximum Dosing Package Size(s) 1 Month Limit* 3 Months Limit* </w:t>
      </w:r>
    </w:p>
    <w:p w14:paraId="2C7CF843" w14:textId="77777777" w:rsidR="00B370B9" w:rsidRPr="005F3622" w:rsidRDefault="00B370B9" w:rsidP="00B370B9">
      <w:pPr>
        <w:pStyle w:val="NormalWeb"/>
        <w:spacing w:before="120" w:beforeAutospacing="0" w:after="120" w:afterAutospacing="0"/>
        <w:ind w:left="540"/>
        <w:rPr>
          <w:rFonts w:ascii="Verdana" w:hAnsi="Verdana"/>
          <w:sz w:val="22"/>
          <w:szCs w:val="22"/>
        </w:rPr>
      </w:pPr>
    </w:p>
    <w:p w14:paraId="7E4DC2CA" w14:textId="77777777" w:rsidR="006D272D" w:rsidRPr="005F3622" w:rsidRDefault="006D272D" w:rsidP="002B31D0">
      <w:pPr>
        <w:spacing w:before="120" w:after="120"/>
        <w:ind w:left="990"/>
        <w:rPr>
          <w:rFonts w:ascii="Verdana" w:hAnsi="Verdana"/>
        </w:rPr>
      </w:pPr>
    </w:p>
    <w:p w14:paraId="5BFA849C" w14:textId="097E80FF" w:rsidR="007470E2" w:rsidRPr="00D7179D" w:rsidRDefault="006D272D" w:rsidP="00DA3F0D">
      <w:pPr>
        <w:numPr>
          <w:ilvl w:val="0"/>
          <w:numId w:val="14"/>
        </w:numPr>
        <w:spacing w:before="120" w:after="120"/>
        <w:rPr>
          <w:rFonts w:ascii="Verdana" w:eastAsia="Calibri" w:hAnsi="Verdana"/>
        </w:rPr>
      </w:pPr>
      <w:r w:rsidRPr="00D7179D">
        <w:rPr>
          <w:rFonts w:ascii="Verdana" w:hAnsi="Verdana"/>
          <w:b/>
          <w:bCs/>
        </w:rPr>
        <w:t>Bydureon</w:t>
      </w:r>
      <w:r w:rsidRPr="00D7179D">
        <w:rPr>
          <w:rFonts w:ascii="Verdana" w:hAnsi="Verdana"/>
        </w:rPr>
        <w:t xml:space="preserve"> </w:t>
      </w:r>
      <w:r w:rsidR="0061513A" w:rsidRPr="00D7179D">
        <w:rPr>
          <w:rFonts w:ascii="Verdana" w:eastAsia="Calibri" w:hAnsi="Verdana"/>
        </w:rPr>
        <w:t>2mg dose</w:t>
      </w:r>
      <w:r w:rsidR="003A31F0" w:rsidRPr="00D7179D">
        <w:rPr>
          <w:rFonts w:ascii="Verdana" w:eastAsia="Calibri" w:hAnsi="Verdana"/>
        </w:rPr>
        <w:t xml:space="preserve"> once weekly</w:t>
      </w:r>
      <w:r w:rsidR="00DE1834" w:rsidRPr="00D7179D">
        <w:rPr>
          <w:rFonts w:ascii="Verdana" w:eastAsia="Calibri" w:hAnsi="Verdana"/>
        </w:rPr>
        <w:br/>
      </w:r>
      <w:r w:rsidR="001B75F5" w:rsidRPr="00D7179D">
        <w:rPr>
          <w:rFonts w:ascii="Verdana" w:eastAsia="Calibri" w:hAnsi="Verdana"/>
        </w:rPr>
        <w:t>Available in c</w:t>
      </w:r>
      <w:r w:rsidR="007470E2" w:rsidRPr="00D7179D">
        <w:rPr>
          <w:rFonts w:ascii="Verdana" w:eastAsia="Calibri" w:hAnsi="Verdana"/>
        </w:rPr>
        <w:t>arton</w:t>
      </w:r>
      <w:r w:rsidR="001B75F5" w:rsidRPr="00D7179D">
        <w:rPr>
          <w:rFonts w:ascii="Verdana" w:eastAsia="Calibri" w:hAnsi="Verdana"/>
        </w:rPr>
        <w:t>s</w:t>
      </w:r>
      <w:r w:rsidR="007470E2" w:rsidRPr="00D7179D">
        <w:rPr>
          <w:rFonts w:ascii="Verdana" w:eastAsia="Calibri" w:hAnsi="Verdana"/>
        </w:rPr>
        <w:t xml:space="preserve"> of 4 single dose pens</w:t>
      </w:r>
      <w:r w:rsidR="00DE1834" w:rsidRPr="00D7179D">
        <w:rPr>
          <w:rFonts w:ascii="Verdana" w:eastAsia="Calibri" w:hAnsi="Verdana"/>
        </w:rPr>
        <w:br/>
      </w:r>
      <w:r w:rsidR="007470E2" w:rsidRPr="00D7179D">
        <w:rPr>
          <w:rFonts w:ascii="Verdana" w:eastAsia="Calibri" w:hAnsi="Verdana"/>
        </w:rPr>
        <w:t>4 pens / 21 days</w:t>
      </w:r>
      <w:r w:rsidR="00DE1834" w:rsidRPr="00D7179D">
        <w:rPr>
          <w:rFonts w:ascii="Verdana" w:eastAsia="Calibri" w:hAnsi="Verdana"/>
        </w:rPr>
        <w:br/>
      </w:r>
      <w:r w:rsidR="007470E2" w:rsidRPr="00D7179D">
        <w:rPr>
          <w:rFonts w:ascii="Verdana" w:eastAsia="Calibri" w:hAnsi="Verdana"/>
        </w:rPr>
        <w:t>12 pens / 63 days</w:t>
      </w:r>
    </w:p>
    <w:p w14:paraId="377D6DF2" w14:textId="77777777" w:rsidR="006D272D" w:rsidRPr="00D7179D" w:rsidRDefault="006D272D" w:rsidP="002B31D0">
      <w:pPr>
        <w:spacing w:before="120" w:after="120"/>
        <w:ind w:left="990"/>
        <w:rPr>
          <w:rFonts w:ascii="Verdana" w:hAnsi="Verdana"/>
        </w:rPr>
      </w:pPr>
    </w:p>
    <w:p w14:paraId="6196E3E1" w14:textId="08A56CBE" w:rsidR="006D272D" w:rsidRPr="00D7179D" w:rsidRDefault="006D272D" w:rsidP="00DA3F0D">
      <w:pPr>
        <w:pStyle w:val="ListParagraph"/>
        <w:numPr>
          <w:ilvl w:val="0"/>
          <w:numId w:val="14"/>
        </w:numPr>
        <w:spacing w:before="120" w:after="120"/>
        <w:rPr>
          <w:rFonts w:ascii="Verdana" w:hAnsi="Verdana"/>
          <w:sz w:val="24"/>
          <w:szCs w:val="24"/>
        </w:rPr>
      </w:pPr>
      <w:r w:rsidRPr="00D7179D">
        <w:rPr>
          <w:rFonts w:ascii="Verdana" w:hAnsi="Verdana"/>
          <w:b/>
          <w:bCs/>
          <w:sz w:val="24"/>
          <w:szCs w:val="24"/>
        </w:rPr>
        <w:t>Bydureon BCise</w:t>
      </w:r>
      <w:r w:rsidRPr="00D7179D">
        <w:rPr>
          <w:rFonts w:ascii="Verdana" w:hAnsi="Verdana"/>
          <w:sz w:val="24"/>
          <w:szCs w:val="24"/>
        </w:rPr>
        <w:t xml:space="preserve"> 2mg once weekly </w:t>
      </w:r>
      <w:r w:rsidR="008F6B59" w:rsidRPr="00D7179D">
        <w:rPr>
          <w:rFonts w:ascii="Verdana" w:hAnsi="Verdana"/>
          <w:sz w:val="24"/>
          <w:szCs w:val="24"/>
        </w:rPr>
        <w:br/>
      </w:r>
      <w:r w:rsidR="00015EE9" w:rsidRPr="00D7179D">
        <w:rPr>
          <w:rFonts w:ascii="Verdana" w:hAnsi="Verdana"/>
          <w:sz w:val="24"/>
          <w:szCs w:val="24"/>
        </w:rPr>
        <w:t>Available in c</w:t>
      </w:r>
      <w:r w:rsidRPr="00D7179D">
        <w:rPr>
          <w:rFonts w:ascii="Verdana" w:hAnsi="Verdana"/>
          <w:sz w:val="24"/>
          <w:szCs w:val="24"/>
        </w:rPr>
        <w:t>arton</w:t>
      </w:r>
      <w:r w:rsidR="00015EE9" w:rsidRPr="00D7179D">
        <w:rPr>
          <w:rFonts w:ascii="Verdana" w:hAnsi="Verdana"/>
          <w:sz w:val="24"/>
          <w:szCs w:val="24"/>
        </w:rPr>
        <w:t>s</w:t>
      </w:r>
      <w:r w:rsidRPr="00D7179D">
        <w:rPr>
          <w:rFonts w:ascii="Verdana" w:hAnsi="Verdana"/>
          <w:sz w:val="24"/>
          <w:szCs w:val="24"/>
        </w:rPr>
        <w:t xml:space="preserve"> of 4 single dose auto-injectors (2</w:t>
      </w:r>
      <w:r w:rsidR="0050201D" w:rsidRPr="00D7179D">
        <w:rPr>
          <w:rFonts w:ascii="Verdana" w:hAnsi="Verdana"/>
          <w:sz w:val="24"/>
          <w:szCs w:val="24"/>
        </w:rPr>
        <w:t xml:space="preserve"> </w:t>
      </w:r>
      <w:r w:rsidRPr="00D7179D">
        <w:rPr>
          <w:rFonts w:ascii="Verdana" w:hAnsi="Verdana"/>
          <w:sz w:val="24"/>
          <w:szCs w:val="24"/>
        </w:rPr>
        <w:t>mg/0.85</w:t>
      </w:r>
      <w:r w:rsidR="0050201D" w:rsidRPr="00D7179D">
        <w:rPr>
          <w:rFonts w:ascii="Verdana" w:hAnsi="Verdana"/>
          <w:sz w:val="24"/>
          <w:szCs w:val="24"/>
        </w:rPr>
        <w:t xml:space="preserve"> </w:t>
      </w:r>
      <w:r w:rsidRPr="00D7179D">
        <w:rPr>
          <w:rFonts w:ascii="Verdana" w:hAnsi="Verdana"/>
          <w:sz w:val="24"/>
          <w:szCs w:val="24"/>
        </w:rPr>
        <w:t xml:space="preserve">mL each) </w:t>
      </w:r>
      <w:r w:rsidR="008F6B59" w:rsidRPr="00D7179D">
        <w:rPr>
          <w:rFonts w:ascii="Verdana" w:hAnsi="Verdana"/>
          <w:sz w:val="24"/>
          <w:szCs w:val="24"/>
        </w:rPr>
        <w:br/>
      </w:r>
      <w:r w:rsidRPr="00D7179D">
        <w:rPr>
          <w:rFonts w:ascii="Verdana" w:hAnsi="Verdana"/>
          <w:sz w:val="24"/>
          <w:szCs w:val="24"/>
        </w:rPr>
        <w:t>4 auto-injectors (3.4</w:t>
      </w:r>
      <w:r w:rsidR="0050201D" w:rsidRPr="00D7179D">
        <w:rPr>
          <w:rFonts w:ascii="Verdana" w:hAnsi="Verdana"/>
          <w:sz w:val="24"/>
          <w:szCs w:val="24"/>
        </w:rPr>
        <w:t xml:space="preserve"> </w:t>
      </w:r>
      <w:r w:rsidRPr="00D7179D">
        <w:rPr>
          <w:rFonts w:ascii="Verdana" w:hAnsi="Verdana"/>
          <w:sz w:val="24"/>
          <w:szCs w:val="24"/>
        </w:rPr>
        <w:t xml:space="preserve">mL) / </w:t>
      </w:r>
      <w:r w:rsidR="009A0FEA" w:rsidRPr="00D7179D">
        <w:rPr>
          <w:rFonts w:ascii="Verdana" w:hAnsi="Verdana"/>
          <w:sz w:val="24"/>
          <w:szCs w:val="24"/>
        </w:rPr>
        <w:t>21</w:t>
      </w:r>
      <w:r w:rsidR="000923AA">
        <w:rPr>
          <w:rFonts w:ascii="Verdana" w:hAnsi="Verdana"/>
          <w:sz w:val="24"/>
          <w:szCs w:val="24"/>
        </w:rPr>
        <w:t xml:space="preserve"> </w:t>
      </w:r>
      <w:r w:rsidR="009A0FEA" w:rsidRPr="00D7179D">
        <w:rPr>
          <w:rFonts w:ascii="Verdana" w:hAnsi="Verdana"/>
          <w:sz w:val="24"/>
          <w:szCs w:val="24"/>
        </w:rPr>
        <w:t>day</w:t>
      </w:r>
      <w:r w:rsidR="00192135" w:rsidRPr="00D7179D">
        <w:rPr>
          <w:rFonts w:ascii="Verdana" w:hAnsi="Verdana"/>
          <w:sz w:val="24"/>
          <w:szCs w:val="24"/>
        </w:rPr>
        <w:t>s</w:t>
      </w:r>
      <w:r w:rsidRPr="00D7179D">
        <w:rPr>
          <w:rFonts w:ascii="Verdana" w:hAnsi="Verdana"/>
          <w:sz w:val="24"/>
          <w:szCs w:val="24"/>
        </w:rPr>
        <w:t xml:space="preserve"> </w:t>
      </w:r>
      <w:r w:rsidR="008F6B59" w:rsidRPr="00D7179D">
        <w:rPr>
          <w:rFonts w:ascii="Verdana" w:hAnsi="Verdana"/>
          <w:sz w:val="24"/>
          <w:szCs w:val="24"/>
        </w:rPr>
        <w:br/>
      </w:r>
      <w:r w:rsidRPr="00D7179D">
        <w:rPr>
          <w:rFonts w:ascii="Verdana" w:hAnsi="Verdana"/>
          <w:sz w:val="24"/>
          <w:szCs w:val="24"/>
        </w:rPr>
        <w:t>12 auto-injectors (10.2</w:t>
      </w:r>
      <w:r w:rsidR="0050201D" w:rsidRPr="00D7179D">
        <w:rPr>
          <w:rFonts w:ascii="Verdana" w:hAnsi="Verdana"/>
          <w:sz w:val="24"/>
          <w:szCs w:val="24"/>
        </w:rPr>
        <w:t xml:space="preserve"> </w:t>
      </w:r>
      <w:r w:rsidRPr="00D7179D">
        <w:rPr>
          <w:rFonts w:ascii="Verdana" w:hAnsi="Verdana"/>
          <w:sz w:val="24"/>
          <w:szCs w:val="24"/>
        </w:rPr>
        <w:t xml:space="preserve">mL) / 63 </w:t>
      </w:r>
      <w:r w:rsidR="00911792" w:rsidRPr="00D7179D">
        <w:rPr>
          <w:rFonts w:ascii="Verdana" w:hAnsi="Verdana"/>
          <w:sz w:val="24"/>
          <w:szCs w:val="24"/>
        </w:rPr>
        <w:t>days</w:t>
      </w:r>
      <w:r w:rsidRPr="00D7179D">
        <w:rPr>
          <w:rFonts w:ascii="Verdana" w:hAnsi="Verdana"/>
          <w:sz w:val="24"/>
          <w:szCs w:val="24"/>
        </w:rPr>
        <w:t xml:space="preserve"> </w:t>
      </w:r>
    </w:p>
    <w:p w14:paraId="44CFB573" w14:textId="77777777" w:rsidR="006D272D" w:rsidRPr="00D7179D" w:rsidRDefault="006D272D" w:rsidP="002B31D0">
      <w:pPr>
        <w:spacing w:before="120" w:after="120"/>
        <w:ind w:left="990"/>
        <w:rPr>
          <w:rFonts w:ascii="Verdana" w:hAnsi="Verdana"/>
        </w:rPr>
      </w:pPr>
    </w:p>
    <w:p w14:paraId="605E7691" w14:textId="3D9EED91" w:rsidR="006B5538" w:rsidRPr="00D7179D" w:rsidRDefault="006D272D" w:rsidP="00DA3F0D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4"/>
          <w:szCs w:val="24"/>
        </w:rPr>
      </w:pPr>
      <w:r w:rsidRPr="00D7179D">
        <w:rPr>
          <w:rFonts w:ascii="Verdana" w:hAnsi="Verdana"/>
          <w:b/>
          <w:bCs/>
          <w:sz w:val="24"/>
          <w:szCs w:val="24"/>
        </w:rPr>
        <w:t>Byetta</w:t>
      </w:r>
      <w:r w:rsidRPr="00D7179D">
        <w:rPr>
          <w:rFonts w:ascii="Verdana" w:hAnsi="Verdana"/>
          <w:sz w:val="24"/>
          <w:szCs w:val="24"/>
        </w:rPr>
        <w:t xml:space="preserve"> </w:t>
      </w:r>
    </w:p>
    <w:p w14:paraId="7711DE6A" w14:textId="77777777" w:rsidR="000923AA" w:rsidRDefault="000923AA" w:rsidP="000923AA">
      <w:pPr>
        <w:pStyle w:val="ListParagraph"/>
        <w:spacing w:before="120" w:after="120"/>
        <w:rPr>
          <w:rFonts w:ascii="Verdana" w:hAnsi="Verdana"/>
          <w:sz w:val="24"/>
          <w:szCs w:val="24"/>
        </w:rPr>
      </w:pPr>
    </w:p>
    <w:p w14:paraId="2ADE53B7" w14:textId="0124AD1D" w:rsidR="000F33BE" w:rsidRPr="00D7179D" w:rsidRDefault="004C1D35" w:rsidP="000923AA">
      <w:pPr>
        <w:pStyle w:val="ListParagraph"/>
        <w:spacing w:before="120" w:after="120"/>
        <w:rPr>
          <w:rFonts w:ascii="Verdana" w:hAnsi="Verdana"/>
          <w:sz w:val="24"/>
          <w:szCs w:val="24"/>
        </w:rPr>
      </w:pPr>
      <w:r w:rsidRPr="00D7179D">
        <w:rPr>
          <w:rFonts w:ascii="Verdana" w:hAnsi="Verdana"/>
          <w:sz w:val="24"/>
          <w:szCs w:val="24"/>
        </w:rPr>
        <w:t xml:space="preserve">5 mcg dose, 60 doses per pen, </w:t>
      </w:r>
      <w:r w:rsidRPr="00D7179D">
        <w:rPr>
          <w:rFonts w:ascii="Verdana" w:hAnsi="Verdana"/>
          <w:sz w:val="24"/>
          <w:szCs w:val="24"/>
        </w:rPr>
        <w:br/>
        <w:t xml:space="preserve">1 prefilled pen (1.2 mL) / 25 days </w:t>
      </w:r>
      <w:r w:rsidRPr="00D7179D">
        <w:rPr>
          <w:rFonts w:ascii="Verdana" w:hAnsi="Verdana"/>
          <w:sz w:val="24"/>
          <w:szCs w:val="24"/>
        </w:rPr>
        <w:br/>
        <w:t>3 prefilled pens (3.6 mL) / 75 days</w:t>
      </w:r>
    </w:p>
    <w:p w14:paraId="374585A4" w14:textId="77777777" w:rsidR="000923AA" w:rsidRDefault="000923AA" w:rsidP="000923AA">
      <w:pPr>
        <w:pStyle w:val="ListParagraph"/>
        <w:spacing w:before="120" w:after="120"/>
        <w:rPr>
          <w:rFonts w:ascii="Verdana" w:hAnsi="Verdana"/>
          <w:sz w:val="24"/>
          <w:szCs w:val="24"/>
        </w:rPr>
      </w:pPr>
    </w:p>
    <w:p w14:paraId="1838FAC8" w14:textId="22BC924E" w:rsidR="004C1D35" w:rsidRPr="00D7179D" w:rsidRDefault="004C1D35" w:rsidP="000923AA">
      <w:pPr>
        <w:pStyle w:val="ListParagraph"/>
        <w:spacing w:before="120" w:after="120"/>
        <w:rPr>
          <w:rFonts w:ascii="Verdana" w:hAnsi="Verdana"/>
          <w:sz w:val="24"/>
          <w:szCs w:val="24"/>
        </w:rPr>
      </w:pPr>
      <w:r w:rsidRPr="00D7179D">
        <w:rPr>
          <w:rFonts w:ascii="Verdana" w:hAnsi="Verdana"/>
          <w:sz w:val="24"/>
          <w:szCs w:val="24"/>
        </w:rPr>
        <w:t>10 mcg dose, 60 doses per pen</w:t>
      </w:r>
      <w:r w:rsidRPr="00D7179D">
        <w:rPr>
          <w:rFonts w:ascii="Verdana" w:hAnsi="Verdana"/>
          <w:sz w:val="24"/>
          <w:szCs w:val="24"/>
        </w:rPr>
        <w:br/>
        <w:t xml:space="preserve">1 prefilled pen (2.4 mL) / 25 days </w:t>
      </w:r>
      <w:r w:rsidRPr="00D7179D">
        <w:rPr>
          <w:rFonts w:ascii="Verdana" w:hAnsi="Verdana"/>
          <w:sz w:val="24"/>
          <w:szCs w:val="24"/>
        </w:rPr>
        <w:br/>
        <w:t xml:space="preserve">3 prefilled pens (7.2 mL) / 75 days </w:t>
      </w:r>
    </w:p>
    <w:p w14:paraId="5550EF4E" w14:textId="77777777" w:rsidR="006D272D" w:rsidRPr="00D7179D" w:rsidRDefault="006D272D" w:rsidP="00DA3F0D">
      <w:pPr>
        <w:spacing w:before="120" w:after="120"/>
        <w:ind w:left="720"/>
        <w:rPr>
          <w:rFonts w:ascii="Verdana" w:hAnsi="Verdana"/>
        </w:rPr>
      </w:pPr>
    </w:p>
    <w:p w14:paraId="5365C476" w14:textId="295941B4" w:rsidR="008353C7" w:rsidRPr="00D7179D" w:rsidRDefault="006D272D">
      <w:pPr>
        <w:numPr>
          <w:ilvl w:val="0"/>
          <w:numId w:val="22"/>
        </w:numPr>
        <w:spacing w:before="120" w:after="120"/>
        <w:rPr>
          <w:rFonts w:ascii="Verdana" w:hAnsi="Verdana"/>
        </w:rPr>
      </w:pPr>
      <w:r w:rsidRPr="00D7179D">
        <w:rPr>
          <w:rFonts w:ascii="Verdana" w:hAnsi="Verdana"/>
          <w:b/>
          <w:bCs/>
        </w:rPr>
        <w:t>Ozempic</w:t>
      </w:r>
      <w:r w:rsidRPr="00D7179D">
        <w:rPr>
          <w:rFonts w:ascii="Verdana" w:hAnsi="Verdana"/>
        </w:rPr>
        <w:t xml:space="preserve"> 1mg once weekly</w:t>
      </w:r>
    </w:p>
    <w:p w14:paraId="36FABB5C" w14:textId="7B4439D9" w:rsidR="008353C7" w:rsidRPr="00D7179D" w:rsidRDefault="006D272D" w:rsidP="008353C7">
      <w:pPr>
        <w:spacing w:before="120" w:after="120"/>
        <w:ind w:left="720"/>
        <w:rPr>
          <w:rFonts w:ascii="Verdana" w:hAnsi="Verdana"/>
        </w:rPr>
      </w:pPr>
      <w:r w:rsidRPr="00D7179D">
        <w:rPr>
          <w:rFonts w:ascii="Verdana" w:hAnsi="Verdana"/>
        </w:rPr>
        <w:t>Carton of 1 pen (2</w:t>
      </w:r>
      <w:r w:rsidR="0050201D" w:rsidRPr="00D7179D">
        <w:rPr>
          <w:rFonts w:ascii="Verdana" w:hAnsi="Verdana"/>
        </w:rPr>
        <w:t xml:space="preserve"> </w:t>
      </w:r>
      <w:r w:rsidRPr="00D7179D">
        <w:rPr>
          <w:rFonts w:ascii="Verdana" w:hAnsi="Verdana"/>
        </w:rPr>
        <w:t>mg/1.5mL</w:t>
      </w:r>
      <w:r w:rsidR="00DD7392" w:rsidRPr="00D7179D">
        <w:rPr>
          <w:rFonts w:ascii="Verdana" w:hAnsi="Verdana"/>
        </w:rPr>
        <w:t xml:space="preserve">) </w:t>
      </w:r>
    </w:p>
    <w:p w14:paraId="7A7891ED" w14:textId="038E8126" w:rsidR="00B845B0" w:rsidRPr="00D7179D" w:rsidRDefault="00DD7392" w:rsidP="00B845B0">
      <w:pPr>
        <w:spacing w:before="120" w:after="120"/>
        <w:ind w:left="720"/>
        <w:rPr>
          <w:rFonts w:ascii="Verdana" w:hAnsi="Verdana"/>
        </w:rPr>
      </w:pPr>
      <w:r w:rsidRPr="00D7179D">
        <w:rPr>
          <w:rFonts w:ascii="Verdana" w:hAnsi="Verdana"/>
        </w:rPr>
        <w:t>Carton</w:t>
      </w:r>
      <w:r w:rsidR="006D272D" w:rsidRPr="00D7179D">
        <w:rPr>
          <w:rFonts w:ascii="Verdana" w:hAnsi="Verdana"/>
        </w:rPr>
        <w:t xml:space="preserve"> of 2 pens (2</w:t>
      </w:r>
      <w:r w:rsidR="0050201D" w:rsidRPr="00D7179D">
        <w:rPr>
          <w:rFonts w:ascii="Verdana" w:hAnsi="Verdana"/>
        </w:rPr>
        <w:t xml:space="preserve"> </w:t>
      </w:r>
      <w:r w:rsidR="006D272D" w:rsidRPr="00D7179D">
        <w:rPr>
          <w:rFonts w:ascii="Verdana" w:hAnsi="Verdana"/>
        </w:rPr>
        <w:t>mg/1.5</w:t>
      </w:r>
      <w:r w:rsidR="0050201D" w:rsidRPr="00D7179D">
        <w:rPr>
          <w:rFonts w:ascii="Verdana" w:hAnsi="Verdana"/>
        </w:rPr>
        <w:t xml:space="preserve"> </w:t>
      </w:r>
      <w:r w:rsidR="006D272D" w:rsidRPr="00D7179D">
        <w:rPr>
          <w:rFonts w:ascii="Verdana" w:hAnsi="Verdana"/>
        </w:rPr>
        <w:t>mL each) 2 prefilled pens (3</w:t>
      </w:r>
      <w:r w:rsidR="0050201D" w:rsidRPr="00D7179D">
        <w:rPr>
          <w:rFonts w:ascii="Verdana" w:hAnsi="Verdana"/>
        </w:rPr>
        <w:t xml:space="preserve"> </w:t>
      </w:r>
      <w:r w:rsidR="006D272D" w:rsidRPr="00D7179D">
        <w:rPr>
          <w:rFonts w:ascii="Verdana" w:hAnsi="Verdana"/>
        </w:rPr>
        <w:t xml:space="preserve">mL) / 21 </w:t>
      </w:r>
      <w:r w:rsidRPr="00D7179D">
        <w:rPr>
          <w:rFonts w:ascii="Verdana" w:hAnsi="Verdana"/>
        </w:rPr>
        <w:t>days, 6</w:t>
      </w:r>
      <w:r w:rsidR="006D272D" w:rsidRPr="00D7179D">
        <w:rPr>
          <w:rFonts w:ascii="Verdana" w:hAnsi="Verdana"/>
        </w:rPr>
        <w:t xml:space="preserve"> prefilled pens (9</w:t>
      </w:r>
      <w:r w:rsidR="0050201D" w:rsidRPr="00D7179D">
        <w:rPr>
          <w:rFonts w:ascii="Verdana" w:hAnsi="Verdana"/>
        </w:rPr>
        <w:t xml:space="preserve"> </w:t>
      </w:r>
      <w:r w:rsidR="006D272D" w:rsidRPr="00D7179D">
        <w:rPr>
          <w:rFonts w:ascii="Verdana" w:hAnsi="Verdana"/>
        </w:rPr>
        <w:t xml:space="preserve">mL) / 63 days </w:t>
      </w:r>
    </w:p>
    <w:p w14:paraId="4A788B4F" w14:textId="251D920C" w:rsidR="006D272D" w:rsidRPr="00D7179D" w:rsidRDefault="006D272D" w:rsidP="00DA3F0D">
      <w:pPr>
        <w:spacing w:before="120" w:after="120"/>
        <w:ind w:left="720"/>
        <w:rPr>
          <w:rFonts w:ascii="Verdana" w:hAnsi="Verdana"/>
        </w:rPr>
      </w:pPr>
      <w:r w:rsidRPr="00D7179D">
        <w:rPr>
          <w:rFonts w:ascii="Verdana" w:hAnsi="Verdana"/>
        </w:rPr>
        <w:t>Carton of 1 pen (4</w:t>
      </w:r>
      <w:r w:rsidR="0050201D" w:rsidRPr="00D7179D">
        <w:rPr>
          <w:rFonts w:ascii="Verdana" w:hAnsi="Verdana"/>
        </w:rPr>
        <w:t xml:space="preserve"> </w:t>
      </w:r>
      <w:r w:rsidRPr="00D7179D">
        <w:rPr>
          <w:rFonts w:ascii="Verdana" w:hAnsi="Verdana"/>
        </w:rPr>
        <w:t>mg/3</w:t>
      </w:r>
      <w:r w:rsidR="0050201D" w:rsidRPr="00D7179D">
        <w:rPr>
          <w:rFonts w:ascii="Verdana" w:hAnsi="Verdana"/>
        </w:rPr>
        <w:t xml:space="preserve"> </w:t>
      </w:r>
      <w:r w:rsidRPr="00D7179D">
        <w:rPr>
          <w:rFonts w:ascii="Verdana" w:hAnsi="Verdana"/>
        </w:rPr>
        <w:t>mL) 1 prefilled pen (3</w:t>
      </w:r>
      <w:r w:rsidR="0050201D" w:rsidRPr="00D7179D">
        <w:rPr>
          <w:rFonts w:ascii="Verdana" w:hAnsi="Verdana"/>
        </w:rPr>
        <w:t xml:space="preserve"> </w:t>
      </w:r>
      <w:r w:rsidRPr="00D7179D">
        <w:rPr>
          <w:rFonts w:ascii="Verdana" w:hAnsi="Verdana"/>
        </w:rPr>
        <w:t xml:space="preserve">mL) / 21 </w:t>
      </w:r>
      <w:r w:rsidR="00DD7392" w:rsidRPr="00D7179D">
        <w:rPr>
          <w:rFonts w:ascii="Verdana" w:hAnsi="Verdana"/>
        </w:rPr>
        <w:t>days, 3</w:t>
      </w:r>
      <w:r w:rsidRPr="00D7179D">
        <w:rPr>
          <w:rFonts w:ascii="Verdana" w:hAnsi="Verdana"/>
        </w:rPr>
        <w:t xml:space="preserve"> prefilled pens (9mL) / 63 days </w:t>
      </w:r>
    </w:p>
    <w:p w14:paraId="26418FF8" w14:textId="77777777" w:rsidR="006D272D" w:rsidRPr="005F3622" w:rsidRDefault="006D272D" w:rsidP="002B31D0">
      <w:pPr>
        <w:spacing w:before="120" w:after="120"/>
        <w:ind w:left="990"/>
        <w:rPr>
          <w:rFonts w:ascii="Verdana" w:hAnsi="Verdana"/>
        </w:rPr>
      </w:pPr>
    </w:p>
    <w:p w14:paraId="3286B054" w14:textId="77777777" w:rsidR="00926153" w:rsidRDefault="006D272D">
      <w:pPr>
        <w:numPr>
          <w:ilvl w:val="0"/>
          <w:numId w:val="22"/>
        </w:numPr>
        <w:spacing w:before="120" w:after="120"/>
        <w:rPr>
          <w:rFonts w:ascii="Verdana" w:hAnsi="Verdana"/>
        </w:rPr>
      </w:pPr>
      <w:r w:rsidRPr="005F3622">
        <w:rPr>
          <w:rFonts w:ascii="Verdana" w:hAnsi="Verdana"/>
          <w:b/>
          <w:bCs/>
        </w:rPr>
        <w:t>Rybelsus</w:t>
      </w:r>
      <w:r w:rsidRPr="005F3622">
        <w:rPr>
          <w:rFonts w:ascii="Verdana" w:hAnsi="Verdana"/>
        </w:rPr>
        <w:t xml:space="preserve"> 14</w:t>
      </w:r>
      <w:r w:rsidR="0050201D" w:rsidRPr="005F3622">
        <w:rPr>
          <w:rFonts w:ascii="Verdana" w:hAnsi="Verdana"/>
        </w:rPr>
        <w:t xml:space="preserve"> </w:t>
      </w:r>
      <w:r w:rsidRPr="005F3622">
        <w:rPr>
          <w:rFonts w:ascii="Verdana" w:hAnsi="Verdana"/>
        </w:rPr>
        <w:t xml:space="preserve">mg once </w:t>
      </w:r>
      <w:r w:rsidR="001F408B" w:rsidRPr="005F3622">
        <w:rPr>
          <w:rFonts w:ascii="Verdana" w:hAnsi="Verdana"/>
        </w:rPr>
        <w:t xml:space="preserve">daily </w:t>
      </w:r>
    </w:p>
    <w:p w14:paraId="18ECFA46" w14:textId="77777777" w:rsidR="00854641" w:rsidRDefault="001F408B">
      <w:pPr>
        <w:spacing w:before="120" w:after="120"/>
        <w:ind w:left="720"/>
        <w:rPr>
          <w:rFonts w:ascii="Verdana" w:hAnsi="Verdana"/>
        </w:rPr>
      </w:pPr>
      <w:r w:rsidRPr="00926153">
        <w:rPr>
          <w:rFonts w:ascii="Verdana" w:hAnsi="Verdana"/>
        </w:rPr>
        <w:t>3</w:t>
      </w:r>
      <w:r w:rsidR="0050201D" w:rsidRPr="00926153">
        <w:rPr>
          <w:rFonts w:ascii="Verdana" w:hAnsi="Verdana"/>
        </w:rPr>
        <w:t xml:space="preserve"> </w:t>
      </w:r>
      <w:r w:rsidR="006D272D" w:rsidRPr="00926153">
        <w:rPr>
          <w:rFonts w:ascii="Verdana" w:hAnsi="Verdana"/>
        </w:rPr>
        <w:t>mg, 7</w:t>
      </w:r>
      <w:r w:rsidR="0050201D" w:rsidRPr="00926153">
        <w:rPr>
          <w:rFonts w:ascii="Verdana" w:hAnsi="Verdana"/>
        </w:rPr>
        <w:t xml:space="preserve"> </w:t>
      </w:r>
      <w:r w:rsidR="006D272D" w:rsidRPr="00926153">
        <w:rPr>
          <w:rFonts w:ascii="Verdana" w:hAnsi="Verdana"/>
        </w:rPr>
        <w:t>mg, 14</w:t>
      </w:r>
      <w:r w:rsidR="0050201D" w:rsidRPr="00926153">
        <w:rPr>
          <w:rFonts w:ascii="Verdana" w:hAnsi="Verdana"/>
        </w:rPr>
        <w:t xml:space="preserve"> </w:t>
      </w:r>
      <w:r w:rsidR="006D272D" w:rsidRPr="00926153">
        <w:rPr>
          <w:rFonts w:ascii="Verdana" w:hAnsi="Verdana"/>
        </w:rPr>
        <w:t xml:space="preserve">mg in cartons of 30 tablets (3 x 10 count blister packs) </w:t>
      </w:r>
    </w:p>
    <w:p w14:paraId="68A74B6D" w14:textId="0CFD3865" w:rsidR="00854641" w:rsidRDefault="006D272D">
      <w:pPr>
        <w:spacing w:before="120" w:after="120"/>
        <w:ind w:left="720"/>
        <w:rPr>
          <w:rFonts w:ascii="Verdana" w:hAnsi="Verdana"/>
        </w:rPr>
      </w:pPr>
      <w:r w:rsidRPr="00926153">
        <w:rPr>
          <w:rFonts w:ascii="Verdana" w:hAnsi="Verdana"/>
        </w:rPr>
        <w:t>30 tablets / 25 days</w:t>
      </w:r>
      <w:r w:rsidR="00611A82" w:rsidRPr="00926153">
        <w:rPr>
          <w:rFonts w:ascii="Verdana" w:hAnsi="Verdana"/>
        </w:rPr>
        <w:t xml:space="preserve"> </w:t>
      </w:r>
    </w:p>
    <w:p w14:paraId="0D853ED4" w14:textId="036C36F7" w:rsidR="006D272D" w:rsidRPr="00926153" w:rsidRDefault="006D272D" w:rsidP="00DA3F0D">
      <w:pPr>
        <w:spacing w:before="120" w:after="120"/>
        <w:ind w:left="720"/>
        <w:rPr>
          <w:rFonts w:ascii="Verdana" w:hAnsi="Verdana"/>
        </w:rPr>
      </w:pPr>
      <w:r w:rsidRPr="00926153">
        <w:rPr>
          <w:rFonts w:ascii="Verdana" w:hAnsi="Verdana"/>
        </w:rPr>
        <w:t xml:space="preserve">90 tablets / 75 days  </w:t>
      </w:r>
    </w:p>
    <w:p w14:paraId="06CC23AD" w14:textId="77777777" w:rsidR="006D272D" w:rsidRPr="005F3622" w:rsidRDefault="006D272D" w:rsidP="002B31D0">
      <w:pPr>
        <w:spacing w:before="120" w:after="120"/>
        <w:ind w:left="990"/>
        <w:rPr>
          <w:rFonts w:ascii="Verdana" w:hAnsi="Verdana"/>
        </w:rPr>
      </w:pPr>
    </w:p>
    <w:p w14:paraId="27E0A092" w14:textId="77777777" w:rsidR="00367762" w:rsidRPr="00DA3F0D" w:rsidRDefault="006D272D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4"/>
          <w:szCs w:val="24"/>
        </w:rPr>
      </w:pPr>
      <w:r w:rsidRPr="00DA3F0D">
        <w:rPr>
          <w:rFonts w:ascii="Verdana" w:hAnsi="Verdana"/>
          <w:b/>
          <w:bCs/>
          <w:sz w:val="24"/>
          <w:szCs w:val="24"/>
        </w:rPr>
        <w:t>Trulicity</w:t>
      </w:r>
      <w:r w:rsidRPr="00DA3F0D">
        <w:rPr>
          <w:rFonts w:ascii="Verdana" w:hAnsi="Verdana"/>
          <w:sz w:val="24"/>
          <w:szCs w:val="24"/>
        </w:rPr>
        <w:t xml:space="preserve"> 4.5</w:t>
      </w:r>
      <w:r w:rsidR="0050201D" w:rsidRPr="00DA3F0D">
        <w:rPr>
          <w:rFonts w:ascii="Verdana" w:hAnsi="Verdana"/>
          <w:sz w:val="24"/>
          <w:szCs w:val="24"/>
        </w:rPr>
        <w:t xml:space="preserve"> </w:t>
      </w:r>
      <w:r w:rsidRPr="00DA3F0D">
        <w:rPr>
          <w:rFonts w:ascii="Verdana" w:hAnsi="Verdana"/>
          <w:sz w:val="24"/>
          <w:szCs w:val="24"/>
        </w:rPr>
        <w:t xml:space="preserve">mg once </w:t>
      </w:r>
      <w:r w:rsidR="001F408B" w:rsidRPr="00DA3F0D">
        <w:rPr>
          <w:rFonts w:ascii="Verdana" w:hAnsi="Verdana"/>
          <w:sz w:val="24"/>
          <w:szCs w:val="24"/>
        </w:rPr>
        <w:t xml:space="preserve">weekly </w:t>
      </w:r>
    </w:p>
    <w:p w14:paraId="37B7879C" w14:textId="696926E6" w:rsidR="009B6407" w:rsidRPr="00BA40B0" w:rsidRDefault="001F408B" w:rsidP="00DA3F0D">
      <w:pPr>
        <w:spacing w:before="120" w:after="120"/>
        <w:ind w:left="720"/>
        <w:rPr>
          <w:rFonts w:ascii="Verdana" w:eastAsia="Calibri" w:hAnsi="Verdana"/>
        </w:rPr>
      </w:pPr>
      <w:r w:rsidRPr="00DA3F0D">
        <w:rPr>
          <w:rFonts w:ascii="Verdana" w:eastAsia="Calibri" w:hAnsi="Verdana"/>
        </w:rPr>
        <w:t>0.75</w:t>
      </w:r>
      <w:r w:rsidR="0050201D" w:rsidRPr="00DA3F0D">
        <w:rPr>
          <w:rFonts w:ascii="Verdana" w:eastAsia="Calibri" w:hAnsi="Verdana"/>
        </w:rPr>
        <w:t xml:space="preserve"> </w:t>
      </w:r>
      <w:r w:rsidR="006D272D" w:rsidRPr="00DA3F0D">
        <w:rPr>
          <w:rFonts w:ascii="Verdana" w:eastAsia="Calibri" w:hAnsi="Verdana"/>
        </w:rPr>
        <w:t>mg/0.5</w:t>
      </w:r>
      <w:r w:rsidR="0050201D" w:rsidRPr="00DA3F0D">
        <w:rPr>
          <w:rFonts w:ascii="Verdana" w:eastAsia="Calibri" w:hAnsi="Verdana"/>
        </w:rPr>
        <w:t xml:space="preserve"> </w:t>
      </w:r>
      <w:r w:rsidR="006D272D" w:rsidRPr="00DA3F0D">
        <w:rPr>
          <w:rFonts w:ascii="Verdana" w:eastAsia="Calibri" w:hAnsi="Verdana"/>
        </w:rPr>
        <w:t xml:space="preserve">mL </w:t>
      </w:r>
    </w:p>
    <w:p w14:paraId="58D4003E" w14:textId="020625D7" w:rsidR="009B6407" w:rsidRPr="00BA40B0" w:rsidRDefault="006D272D" w:rsidP="00DA3F0D">
      <w:pPr>
        <w:spacing w:before="120" w:after="120"/>
        <w:ind w:left="720"/>
        <w:rPr>
          <w:rFonts w:ascii="Verdana" w:eastAsia="Calibri" w:hAnsi="Verdana"/>
        </w:rPr>
      </w:pPr>
      <w:r w:rsidRPr="00DA3F0D">
        <w:rPr>
          <w:rFonts w:ascii="Verdana" w:eastAsia="Calibri" w:hAnsi="Verdana"/>
        </w:rPr>
        <w:t>1.5</w:t>
      </w:r>
      <w:r w:rsidR="0050201D" w:rsidRPr="00DA3F0D">
        <w:rPr>
          <w:rFonts w:ascii="Verdana" w:eastAsia="Calibri" w:hAnsi="Verdana"/>
        </w:rPr>
        <w:t xml:space="preserve"> </w:t>
      </w:r>
      <w:r w:rsidRPr="00DA3F0D">
        <w:rPr>
          <w:rFonts w:ascii="Verdana" w:eastAsia="Calibri" w:hAnsi="Verdana"/>
        </w:rPr>
        <w:t>mg/0.5</w:t>
      </w:r>
      <w:r w:rsidR="0050201D" w:rsidRPr="00DA3F0D">
        <w:rPr>
          <w:rFonts w:ascii="Verdana" w:eastAsia="Calibri" w:hAnsi="Verdana"/>
        </w:rPr>
        <w:t xml:space="preserve"> </w:t>
      </w:r>
      <w:r w:rsidRPr="00DA3F0D">
        <w:rPr>
          <w:rFonts w:ascii="Verdana" w:eastAsia="Calibri" w:hAnsi="Verdana"/>
        </w:rPr>
        <w:t xml:space="preserve">mL </w:t>
      </w:r>
    </w:p>
    <w:p w14:paraId="79ED0405" w14:textId="40E66C3E" w:rsidR="009B6407" w:rsidRDefault="006D272D" w:rsidP="00DA3F0D">
      <w:pPr>
        <w:spacing w:before="120" w:after="120"/>
        <w:ind w:left="720"/>
        <w:rPr>
          <w:rFonts w:ascii="Verdana" w:eastAsia="Calibri" w:hAnsi="Verdana"/>
        </w:rPr>
      </w:pPr>
      <w:r w:rsidRPr="00DA3F0D">
        <w:rPr>
          <w:rFonts w:ascii="Verdana" w:eastAsia="Calibri" w:hAnsi="Verdana"/>
        </w:rPr>
        <w:t>3</w:t>
      </w:r>
      <w:r w:rsidR="0050201D" w:rsidRPr="00DA3F0D">
        <w:rPr>
          <w:rFonts w:ascii="Verdana" w:eastAsia="Calibri" w:hAnsi="Verdana"/>
        </w:rPr>
        <w:t xml:space="preserve"> </w:t>
      </w:r>
      <w:r w:rsidRPr="00DA3F0D">
        <w:rPr>
          <w:rFonts w:ascii="Verdana" w:eastAsia="Calibri" w:hAnsi="Verdana"/>
        </w:rPr>
        <w:t>mg/0.5</w:t>
      </w:r>
      <w:r w:rsidR="0050201D" w:rsidRPr="00DA3F0D">
        <w:rPr>
          <w:rFonts w:ascii="Verdana" w:eastAsia="Calibri" w:hAnsi="Verdana"/>
        </w:rPr>
        <w:t xml:space="preserve"> </w:t>
      </w:r>
      <w:r w:rsidRPr="00DA3F0D">
        <w:rPr>
          <w:rFonts w:ascii="Verdana" w:eastAsia="Calibri" w:hAnsi="Verdana"/>
        </w:rPr>
        <w:t xml:space="preserve">mL </w:t>
      </w:r>
    </w:p>
    <w:p w14:paraId="273B7067" w14:textId="77777777" w:rsidR="00FE71C2" w:rsidRDefault="006D272D" w:rsidP="00DA3F0D">
      <w:pPr>
        <w:spacing w:before="120" w:after="120"/>
        <w:ind w:left="720"/>
        <w:rPr>
          <w:rFonts w:ascii="Verdana" w:eastAsia="Calibri" w:hAnsi="Verdana"/>
        </w:rPr>
      </w:pPr>
      <w:r w:rsidRPr="00DA3F0D">
        <w:rPr>
          <w:rFonts w:ascii="Verdana" w:eastAsia="Calibri" w:hAnsi="Verdana"/>
        </w:rPr>
        <w:t>4.5</w:t>
      </w:r>
      <w:r w:rsidR="0050201D" w:rsidRPr="00DA3F0D">
        <w:rPr>
          <w:rFonts w:ascii="Verdana" w:eastAsia="Calibri" w:hAnsi="Verdana"/>
        </w:rPr>
        <w:t xml:space="preserve"> </w:t>
      </w:r>
      <w:r w:rsidRPr="00DA3F0D">
        <w:rPr>
          <w:rFonts w:ascii="Verdana" w:eastAsia="Calibri" w:hAnsi="Verdana"/>
        </w:rPr>
        <w:t>mg/0.5</w:t>
      </w:r>
      <w:r w:rsidR="0050201D" w:rsidRPr="00DA3F0D">
        <w:rPr>
          <w:rFonts w:ascii="Verdana" w:eastAsia="Calibri" w:hAnsi="Verdana"/>
        </w:rPr>
        <w:t xml:space="preserve"> </w:t>
      </w:r>
      <w:r w:rsidRPr="00DA3F0D">
        <w:rPr>
          <w:rFonts w:ascii="Verdana" w:eastAsia="Calibri" w:hAnsi="Verdana"/>
        </w:rPr>
        <w:t xml:space="preserve">mL </w:t>
      </w:r>
    </w:p>
    <w:p w14:paraId="4BC7F86C" w14:textId="2341C469" w:rsidR="006D272D" w:rsidRPr="00DA3F0D" w:rsidRDefault="00FE71C2" w:rsidP="00DA3F0D">
      <w:pPr>
        <w:spacing w:before="120" w:after="120"/>
        <w:ind w:left="720"/>
        <w:rPr>
          <w:rFonts w:ascii="Verdana" w:eastAsia="Calibri" w:hAnsi="Verdana"/>
        </w:rPr>
      </w:pPr>
      <w:r>
        <w:rPr>
          <w:rFonts w:ascii="Verdana" w:eastAsia="Calibri" w:hAnsi="Verdana"/>
        </w:rPr>
        <w:t xml:space="preserve">Available </w:t>
      </w:r>
      <w:r w:rsidR="006D272D" w:rsidRPr="00DA3F0D">
        <w:rPr>
          <w:rFonts w:ascii="Verdana" w:eastAsia="Calibri" w:hAnsi="Verdana"/>
        </w:rPr>
        <w:t>in cartons of 4 single dose pens (0.5</w:t>
      </w:r>
      <w:r w:rsidR="0050201D" w:rsidRPr="00DA3F0D">
        <w:rPr>
          <w:rFonts w:ascii="Verdana" w:eastAsia="Calibri" w:hAnsi="Verdana"/>
        </w:rPr>
        <w:t xml:space="preserve"> </w:t>
      </w:r>
      <w:r w:rsidR="006D272D" w:rsidRPr="00DA3F0D">
        <w:rPr>
          <w:rFonts w:ascii="Verdana" w:eastAsia="Calibri" w:hAnsi="Verdana"/>
        </w:rPr>
        <w:t>mL each) 4 pens (2</w:t>
      </w:r>
      <w:r w:rsidR="0050201D" w:rsidRPr="00DA3F0D">
        <w:rPr>
          <w:rFonts w:ascii="Verdana" w:eastAsia="Calibri" w:hAnsi="Verdana"/>
        </w:rPr>
        <w:t xml:space="preserve"> </w:t>
      </w:r>
      <w:r w:rsidR="006D272D" w:rsidRPr="00DA3F0D">
        <w:rPr>
          <w:rFonts w:ascii="Verdana" w:eastAsia="Calibri" w:hAnsi="Verdana"/>
        </w:rPr>
        <w:t>mL) / 21 days</w:t>
      </w:r>
      <w:r w:rsidR="00611A82" w:rsidRPr="00DA3F0D">
        <w:rPr>
          <w:rFonts w:ascii="Verdana" w:eastAsia="Calibri" w:hAnsi="Verdana"/>
        </w:rPr>
        <w:t xml:space="preserve">, </w:t>
      </w:r>
      <w:r w:rsidR="006D272D" w:rsidRPr="00DA3F0D">
        <w:rPr>
          <w:rFonts w:ascii="Verdana" w:eastAsia="Calibri" w:hAnsi="Verdana"/>
        </w:rPr>
        <w:t>12 pens (6</w:t>
      </w:r>
      <w:r w:rsidR="0050201D" w:rsidRPr="00DA3F0D">
        <w:rPr>
          <w:rFonts w:ascii="Verdana" w:eastAsia="Calibri" w:hAnsi="Verdana"/>
        </w:rPr>
        <w:t xml:space="preserve"> </w:t>
      </w:r>
      <w:r w:rsidR="006D272D" w:rsidRPr="00DA3F0D">
        <w:rPr>
          <w:rFonts w:ascii="Verdana" w:eastAsia="Calibri" w:hAnsi="Verdana"/>
        </w:rPr>
        <w:t xml:space="preserve">mL) / 63 days </w:t>
      </w:r>
    </w:p>
    <w:p w14:paraId="5E308F1D" w14:textId="77777777" w:rsidR="006D272D" w:rsidRPr="005F3622" w:rsidRDefault="006D272D" w:rsidP="002B31D0">
      <w:pPr>
        <w:spacing w:before="120" w:after="120"/>
        <w:ind w:left="990"/>
        <w:rPr>
          <w:rFonts w:ascii="Verdana" w:hAnsi="Verdana"/>
        </w:rPr>
      </w:pPr>
    </w:p>
    <w:p w14:paraId="238B53E2" w14:textId="77777777" w:rsidR="00081E6F" w:rsidRPr="00DA3F0D" w:rsidRDefault="006D272D" w:rsidP="00081E6F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4"/>
          <w:szCs w:val="24"/>
        </w:rPr>
      </w:pPr>
      <w:r w:rsidRPr="00DA3F0D">
        <w:rPr>
          <w:rFonts w:ascii="Verdana" w:hAnsi="Verdana"/>
          <w:b/>
          <w:bCs/>
          <w:sz w:val="24"/>
          <w:szCs w:val="24"/>
        </w:rPr>
        <w:t>Victoza</w:t>
      </w:r>
      <w:r w:rsidRPr="00DA3F0D">
        <w:rPr>
          <w:rFonts w:ascii="Verdana" w:hAnsi="Verdana"/>
          <w:sz w:val="24"/>
          <w:szCs w:val="24"/>
        </w:rPr>
        <w:t xml:space="preserve"> 1.8</w:t>
      </w:r>
      <w:r w:rsidR="0050201D" w:rsidRPr="00DA3F0D">
        <w:rPr>
          <w:rFonts w:ascii="Verdana" w:hAnsi="Verdana"/>
          <w:sz w:val="24"/>
          <w:szCs w:val="24"/>
        </w:rPr>
        <w:t xml:space="preserve"> </w:t>
      </w:r>
      <w:r w:rsidRPr="00DA3F0D">
        <w:rPr>
          <w:rFonts w:ascii="Verdana" w:hAnsi="Verdana"/>
          <w:sz w:val="24"/>
          <w:szCs w:val="24"/>
        </w:rPr>
        <w:t xml:space="preserve">mg once daily </w:t>
      </w:r>
    </w:p>
    <w:p w14:paraId="1C10A2D7" w14:textId="77777777" w:rsidR="00081E6F" w:rsidRPr="00DA3F0D" w:rsidRDefault="006D272D" w:rsidP="00081E6F">
      <w:pPr>
        <w:pStyle w:val="ListParagraph"/>
        <w:spacing w:before="120" w:after="120"/>
        <w:rPr>
          <w:rFonts w:ascii="Verdana" w:hAnsi="Verdana"/>
          <w:sz w:val="24"/>
          <w:szCs w:val="24"/>
        </w:rPr>
      </w:pPr>
      <w:r w:rsidRPr="00DA3F0D">
        <w:rPr>
          <w:rFonts w:ascii="Verdana" w:hAnsi="Verdana"/>
          <w:sz w:val="24"/>
          <w:szCs w:val="24"/>
        </w:rPr>
        <w:t>Package of 2 or 3 pens (18</w:t>
      </w:r>
      <w:r w:rsidR="0050201D" w:rsidRPr="00DA3F0D">
        <w:rPr>
          <w:rFonts w:ascii="Verdana" w:hAnsi="Verdana"/>
          <w:sz w:val="24"/>
          <w:szCs w:val="24"/>
        </w:rPr>
        <w:t xml:space="preserve"> </w:t>
      </w:r>
      <w:r w:rsidRPr="00DA3F0D">
        <w:rPr>
          <w:rFonts w:ascii="Verdana" w:hAnsi="Verdana"/>
          <w:sz w:val="24"/>
          <w:szCs w:val="24"/>
        </w:rPr>
        <w:t>mg/3</w:t>
      </w:r>
      <w:r w:rsidR="0050201D" w:rsidRPr="00DA3F0D">
        <w:rPr>
          <w:rFonts w:ascii="Verdana" w:hAnsi="Verdana"/>
          <w:sz w:val="24"/>
          <w:szCs w:val="24"/>
        </w:rPr>
        <w:t xml:space="preserve"> </w:t>
      </w:r>
      <w:r w:rsidRPr="00DA3F0D">
        <w:rPr>
          <w:rFonts w:ascii="Verdana" w:hAnsi="Verdana"/>
          <w:sz w:val="24"/>
          <w:szCs w:val="24"/>
        </w:rPr>
        <w:t xml:space="preserve">mL each) </w:t>
      </w:r>
    </w:p>
    <w:p w14:paraId="7F6A5C44" w14:textId="77777777" w:rsidR="005D0085" w:rsidRPr="00DA3F0D" w:rsidRDefault="005D0085" w:rsidP="00081E6F">
      <w:pPr>
        <w:pStyle w:val="ListParagraph"/>
        <w:spacing w:before="120" w:after="120"/>
        <w:rPr>
          <w:rFonts w:ascii="Verdana" w:hAnsi="Verdana"/>
          <w:sz w:val="24"/>
          <w:szCs w:val="24"/>
        </w:rPr>
      </w:pPr>
      <w:r w:rsidRPr="00DA3F0D">
        <w:rPr>
          <w:rFonts w:ascii="Verdana" w:hAnsi="Verdana"/>
          <w:sz w:val="24"/>
          <w:szCs w:val="24"/>
        </w:rPr>
        <w:t xml:space="preserve">Package of </w:t>
      </w:r>
      <w:r w:rsidR="006D272D" w:rsidRPr="00DA3F0D">
        <w:rPr>
          <w:rFonts w:ascii="Verdana" w:hAnsi="Verdana"/>
          <w:sz w:val="24"/>
          <w:szCs w:val="24"/>
        </w:rPr>
        <w:t>3 pens (9</w:t>
      </w:r>
      <w:r w:rsidR="0050201D" w:rsidRPr="00DA3F0D">
        <w:rPr>
          <w:rFonts w:ascii="Verdana" w:hAnsi="Verdana"/>
          <w:sz w:val="24"/>
          <w:szCs w:val="24"/>
        </w:rPr>
        <w:t xml:space="preserve"> </w:t>
      </w:r>
      <w:r w:rsidR="006D272D" w:rsidRPr="00DA3F0D">
        <w:rPr>
          <w:rFonts w:ascii="Verdana" w:hAnsi="Verdana"/>
          <w:sz w:val="24"/>
          <w:szCs w:val="24"/>
        </w:rPr>
        <w:t xml:space="preserve">mL) / 25 </w:t>
      </w:r>
      <w:r w:rsidR="001F408B" w:rsidRPr="00DA3F0D">
        <w:rPr>
          <w:rFonts w:ascii="Verdana" w:hAnsi="Verdana"/>
          <w:sz w:val="24"/>
          <w:szCs w:val="24"/>
        </w:rPr>
        <w:t>days</w:t>
      </w:r>
    </w:p>
    <w:p w14:paraId="519223EC" w14:textId="69856264" w:rsidR="006D272D" w:rsidRPr="00DA3F0D" w:rsidRDefault="005D0085" w:rsidP="00DA3F0D">
      <w:pPr>
        <w:pStyle w:val="ListParagraph"/>
        <w:spacing w:before="120" w:after="120"/>
        <w:rPr>
          <w:rFonts w:ascii="Verdana" w:hAnsi="Verdana"/>
        </w:rPr>
      </w:pPr>
      <w:r w:rsidRPr="00DA3F0D">
        <w:rPr>
          <w:rFonts w:ascii="Verdana" w:hAnsi="Verdana"/>
          <w:sz w:val="24"/>
          <w:szCs w:val="24"/>
        </w:rPr>
        <w:t xml:space="preserve">Package of </w:t>
      </w:r>
      <w:r w:rsidR="001F408B" w:rsidRPr="00DA3F0D">
        <w:rPr>
          <w:rFonts w:ascii="Verdana" w:hAnsi="Verdana"/>
          <w:sz w:val="24"/>
          <w:szCs w:val="24"/>
        </w:rPr>
        <w:t>9</w:t>
      </w:r>
      <w:r w:rsidR="006D272D" w:rsidRPr="00DA3F0D">
        <w:rPr>
          <w:rFonts w:ascii="Verdana" w:hAnsi="Verdana"/>
          <w:sz w:val="24"/>
          <w:szCs w:val="24"/>
        </w:rPr>
        <w:t xml:space="preserve"> pens (27</w:t>
      </w:r>
      <w:r w:rsidR="0050201D" w:rsidRPr="00DA3F0D">
        <w:rPr>
          <w:rFonts w:ascii="Verdana" w:hAnsi="Verdana"/>
          <w:sz w:val="24"/>
          <w:szCs w:val="24"/>
        </w:rPr>
        <w:t xml:space="preserve"> </w:t>
      </w:r>
      <w:r w:rsidR="006D272D" w:rsidRPr="00DA3F0D">
        <w:rPr>
          <w:rFonts w:ascii="Verdana" w:hAnsi="Verdana"/>
          <w:sz w:val="24"/>
          <w:szCs w:val="24"/>
        </w:rPr>
        <w:t xml:space="preserve">mL) / 75 days </w:t>
      </w:r>
    </w:p>
    <w:p w14:paraId="6E78E2A8" w14:textId="7FEEFDB6" w:rsidR="006D272D" w:rsidRPr="005F3622" w:rsidRDefault="006D272D" w:rsidP="00205990">
      <w:pPr>
        <w:numPr>
          <w:ilvl w:val="1"/>
          <w:numId w:val="16"/>
        </w:numPr>
        <w:spacing w:before="120" w:after="120"/>
        <w:rPr>
          <w:rFonts w:ascii="Verdana" w:hAnsi="Verdana"/>
          <w:b/>
          <w:bCs/>
        </w:rPr>
      </w:pPr>
      <w:r w:rsidRPr="005D0085">
        <w:rPr>
          <w:rFonts w:ascii="Verdana" w:hAnsi="Verdana"/>
        </w:rPr>
        <w:t>The duration</w:t>
      </w:r>
      <w:r w:rsidRPr="00081E6F">
        <w:rPr>
          <w:rFonts w:ascii="Verdana" w:hAnsi="Verdana"/>
        </w:rPr>
        <w:t xml:space="preserve"> of 25 days is used for a 30-day fill period and 75 days</w:t>
      </w:r>
      <w:r w:rsidRPr="005F3622">
        <w:rPr>
          <w:rFonts w:ascii="Verdana" w:hAnsi="Verdana"/>
        </w:rPr>
        <w:t xml:space="preserve"> is used for a 90-day fill period to allow time for refill processing </w:t>
      </w:r>
      <w:r w:rsidRPr="005F3622">
        <w:rPr>
          <w:rFonts w:ascii="Verdana" w:hAnsi="Verdana"/>
          <w:b/>
          <w:bCs/>
        </w:rPr>
        <w:t>or</w:t>
      </w:r>
    </w:p>
    <w:p w14:paraId="2E9C43A3" w14:textId="23DBDAFA" w:rsidR="006D272D" w:rsidRPr="005F3622" w:rsidRDefault="006D272D" w:rsidP="00205990">
      <w:pPr>
        <w:numPr>
          <w:ilvl w:val="1"/>
          <w:numId w:val="16"/>
        </w:numPr>
        <w:spacing w:before="120" w:after="120"/>
        <w:rPr>
          <w:rFonts w:ascii="Verdana" w:hAnsi="Verdana"/>
        </w:rPr>
      </w:pPr>
      <w:r w:rsidRPr="005F3622">
        <w:rPr>
          <w:rFonts w:ascii="Verdana" w:hAnsi="Verdana"/>
        </w:rPr>
        <w:t xml:space="preserve">The duration of 21 days is used for a 28-day fill period and 63 days is used for </w:t>
      </w:r>
      <w:r w:rsidR="009A0FEA" w:rsidRPr="005F3622">
        <w:rPr>
          <w:rFonts w:ascii="Verdana" w:hAnsi="Verdana"/>
        </w:rPr>
        <w:t>an</w:t>
      </w:r>
      <w:r w:rsidRPr="005F3622">
        <w:rPr>
          <w:rFonts w:ascii="Verdana" w:hAnsi="Verdana"/>
        </w:rPr>
        <w:t xml:space="preserve"> 84-day fill period to allow time for refill processing.</w:t>
      </w:r>
    </w:p>
    <w:p w14:paraId="296BDF6D" w14:textId="77777777" w:rsidR="006D272D" w:rsidRPr="005F3622" w:rsidRDefault="006D272D" w:rsidP="00D3038B">
      <w:pPr>
        <w:rPr>
          <w:rFonts w:ascii="Verdana" w:hAnsi="Verdana" w:cs="Arial"/>
        </w:rPr>
      </w:pPr>
    </w:p>
    <w:p w14:paraId="2B0762C0" w14:textId="71E7A8CF" w:rsidR="0050201D" w:rsidRPr="005F3622" w:rsidRDefault="00DD2301" w:rsidP="00DD2301">
      <w:pPr>
        <w:jc w:val="right"/>
        <w:rPr>
          <w:rFonts w:ascii="Verdana" w:hAnsi="Verdana" w:cs="Arial"/>
        </w:rPr>
      </w:pPr>
      <w:hyperlink w:anchor="_Value_Formulary_Change" w:history="1">
        <w:r w:rsidRPr="005F3622">
          <w:rPr>
            <w:rStyle w:val="Hyperlink"/>
            <w:rFonts w:ascii="Verdana" w:hAnsi="Verdana"/>
          </w:rPr>
          <w:t>Top of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0201D" w:rsidRPr="005F3622" w14:paraId="7BE9223D" w14:textId="77777777" w:rsidTr="00A4572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641792" w14:textId="779D1085" w:rsidR="0050201D" w:rsidRPr="005F3622" w:rsidRDefault="0050201D" w:rsidP="00730DD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Toc206593657"/>
            <w:r w:rsidRPr="005F3622">
              <w:rPr>
                <w:rFonts w:ascii="Verdana" w:hAnsi="Verdana"/>
                <w:i w:val="0"/>
                <w:iCs w:val="0"/>
              </w:rPr>
              <w:t>Process</w:t>
            </w:r>
            <w:bookmarkEnd w:id="5"/>
          </w:p>
        </w:tc>
      </w:tr>
    </w:tbl>
    <w:p w14:paraId="5F39CC10" w14:textId="7B9C52AD" w:rsidR="006D272D" w:rsidRPr="005F3622" w:rsidRDefault="0050201D" w:rsidP="00205990">
      <w:pPr>
        <w:spacing w:before="120" w:after="120"/>
        <w:rPr>
          <w:rFonts w:ascii="Verdana" w:hAnsi="Verdana"/>
        </w:rPr>
      </w:pPr>
      <w:r w:rsidRPr="005F3622">
        <w:rPr>
          <w:rFonts w:ascii="Verdana" w:hAnsi="Verdana"/>
        </w:rPr>
        <w:t>Complete the following steps: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4"/>
        <w:gridCol w:w="12126"/>
      </w:tblGrid>
      <w:tr w:rsidR="0050201D" w:rsidRPr="005F3622" w14:paraId="1F79377B" w14:textId="77777777" w:rsidTr="00F06C51">
        <w:tc>
          <w:tcPr>
            <w:tcW w:w="292" w:type="pct"/>
            <w:shd w:val="clear" w:color="auto" w:fill="BFBFBF" w:themeFill="background1" w:themeFillShade="BF"/>
          </w:tcPr>
          <w:p w14:paraId="51771937" w14:textId="720DADD9" w:rsidR="0050201D" w:rsidRPr="005F3622" w:rsidRDefault="0050201D" w:rsidP="00205990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5F3622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708" w:type="pct"/>
            <w:shd w:val="clear" w:color="auto" w:fill="BFBFBF" w:themeFill="background1" w:themeFillShade="BF"/>
          </w:tcPr>
          <w:p w14:paraId="610F3536" w14:textId="43A1A4D2" w:rsidR="0050201D" w:rsidRPr="005F3622" w:rsidRDefault="0050201D" w:rsidP="00205990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5F3622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50201D" w:rsidRPr="005F3622" w14:paraId="39900D32" w14:textId="77777777" w:rsidTr="00F06C51">
        <w:tc>
          <w:tcPr>
            <w:tcW w:w="292" w:type="pct"/>
          </w:tcPr>
          <w:p w14:paraId="6ABE85FD" w14:textId="7CD6B0F4" w:rsidR="0050201D" w:rsidRPr="005F3622" w:rsidRDefault="0050201D" w:rsidP="00205990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5F3622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708" w:type="pct"/>
          </w:tcPr>
          <w:p w14:paraId="15871147" w14:textId="6149485E" w:rsidR="0050201D" w:rsidRPr="005F3622" w:rsidRDefault="00DB2B6E" w:rsidP="00205990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the client CIF to determine </w:t>
            </w:r>
            <w:r w:rsidR="00B76C69">
              <w:rPr>
                <w:rFonts w:ascii="Verdana" w:hAnsi="Verdana"/>
              </w:rPr>
              <w:t xml:space="preserve">if this member’s plan participates in the Value </w:t>
            </w:r>
            <w:r w:rsidR="00FC33D9">
              <w:rPr>
                <w:rFonts w:ascii="Verdana" w:hAnsi="Verdana"/>
              </w:rPr>
              <w:t xml:space="preserve">Formulary Program. </w:t>
            </w:r>
          </w:p>
          <w:p w14:paraId="79AE913A" w14:textId="100BB405" w:rsidR="0050201D" w:rsidRPr="005F3622" w:rsidRDefault="0050201D" w:rsidP="00FD31B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538"/>
              <w:rPr>
                <w:rFonts w:ascii="Verdana" w:hAnsi="Verdana"/>
                <w:sz w:val="24"/>
                <w:szCs w:val="24"/>
              </w:rPr>
            </w:pPr>
            <w:r w:rsidRPr="005F3622">
              <w:rPr>
                <w:rFonts w:ascii="Verdana" w:hAnsi="Verdana"/>
                <w:sz w:val="24"/>
                <w:szCs w:val="24"/>
              </w:rPr>
              <w:t xml:space="preserve">If </w:t>
            </w:r>
            <w:r w:rsidR="009A0FEA" w:rsidRPr="005F3622">
              <w:rPr>
                <w:rFonts w:ascii="Verdana" w:hAnsi="Verdana"/>
                <w:sz w:val="24"/>
                <w:szCs w:val="24"/>
              </w:rPr>
              <w:t>no</w:t>
            </w:r>
            <w:r w:rsidRPr="005F3622">
              <w:rPr>
                <w:rFonts w:ascii="Verdana" w:hAnsi="Verdana"/>
                <w:sz w:val="24"/>
                <w:szCs w:val="24"/>
              </w:rPr>
              <w:t>, this does not apply to the member.</w:t>
            </w:r>
          </w:p>
          <w:p w14:paraId="2A271CFE" w14:textId="7960100D" w:rsidR="0050201D" w:rsidRPr="005F3622" w:rsidRDefault="0050201D" w:rsidP="00FD31B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538"/>
              <w:rPr>
                <w:rFonts w:ascii="Verdana" w:hAnsi="Verdana"/>
              </w:rPr>
            </w:pPr>
            <w:r w:rsidRPr="005F3622">
              <w:rPr>
                <w:rFonts w:ascii="Verdana" w:hAnsi="Verdana"/>
                <w:sz w:val="24"/>
                <w:szCs w:val="24"/>
              </w:rPr>
              <w:t xml:space="preserve">If </w:t>
            </w:r>
            <w:r w:rsidR="009A0FEA" w:rsidRPr="005F3622">
              <w:rPr>
                <w:rFonts w:ascii="Verdana" w:hAnsi="Verdana"/>
                <w:sz w:val="24"/>
                <w:szCs w:val="24"/>
              </w:rPr>
              <w:t>yes</w:t>
            </w:r>
            <w:r w:rsidRPr="005F3622">
              <w:rPr>
                <w:rFonts w:ascii="Verdana" w:hAnsi="Verdana"/>
                <w:sz w:val="24"/>
                <w:szCs w:val="24"/>
              </w:rPr>
              <w:t>, continue to the next step.</w:t>
            </w:r>
            <w:r w:rsidRPr="005F3622">
              <w:rPr>
                <w:rFonts w:ascii="Verdana" w:hAnsi="Verdana"/>
              </w:rPr>
              <w:t xml:space="preserve">  </w:t>
            </w:r>
          </w:p>
        </w:tc>
      </w:tr>
      <w:tr w:rsidR="0050201D" w:rsidRPr="005F3622" w14:paraId="3EF24485" w14:textId="77777777" w:rsidTr="00F06C51">
        <w:tc>
          <w:tcPr>
            <w:tcW w:w="292" w:type="pct"/>
          </w:tcPr>
          <w:p w14:paraId="4744915F" w14:textId="6F3B70C4" w:rsidR="0050201D" w:rsidRPr="005F3622" w:rsidRDefault="0050201D" w:rsidP="00205990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5F3622"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4708" w:type="pct"/>
          </w:tcPr>
          <w:p w14:paraId="36FA88C3" w14:textId="77777777" w:rsidR="00B22775" w:rsidRPr="00110E5A" w:rsidRDefault="0050201D" w:rsidP="00110E5A">
            <w:pPr>
              <w:pStyle w:val="ListParagraph"/>
              <w:numPr>
                <w:ilvl w:val="0"/>
                <w:numId w:val="19"/>
              </w:numPr>
              <w:spacing w:before="120" w:after="120"/>
              <w:ind w:left="406"/>
              <w:rPr>
                <w:rFonts w:ascii="Verdana" w:hAnsi="Verdana"/>
                <w:sz w:val="24"/>
                <w:szCs w:val="24"/>
              </w:rPr>
            </w:pPr>
            <w:r w:rsidRPr="00110E5A">
              <w:rPr>
                <w:rFonts w:ascii="Verdana" w:hAnsi="Verdana"/>
                <w:sz w:val="24"/>
                <w:szCs w:val="24"/>
              </w:rPr>
              <w:t>Review the Change Information with the member.</w:t>
            </w:r>
          </w:p>
          <w:p w14:paraId="7CD1C0C2" w14:textId="0749F3E1" w:rsidR="0050201D" w:rsidRPr="00110E5A" w:rsidRDefault="000B223F" w:rsidP="00110E5A">
            <w:pPr>
              <w:pStyle w:val="ListParagraph"/>
              <w:numPr>
                <w:ilvl w:val="0"/>
                <w:numId w:val="19"/>
              </w:numPr>
              <w:spacing w:before="120" w:after="120"/>
              <w:ind w:left="406"/>
              <w:rPr>
                <w:rFonts w:ascii="Verdana" w:hAnsi="Verdana"/>
                <w:sz w:val="24"/>
                <w:szCs w:val="24"/>
              </w:rPr>
            </w:pPr>
            <w:r w:rsidRPr="00110E5A">
              <w:rPr>
                <w:rFonts w:ascii="Verdana" w:hAnsi="Verdana"/>
                <w:sz w:val="24"/>
                <w:szCs w:val="24"/>
              </w:rPr>
              <w:t>Refer to the Value Formulary Drug List that is listed in the CIF.</w:t>
            </w:r>
          </w:p>
          <w:p w14:paraId="229DD653" w14:textId="79EC3210" w:rsidR="0050201D" w:rsidRPr="005F3622" w:rsidRDefault="0050201D" w:rsidP="00110E5A">
            <w:pPr>
              <w:pStyle w:val="ListParagraph"/>
              <w:numPr>
                <w:ilvl w:val="0"/>
                <w:numId w:val="18"/>
              </w:numPr>
              <w:spacing w:before="120" w:after="120"/>
              <w:ind w:left="1306"/>
              <w:rPr>
                <w:rFonts w:ascii="Verdana" w:hAnsi="Verdana"/>
                <w:sz w:val="24"/>
                <w:szCs w:val="24"/>
              </w:rPr>
            </w:pPr>
            <w:r w:rsidRPr="005F3622">
              <w:rPr>
                <w:rFonts w:ascii="Verdana" w:hAnsi="Verdana"/>
                <w:sz w:val="24"/>
                <w:szCs w:val="24"/>
              </w:rPr>
              <w:t>If the member understands, determine if other needs exist and resolve then close the call.</w:t>
            </w:r>
          </w:p>
          <w:p w14:paraId="550E3C74" w14:textId="77777777" w:rsidR="0050201D" w:rsidRDefault="00412730" w:rsidP="00110E5A">
            <w:pPr>
              <w:pStyle w:val="ListParagraph"/>
              <w:numPr>
                <w:ilvl w:val="0"/>
                <w:numId w:val="18"/>
              </w:numPr>
              <w:spacing w:before="120" w:after="120"/>
              <w:ind w:left="1306"/>
              <w:rPr>
                <w:rFonts w:ascii="Verdana" w:hAnsi="Verdana"/>
                <w:sz w:val="24"/>
                <w:szCs w:val="24"/>
              </w:rPr>
            </w:pPr>
            <w:r w:rsidRPr="00412730">
              <w:rPr>
                <w:rFonts w:ascii="Verdana" w:hAnsi="Verdana"/>
                <w:sz w:val="24"/>
                <w:szCs w:val="24"/>
              </w:rPr>
              <w:t>If unable to resolve the caller’s questions, and/or the call requires escalation</w:t>
            </w:r>
            <w:r w:rsidR="00C535A1">
              <w:rPr>
                <w:rFonts w:ascii="Verdana" w:hAnsi="Verdana"/>
                <w:sz w:val="24"/>
                <w:szCs w:val="24"/>
              </w:rPr>
              <w:t>, w</w:t>
            </w:r>
            <w:r w:rsidR="00C535A1" w:rsidRPr="00C535A1">
              <w:rPr>
                <w:rFonts w:ascii="Verdana" w:hAnsi="Verdana"/>
                <w:sz w:val="24"/>
                <w:szCs w:val="24"/>
              </w:rPr>
              <w:t>arm transfer and properly introduce the caller to the Senior Team (Commercial 1-877-216-8707).</w:t>
            </w:r>
          </w:p>
          <w:p w14:paraId="2C89D662" w14:textId="02B3E81F" w:rsidR="00F06C51" w:rsidRPr="00DA3F0D" w:rsidRDefault="00F06C51" w:rsidP="00DA3F0D">
            <w:pPr>
              <w:spacing w:before="120" w:after="120"/>
              <w:rPr>
                <w:rFonts w:ascii="Verdana" w:hAnsi="Verdana"/>
              </w:rPr>
            </w:pPr>
            <w:r w:rsidRPr="00F06C51">
              <w:rPr>
                <w:rFonts w:ascii="Verdana" w:hAnsi="Verdana"/>
                <w:b/>
                <w:bCs/>
              </w:rPr>
              <w:t>Reminder: </w:t>
            </w:r>
            <w:r w:rsidRPr="00F06C51">
              <w:rPr>
                <w:rFonts w:ascii="Verdana" w:hAnsi="Verdana"/>
              </w:rPr>
              <w:t>Five9 users should utilize speed dial 010. Refer to </w:t>
            </w:r>
            <w:hyperlink r:id="rId12" w:anchor="!/view?docid=ad8f7284-fee0-4ae1-bbbd-d2cbe07a331f" w:tgtFrame="_blank" w:history="1">
              <w:r w:rsidRPr="00F06C51">
                <w:rPr>
                  <w:rStyle w:val="Hyperlink"/>
                  <w:rFonts w:ascii="Verdana" w:hAnsi="Verdana"/>
                </w:rPr>
                <w:t>Compass - Five9 Agent Desktop Phone (056045)</w:t>
              </w:r>
            </w:hyperlink>
            <w:r w:rsidRPr="00F06C51">
              <w:rPr>
                <w:rFonts w:ascii="Verdana" w:hAnsi="Verdana"/>
              </w:rPr>
              <w:t>.</w:t>
            </w:r>
          </w:p>
        </w:tc>
      </w:tr>
    </w:tbl>
    <w:p w14:paraId="11BC8538" w14:textId="11FAC73A" w:rsidR="00D3038B" w:rsidRDefault="00205990" w:rsidP="00205990">
      <w:pPr>
        <w:tabs>
          <w:tab w:val="left" w:pos="19187"/>
        </w:tabs>
        <w:rPr>
          <w:rFonts w:ascii="Verdana" w:hAnsi="Verdana"/>
        </w:rPr>
      </w:pPr>
      <w:r w:rsidRPr="005F3622">
        <w:rPr>
          <w:rFonts w:ascii="Verdana" w:hAnsi="Verdana"/>
        </w:rPr>
        <w:tab/>
      </w:r>
    </w:p>
    <w:p w14:paraId="5CB9A5BB" w14:textId="77777777" w:rsidR="00101B28" w:rsidRPr="005F3622" w:rsidRDefault="00101B28" w:rsidP="00205990">
      <w:pPr>
        <w:tabs>
          <w:tab w:val="left" w:pos="19187"/>
        </w:tabs>
        <w:rPr>
          <w:rFonts w:ascii="Verdana" w:hAnsi="Verdana"/>
        </w:rPr>
      </w:pPr>
    </w:p>
    <w:bookmarkStart w:id="6" w:name="OLE_LINK25"/>
    <w:p w14:paraId="614818E6" w14:textId="5EAC822C" w:rsidR="00767920" w:rsidRPr="005F3622" w:rsidRDefault="00205990" w:rsidP="00767920">
      <w:pPr>
        <w:jc w:val="right"/>
        <w:rPr>
          <w:rFonts w:ascii="Verdana" w:hAnsi="Verdana"/>
        </w:rPr>
      </w:pPr>
      <w:r w:rsidRPr="005F3622">
        <w:rPr>
          <w:rFonts w:ascii="Verdana" w:hAnsi="Verdana"/>
        </w:rPr>
        <w:fldChar w:fldCharType="begin"/>
      </w:r>
      <w:r w:rsidR="000B7138" w:rsidRPr="005F3622">
        <w:rPr>
          <w:rFonts w:ascii="Verdana" w:hAnsi="Verdana"/>
        </w:rPr>
        <w:instrText>HYPERLINK  \l "_Value_Formulary_Change"</w:instrText>
      </w:r>
      <w:r w:rsidRPr="005F3622">
        <w:rPr>
          <w:rFonts w:ascii="Verdana" w:hAnsi="Verdana"/>
        </w:rPr>
      </w:r>
      <w:r w:rsidRPr="005F3622">
        <w:rPr>
          <w:rFonts w:ascii="Verdana" w:hAnsi="Verdana"/>
        </w:rPr>
        <w:fldChar w:fldCharType="separate"/>
      </w:r>
      <w:r w:rsidRPr="005F3622">
        <w:rPr>
          <w:rStyle w:val="Hyperlink"/>
          <w:rFonts w:ascii="Verdana" w:hAnsi="Verdana"/>
        </w:rPr>
        <w:t>Top of Document</w:t>
      </w:r>
      <w:r w:rsidRPr="005F3622">
        <w:rPr>
          <w:rFonts w:ascii="Verdana" w:hAnsi="Verdana"/>
        </w:rPr>
        <w:fldChar w:fldCharType="end"/>
      </w:r>
      <w:bookmarkEnd w:id="6"/>
      <w:r w:rsidRPr="005F3622">
        <w:rPr>
          <w:rFonts w:ascii="Verdan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67920" w:rsidRPr="005F3622" w14:paraId="09CC9E02" w14:textId="77777777" w:rsidTr="00730DD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F02BCA" w14:textId="77777777" w:rsidR="00767920" w:rsidRPr="005F3622" w:rsidRDefault="00767920" w:rsidP="00730DD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Toc76660543"/>
            <w:bookmarkStart w:id="8" w:name="_Toc206593658"/>
            <w:r w:rsidRPr="005F3622">
              <w:rPr>
                <w:rFonts w:ascii="Verdana" w:hAnsi="Verdana"/>
                <w:i w:val="0"/>
                <w:iCs w:val="0"/>
              </w:rPr>
              <w:t>Related Documents</w:t>
            </w:r>
            <w:bookmarkEnd w:id="7"/>
            <w:bookmarkEnd w:id="8"/>
          </w:p>
        </w:tc>
      </w:tr>
    </w:tbl>
    <w:p w14:paraId="09D659FE" w14:textId="643914EF" w:rsidR="00767920" w:rsidRPr="005F3622" w:rsidRDefault="009A0FEA" w:rsidP="00767920">
      <w:p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hyperlink r:id="rId13" w:anchor="!/view?docid=bdac0c67-5fee-47ba-a3aa-aab84900cf78" w:history="1">
        <w:r>
          <w:rPr>
            <w:rStyle w:val="Hyperlink"/>
            <w:rFonts w:ascii="Verdana" w:hAnsi="Verdana" w:cs="Verdana"/>
          </w:rPr>
          <w:t>Log Activity/Capture Activity Codes (</w:t>
        </w:r>
        <w:r w:rsidR="00110E5A">
          <w:rPr>
            <w:rStyle w:val="Hyperlink"/>
            <w:rFonts w:ascii="Verdana" w:hAnsi="Verdana" w:cs="Verdana"/>
          </w:rPr>
          <w:t>00</w:t>
        </w:r>
        <w:r>
          <w:rPr>
            <w:rStyle w:val="Hyperlink"/>
            <w:rFonts w:ascii="Verdana" w:hAnsi="Verdana" w:cs="Verdana"/>
          </w:rPr>
          <w:t>5164)</w:t>
        </w:r>
      </w:hyperlink>
    </w:p>
    <w:p w14:paraId="6695C386" w14:textId="306CF0CE" w:rsidR="00767920" w:rsidRPr="005F3622" w:rsidRDefault="009A0FEA" w:rsidP="00767920">
      <w:pPr>
        <w:spacing w:before="120" w:after="120"/>
        <w:rPr>
          <w:rFonts w:ascii="Verdana" w:hAnsi="Verdana" w:cs="Verdana"/>
        </w:rPr>
      </w:pPr>
      <w:hyperlink r:id="rId14" w:anchor="!/view?docid=c1f1028b-e42c-4b4f-a4cf-cc0b42c91606" w:history="1">
        <w:r>
          <w:rPr>
            <w:rFonts w:ascii="Verdana" w:hAnsi="Verdana" w:cs="Verdana"/>
            <w:color w:val="0000FF"/>
            <w:u w:val="single"/>
          </w:rPr>
          <w:t>Customer Care Abbreviations</w:t>
        </w:r>
        <w:r w:rsidR="00FC5E0C">
          <w:rPr>
            <w:rFonts w:ascii="Verdana" w:hAnsi="Verdana" w:cs="Verdana"/>
            <w:color w:val="0000FF"/>
            <w:u w:val="single"/>
          </w:rPr>
          <w:t>,</w:t>
        </w:r>
        <w:r>
          <w:rPr>
            <w:rFonts w:ascii="Verdana" w:hAnsi="Verdana" w:cs="Verdana"/>
            <w:color w:val="0000FF"/>
            <w:u w:val="single"/>
          </w:rPr>
          <w:t xml:space="preserve"> and Definitions and Terms (</w:t>
        </w:r>
        <w:r w:rsidR="00110E5A">
          <w:rPr>
            <w:rFonts w:ascii="Verdana" w:hAnsi="Verdana" w:cs="Verdana"/>
            <w:color w:val="0000FF"/>
            <w:u w:val="single"/>
          </w:rPr>
          <w:t>0</w:t>
        </w:r>
        <w:r>
          <w:rPr>
            <w:rFonts w:ascii="Verdana" w:hAnsi="Verdana" w:cs="Verdana"/>
            <w:color w:val="0000FF"/>
            <w:u w:val="single"/>
          </w:rPr>
          <w:t>17428)</w:t>
        </w:r>
      </w:hyperlink>
    </w:p>
    <w:p w14:paraId="1A7AC9B8" w14:textId="0A6F6A8F" w:rsidR="00767920" w:rsidRPr="005F3622" w:rsidRDefault="00767920" w:rsidP="00767920">
      <w:pPr>
        <w:spacing w:before="120" w:after="120"/>
        <w:rPr>
          <w:rFonts w:ascii="Verdana" w:hAnsi="Verdana" w:cs="Verdana"/>
          <w:b/>
        </w:rPr>
      </w:pPr>
      <w:r w:rsidRPr="005F3622">
        <w:rPr>
          <w:rFonts w:ascii="Verdana" w:hAnsi="Verdana" w:cs="Verdana"/>
          <w:b/>
        </w:rPr>
        <w:t xml:space="preserve">Parent Document: </w:t>
      </w:r>
      <w:r w:rsidR="00DD2301" w:rsidRPr="005F3622">
        <w:rPr>
          <w:rFonts w:ascii="Verdana" w:hAnsi="Verdana" w:cs="Verdana"/>
          <w:b/>
        </w:rPr>
        <w:t xml:space="preserve"> </w:t>
      </w:r>
      <w:hyperlink r:id="rId15" w:tgtFrame="_blank" w:history="1">
        <w:r w:rsidRPr="005F3622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739949BE" w14:textId="2AFE6355" w:rsidR="00767920" w:rsidRPr="005F3622" w:rsidRDefault="00DD2301" w:rsidP="00767920">
      <w:pPr>
        <w:jc w:val="right"/>
        <w:rPr>
          <w:rFonts w:ascii="Verdana" w:hAnsi="Verdana"/>
          <w:b/>
        </w:rPr>
      </w:pPr>
      <w:hyperlink w:anchor="_Value_Formulary_Change" w:history="1">
        <w:r w:rsidRPr="005F3622">
          <w:rPr>
            <w:rStyle w:val="Hyperlink"/>
            <w:rFonts w:ascii="Verdana" w:hAnsi="Verdana"/>
          </w:rPr>
          <w:t>Top of Document</w:t>
        </w:r>
      </w:hyperlink>
    </w:p>
    <w:p w14:paraId="258C17E9" w14:textId="77777777" w:rsidR="00DD2301" w:rsidRPr="005F3622" w:rsidRDefault="00DD2301" w:rsidP="00767920">
      <w:pPr>
        <w:jc w:val="right"/>
        <w:rPr>
          <w:rFonts w:ascii="Verdana" w:hAnsi="Verdana"/>
          <w:b/>
        </w:rPr>
      </w:pPr>
    </w:p>
    <w:p w14:paraId="06338AA2" w14:textId="4CECB0B1" w:rsidR="00767920" w:rsidRPr="005F3622" w:rsidRDefault="00767920" w:rsidP="00767920">
      <w:pPr>
        <w:jc w:val="center"/>
        <w:rPr>
          <w:rFonts w:ascii="Verdana" w:hAnsi="Verdana"/>
          <w:sz w:val="16"/>
          <w:szCs w:val="16"/>
        </w:rPr>
      </w:pPr>
      <w:r w:rsidRPr="005F3622">
        <w:rPr>
          <w:rFonts w:ascii="Verdana" w:hAnsi="Verdana"/>
          <w:sz w:val="16"/>
          <w:szCs w:val="16"/>
        </w:rPr>
        <w:t xml:space="preserve">Not To Be Reproduced </w:t>
      </w:r>
      <w:r w:rsidR="009A0FEA" w:rsidRPr="005F3622">
        <w:rPr>
          <w:rFonts w:ascii="Verdana" w:hAnsi="Verdana"/>
          <w:sz w:val="16"/>
          <w:szCs w:val="16"/>
        </w:rPr>
        <w:t>or</w:t>
      </w:r>
      <w:r w:rsidRPr="005F3622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025A0FD2" w14:textId="77777777" w:rsidR="00767920" w:rsidRPr="005F3622" w:rsidRDefault="00767920" w:rsidP="00767920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5F3622">
        <w:rPr>
          <w:rFonts w:ascii="Verdana" w:hAnsi="Verdana"/>
          <w:b/>
          <w:color w:val="000000"/>
          <w:sz w:val="16"/>
          <w:szCs w:val="16"/>
        </w:rPr>
        <w:t>ELECTRONIC DATA = OFFICIAL VERSION/PAPER COPY = INFORMATIONAL ONLY</w:t>
      </w:r>
    </w:p>
    <w:p w14:paraId="59AA23CE" w14:textId="77777777" w:rsidR="00D3038B" w:rsidRPr="005F3622" w:rsidRDefault="00D3038B" w:rsidP="00EA2F78">
      <w:pPr>
        <w:rPr>
          <w:rFonts w:ascii="Verdana" w:hAnsi="Verdana"/>
        </w:rPr>
      </w:pPr>
    </w:p>
    <w:p w14:paraId="0C8B4933" w14:textId="2FE75B66" w:rsidR="00D3038B" w:rsidRPr="005F3622" w:rsidRDefault="00D3038B" w:rsidP="00EA2F78">
      <w:pPr>
        <w:rPr>
          <w:rFonts w:ascii="Verdana" w:hAnsi="Verdana"/>
        </w:rPr>
      </w:pPr>
      <w:r w:rsidRPr="005F3622">
        <w:rPr>
          <w:rFonts w:ascii="Verdana" w:hAnsi="Verdana"/>
        </w:rPr>
        <w:t xml:space="preserve"> </w:t>
      </w:r>
    </w:p>
    <w:p w14:paraId="699AA8AA" w14:textId="15526836" w:rsidR="00FC3162" w:rsidRPr="005F3622" w:rsidRDefault="00FC3162" w:rsidP="00912A42">
      <w:pPr>
        <w:rPr>
          <w:rFonts w:ascii="Verdana" w:hAnsi="Verdana"/>
          <w:b/>
        </w:rPr>
      </w:pPr>
    </w:p>
    <w:p w14:paraId="6D457DE9" w14:textId="77777777" w:rsidR="008C191D" w:rsidRPr="005F3622" w:rsidRDefault="008C191D" w:rsidP="00FC3162">
      <w:pPr>
        <w:rPr>
          <w:rFonts w:ascii="Verdana" w:hAnsi="Verdana"/>
        </w:rPr>
      </w:pPr>
    </w:p>
    <w:sectPr w:rsidR="008C191D" w:rsidRPr="005F3622" w:rsidSect="00556C4C">
      <w:footerReference w:type="default" r:id="rId16"/>
      <w:headerReference w:type="first" r:id="rId17"/>
      <w:footerReference w:type="first" r:id="rId1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93E6C" w14:textId="77777777" w:rsidR="00D50973" w:rsidRDefault="00D50973">
      <w:r>
        <w:separator/>
      </w:r>
    </w:p>
  </w:endnote>
  <w:endnote w:type="continuationSeparator" w:id="0">
    <w:p w14:paraId="43F539EA" w14:textId="77777777" w:rsidR="00D50973" w:rsidRDefault="00D50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0E272" w14:textId="77777777" w:rsidR="00EF7B70" w:rsidRPr="00C32D18" w:rsidRDefault="00EF7B70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F2B3D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0FBFA" w14:textId="77777777" w:rsidR="00EF7B70" w:rsidRPr="00CD2229" w:rsidRDefault="00EF7B7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A7E06" w14:textId="77777777" w:rsidR="00D50973" w:rsidRDefault="00D50973">
      <w:r>
        <w:separator/>
      </w:r>
    </w:p>
  </w:footnote>
  <w:footnote w:type="continuationSeparator" w:id="0">
    <w:p w14:paraId="4D6B15FE" w14:textId="77777777" w:rsidR="00D50973" w:rsidRDefault="00D50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CDFCC" w14:textId="77777777" w:rsidR="00EF7B70" w:rsidRDefault="00EF7B7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9.5pt;height:16.5pt" o:bullet="t">
        <v:imagedata r:id="rId1" o:title="Icon - Callout"/>
      </v:shape>
    </w:pict>
  </w:numPicBullet>
  <w:abstractNum w:abstractNumId="0" w15:restartNumberingAfterBreak="0">
    <w:nsid w:val="04A02599"/>
    <w:multiLevelType w:val="hybridMultilevel"/>
    <w:tmpl w:val="E4761A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71DF3"/>
    <w:multiLevelType w:val="hybridMultilevel"/>
    <w:tmpl w:val="416E9950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D3C5AD4"/>
    <w:multiLevelType w:val="hybridMultilevel"/>
    <w:tmpl w:val="4E44F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407E1"/>
    <w:multiLevelType w:val="hybridMultilevel"/>
    <w:tmpl w:val="E4EA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E450C"/>
    <w:multiLevelType w:val="hybridMultilevel"/>
    <w:tmpl w:val="5532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F2D6A"/>
    <w:multiLevelType w:val="hybridMultilevel"/>
    <w:tmpl w:val="E1E81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A23EB"/>
    <w:multiLevelType w:val="hybridMultilevel"/>
    <w:tmpl w:val="E16C8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12FE3"/>
    <w:multiLevelType w:val="hybridMultilevel"/>
    <w:tmpl w:val="372E6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C4169"/>
    <w:multiLevelType w:val="hybridMultilevel"/>
    <w:tmpl w:val="DADA8C9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0" w15:restartNumberingAfterBreak="0">
    <w:nsid w:val="2E617CBF"/>
    <w:multiLevelType w:val="hybridMultilevel"/>
    <w:tmpl w:val="52E8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765A"/>
    <w:multiLevelType w:val="hybridMultilevel"/>
    <w:tmpl w:val="11E8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36A6B"/>
    <w:multiLevelType w:val="hybridMultilevel"/>
    <w:tmpl w:val="D0BE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336AF"/>
    <w:multiLevelType w:val="hybridMultilevel"/>
    <w:tmpl w:val="4E3C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25C04"/>
    <w:multiLevelType w:val="hybridMultilevel"/>
    <w:tmpl w:val="D9C6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17567"/>
    <w:multiLevelType w:val="hybridMultilevel"/>
    <w:tmpl w:val="BA20146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DE0DBB"/>
    <w:multiLevelType w:val="hybridMultilevel"/>
    <w:tmpl w:val="F124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916D0"/>
    <w:multiLevelType w:val="hybridMultilevel"/>
    <w:tmpl w:val="590C7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2D5AA3"/>
    <w:multiLevelType w:val="hybridMultilevel"/>
    <w:tmpl w:val="67B2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E6C2D"/>
    <w:multiLevelType w:val="hybridMultilevel"/>
    <w:tmpl w:val="6E24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822D0"/>
    <w:multiLevelType w:val="hybridMultilevel"/>
    <w:tmpl w:val="5A4A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804690"/>
    <w:multiLevelType w:val="hybridMultilevel"/>
    <w:tmpl w:val="2EE4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011669">
    <w:abstractNumId w:val="2"/>
  </w:num>
  <w:num w:numId="2" w16cid:durableId="1550994824">
    <w:abstractNumId w:val="0"/>
  </w:num>
  <w:num w:numId="3" w16cid:durableId="1845316907">
    <w:abstractNumId w:val="17"/>
  </w:num>
  <w:num w:numId="4" w16cid:durableId="1913658042">
    <w:abstractNumId w:val="7"/>
  </w:num>
  <w:num w:numId="5" w16cid:durableId="843786913">
    <w:abstractNumId w:val="1"/>
  </w:num>
  <w:num w:numId="6" w16cid:durableId="1570309114">
    <w:abstractNumId w:val="21"/>
  </w:num>
  <w:num w:numId="7" w16cid:durableId="1488591741">
    <w:abstractNumId w:val="9"/>
  </w:num>
  <w:num w:numId="8" w16cid:durableId="1002464592">
    <w:abstractNumId w:val="13"/>
  </w:num>
  <w:num w:numId="9" w16cid:durableId="1295717210">
    <w:abstractNumId w:val="15"/>
  </w:num>
  <w:num w:numId="10" w16cid:durableId="1614903603">
    <w:abstractNumId w:val="18"/>
  </w:num>
  <w:num w:numId="11" w16cid:durableId="11882065">
    <w:abstractNumId w:val="8"/>
  </w:num>
  <w:num w:numId="12" w16cid:durableId="1635524097">
    <w:abstractNumId w:val="19"/>
  </w:num>
  <w:num w:numId="13" w16cid:durableId="1914076855">
    <w:abstractNumId w:val="4"/>
  </w:num>
  <w:num w:numId="14" w16cid:durableId="622081487">
    <w:abstractNumId w:val="10"/>
  </w:num>
  <w:num w:numId="15" w16cid:durableId="270555871">
    <w:abstractNumId w:val="11"/>
  </w:num>
  <w:num w:numId="16" w16cid:durableId="14308561">
    <w:abstractNumId w:val="5"/>
  </w:num>
  <w:num w:numId="17" w16cid:durableId="1825268896">
    <w:abstractNumId w:val="20"/>
  </w:num>
  <w:num w:numId="18" w16cid:durableId="1052845014">
    <w:abstractNumId w:val="16"/>
  </w:num>
  <w:num w:numId="19" w16cid:durableId="859709572">
    <w:abstractNumId w:val="3"/>
  </w:num>
  <w:num w:numId="20" w16cid:durableId="1906526192">
    <w:abstractNumId w:val="6"/>
  </w:num>
  <w:num w:numId="21" w16cid:durableId="1548489791">
    <w:abstractNumId w:val="12"/>
  </w:num>
  <w:num w:numId="22" w16cid:durableId="785807109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drawingGridHorizontalSpacing w:val="12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6D21"/>
    <w:rsid w:val="0001200B"/>
    <w:rsid w:val="00015570"/>
    <w:rsid w:val="00015A2E"/>
    <w:rsid w:val="00015EE9"/>
    <w:rsid w:val="00032C81"/>
    <w:rsid w:val="00035BED"/>
    <w:rsid w:val="00052E19"/>
    <w:rsid w:val="00052F19"/>
    <w:rsid w:val="00061AD2"/>
    <w:rsid w:val="00066FF9"/>
    <w:rsid w:val="00081E68"/>
    <w:rsid w:val="00081E6F"/>
    <w:rsid w:val="000863D4"/>
    <w:rsid w:val="0008665F"/>
    <w:rsid w:val="000923AA"/>
    <w:rsid w:val="00095AB5"/>
    <w:rsid w:val="000A1805"/>
    <w:rsid w:val="000A5E5A"/>
    <w:rsid w:val="000A6B88"/>
    <w:rsid w:val="000A7523"/>
    <w:rsid w:val="000B2098"/>
    <w:rsid w:val="000B223F"/>
    <w:rsid w:val="000B35FA"/>
    <w:rsid w:val="000B380A"/>
    <w:rsid w:val="000B3C4C"/>
    <w:rsid w:val="000B656F"/>
    <w:rsid w:val="000B66F0"/>
    <w:rsid w:val="000B7138"/>
    <w:rsid w:val="000B72DF"/>
    <w:rsid w:val="000C4034"/>
    <w:rsid w:val="000D1870"/>
    <w:rsid w:val="000D4BA2"/>
    <w:rsid w:val="000D6714"/>
    <w:rsid w:val="000F0D1B"/>
    <w:rsid w:val="000F3081"/>
    <w:rsid w:val="000F33BE"/>
    <w:rsid w:val="000F4DD4"/>
    <w:rsid w:val="000F54AF"/>
    <w:rsid w:val="00101B28"/>
    <w:rsid w:val="00104CDE"/>
    <w:rsid w:val="00110E5A"/>
    <w:rsid w:val="001156E5"/>
    <w:rsid w:val="00115944"/>
    <w:rsid w:val="0012373E"/>
    <w:rsid w:val="001360A5"/>
    <w:rsid w:val="0013638F"/>
    <w:rsid w:val="001600B4"/>
    <w:rsid w:val="0016273A"/>
    <w:rsid w:val="00163BFB"/>
    <w:rsid w:val="001676FF"/>
    <w:rsid w:val="00181B1A"/>
    <w:rsid w:val="0018317C"/>
    <w:rsid w:val="00185CC7"/>
    <w:rsid w:val="0019130B"/>
    <w:rsid w:val="00191A1E"/>
    <w:rsid w:val="00192135"/>
    <w:rsid w:val="0019255E"/>
    <w:rsid w:val="001A4E09"/>
    <w:rsid w:val="001A5256"/>
    <w:rsid w:val="001B3879"/>
    <w:rsid w:val="001B64E3"/>
    <w:rsid w:val="001B7548"/>
    <w:rsid w:val="001B75F5"/>
    <w:rsid w:val="001C3765"/>
    <w:rsid w:val="001C3AE8"/>
    <w:rsid w:val="001C7B62"/>
    <w:rsid w:val="001D19F8"/>
    <w:rsid w:val="001E423A"/>
    <w:rsid w:val="001E75C6"/>
    <w:rsid w:val="001E7746"/>
    <w:rsid w:val="001F0774"/>
    <w:rsid w:val="001F1218"/>
    <w:rsid w:val="001F38D6"/>
    <w:rsid w:val="001F408B"/>
    <w:rsid w:val="001F482F"/>
    <w:rsid w:val="001F57B0"/>
    <w:rsid w:val="001F58EE"/>
    <w:rsid w:val="001F5947"/>
    <w:rsid w:val="002016B4"/>
    <w:rsid w:val="002055CF"/>
    <w:rsid w:val="00205990"/>
    <w:rsid w:val="00212363"/>
    <w:rsid w:val="00223AE0"/>
    <w:rsid w:val="00224149"/>
    <w:rsid w:val="00224D2B"/>
    <w:rsid w:val="00236D6B"/>
    <w:rsid w:val="002409CF"/>
    <w:rsid w:val="00243EBB"/>
    <w:rsid w:val="0025234B"/>
    <w:rsid w:val="00255C6B"/>
    <w:rsid w:val="00263FC1"/>
    <w:rsid w:val="00265D86"/>
    <w:rsid w:val="00271258"/>
    <w:rsid w:val="002750DC"/>
    <w:rsid w:val="002809D2"/>
    <w:rsid w:val="00291CE8"/>
    <w:rsid w:val="0029458B"/>
    <w:rsid w:val="00296127"/>
    <w:rsid w:val="00296765"/>
    <w:rsid w:val="002A2161"/>
    <w:rsid w:val="002A727C"/>
    <w:rsid w:val="002B011C"/>
    <w:rsid w:val="002B2BFC"/>
    <w:rsid w:val="002B31D0"/>
    <w:rsid w:val="002B593E"/>
    <w:rsid w:val="002E1C57"/>
    <w:rsid w:val="002E35A2"/>
    <w:rsid w:val="002E5FE7"/>
    <w:rsid w:val="002E6E58"/>
    <w:rsid w:val="002F1F92"/>
    <w:rsid w:val="002F609E"/>
    <w:rsid w:val="002F6F9E"/>
    <w:rsid w:val="00304DD0"/>
    <w:rsid w:val="0031347B"/>
    <w:rsid w:val="00321EC1"/>
    <w:rsid w:val="0033143E"/>
    <w:rsid w:val="00332600"/>
    <w:rsid w:val="0034318F"/>
    <w:rsid w:val="00344DCB"/>
    <w:rsid w:val="00344EA8"/>
    <w:rsid w:val="0034552B"/>
    <w:rsid w:val="003511B8"/>
    <w:rsid w:val="00360364"/>
    <w:rsid w:val="00366B6E"/>
    <w:rsid w:val="00367762"/>
    <w:rsid w:val="003725A1"/>
    <w:rsid w:val="00375655"/>
    <w:rsid w:val="00383EB1"/>
    <w:rsid w:val="003868A2"/>
    <w:rsid w:val="00392A5B"/>
    <w:rsid w:val="003955E3"/>
    <w:rsid w:val="003A31F0"/>
    <w:rsid w:val="003A52A3"/>
    <w:rsid w:val="003A6D70"/>
    <w:rsid w:val="003B1F86"/>
    <w:rsid w:val="003B3C51"/>
    <w:rsid w:val="003C4627"/>
    <w:rsid w:val="003C6F2A"/>
    <w:rsid w:val="003C7A40"/>
    <w:rsid w:val="003D0819"/>
    <w:rsid w:val="003D1AC7"/>
    <w:rsid w:val="003E5607"/>
    <w:rsid w:val="003E6C1A"/>
    <w:rsid w:val="003F2B3D"/>
    <w:rsid w:val="003F778E"/>
    <w:rsid w:val="003F7BE1"/>
    <w:rsid w:val="00406130"/>
    <w:rsid w:val="0040640A"/>
    <w:rsid w:val="00406DB5"/>
    <w:rsid w:val="00411BD0"/>
    <w:rsid w:val="00412730"/>
    <w:rsid w:val="00417AAF"/>
    <w:rsid w:val="0042336D"/>
    <w:rsid w:val="00427D23"/>
    <w:rsid w:val="00434770"/>
    <w:rsid w:val="00452A6B"/>
    <w:rsid w:val="00455EDF"/>
    <w:rsid w:val="00457EAE"/>
    <w:rsid w:val="004671DC"/>
    <w:rsid w:val="00467645"/>
    <w:rsid w:val="00467F43"/>
    <w:rsid w:val="00471D47"/>
    <w:rsid w:val="00472034"/>
    <w:rsid w:val="0047531F"/>
    <w:rsid w:val="004768BE"/>
    <w:rsid w:val="00476E28"/>
    <w:rsid w:val="00477F73"/>
    <w:rsid w:val="0048355A"/>
    <w:rsid w:val="00484781"/>
    <w:rsid w:val="00486108"/>
    <w:rsid w:val="004872A6"/>
    <w:rsid w:val="00490E4C"/>
    <w:rsid w:val="004912C6"/>
    <w:rsid w:val="00493889"/>
    <w:rsid w:val="004952E0"/>
    <w:rsid w:val="004A1C64"/>
    <w:rsid w:val="004A589E"/>
    <w:rsid w:val="004B37B6"/>
    <w:rsid w:val="004C1D35"/>
    <w:rsid w:val="004C2D5C"/>
    <w:rsid w:val="004C6A82"/>
    <w:rsid w:val="004D0AF2"/>
    <w:rsid w:val="004D19A5"/>
    <w:rsid w:val="004D3C53"/>
    <w:rsid w:val="004F6538"/>
    <w:rsid w:val="004F7F34"/>
    <w:rsid w:val="0050201D"/>
    <w:rsid w:val="00505588"/>
    <w:rsid w:val="00512486"/>
    <w:rsid w:val="00515614"/>
    <w:rsid w:val="0052465B"/>
    <w:rsid w:val="00524CDD"/>
    <w:rsid w:val="00547C68"/>
    <w:rsid w:val="0055226B"/>
    <w:rsid w:val="00553D57"/>
    <w:rsid w:val="00556C4C"/>
    <w:rsid w:val="00565A58"/>
    <w:rsid w:val="00577909"/>
    <w:rsid w:val="005810E0"/>
    <w:rsid w:val="00582E85"/>
    <w:rsid w:val="00587EE4"/>
    <w:rsid w:val="005910B5"/>
    <w:rsid w:val="00592BCE"/>
    <w:rsid w:val="0059391F"/>
    <w:rsid w:val="00594C69"/>
    <w:rsid w:val="005A4841"/>
    <w:rsid w:val="005A4A27"/>
    <w:rsid w:val="005A6118"/>
    <w:rsid w:val="005A64DA"/>
    <w:rsid w:val="005B446E"/>
    <w:rsid w:val="005B635E"/>
    <w:rsid w:val="005C1D83"/>
    <w:rsid w:val="005C48FA"/>
    <w:rsid w:val="005D0085"/>
    <w:rsid w:val="005D0409"/>
    <w:rsid w:val="005D24C4"/>
    <w:rsid w:val="005D6EF3"/>
    <w:rsid w:val="005E1067"/>
    <w:rsid w:val="005E650E"/>
    <w:rsid w:val="005F2B95"/>
    <w:rsid w:val="005F3622"/>
    <w:rsid w:val="00603237"/>
    <w:rsid w:val="00611A82"/>
    <w:rsid w:val="0061513A"/>
    <w:rsid w:val="00622D77"/>
    <w:rsid w:val="00626F11"/>
    <w:rsid w:val="00627F34"/>
    <w:rsid w:val="00636393"/>
    <w:rsid w:val="00636B18"/>
    <w:rsid w:val="00637CA1"/>
    <w:rsid w:val="00645723"/>
    <w:rsid w:val="00647CDD"/>
    <w:rsid w:val="00655A86"/>
    <w:rsid w:val="00657A6A"/>
    <w:rsid w:val="00662334"/>
    <w:rsid w:val="0066617F"/>
    <w:rsid w:val="006667AD"/>
    <w:rsid w:val="00674A16"/>
    <w:rsid w:val="00683F33"/>
    <w:rsid w:val="00691E10"/>
    <w:rsid w:val="006935B0"/>
    <w:rsid w:val="006A0481"/>
    <w:rsid w:val="006A173E"/>
    <w:rsid w:val="006A2712"/>
    <w:rsid w:val="006A6D3B"/>
    <w:rsid w:val="006B4321"/>
    <w:rsid w:val="006B5538"/>
    <w:rsid w:val="006C483E"/>
    <w:rsid w:val="006C5E56"/>
    <w:rsid w:val="006C653F"/>
    <w:rsid w:val="006D1660"/>
    <w:rsid w:val="006D272D"/>
    <w:rsid w:val="006D775C"/>
    <w:rsid w:val="006F7DFC"/>
    <w:rsid w:val="00702CA2"/>
    <w:rsid w:val="00704AF2"/>
    <w:rsid w:val="0070776C"/>
    <w:rsid w:val="007106DF"/>
    <w:rsid w:val="00710E68"/>
    <w:rsid w:val="00712060"/>
    <w:rsid w:val="00714BA0"/>
    <w:rsid w:val="0072007B"/>
    <w:rsid w:val="00725B82"/>
    <w:rsid w:val="007269B6"/>
    <w:rsid w:val="00726E7A"/>
    <w:rsid w:val="0073010C"/>
    <w:rsid w:val="00730C4D"/>
    <w:rsid w:val="0073294A"/>
    <w:rsid w:val="00732E52"/>
    <w:rsid w:val="00736607"/>
    <w:rsid w:val="00743967"/>
    <w:rsid w:val="007470E2"/>
    <w:rsid w:val="00752801"/>
    <w:rsid w:val="00755FFC"/>
    <w:rsid w:val="007622DE"/>
    <w:rsid w:val="00764AD3"/>
    <w:rsid w:val="00767920"/>
    <w:rsid w:val="00776286"/>
    <w:rsid w:val="00785118"/>
    <w:rsid w:val="00785C47"/>
    <w:rsid w:val="00786BEB"/>
    <w:rsid w:val="007A31F7"/>
    <w:rsid w:val="007A403E"/>
    <w:rsid w:val="007A75EA"/>
    <w:rsid w:val="007C3132"/>
    <w:rsid w:val="007C77DD"/>
    <w:rsid w:val="007D2852"/>
    <w:rsid w:val="007D303F"/>
    <w:rsid w:val="007D323C"/>
    <w:rsid w:val="007E25C1"/>
    <w:rsid w:val="007E3EA6"/>
    <w:rsid w:val="007E6734"/>
    <w:rsid w:val="007F04AB"/>
    <w:rsid w:val="00802C56"/>
    <w:rsid w:val="00803AE3"/>
    <w:rsid w:val="008042E1"/>
    <w:rsid w:val="00804D63"/>
    <w:rsid w:val="00806B9D"/>
    <w:rsid w:val="00806D0F"/>
    <w:rsid w:val="00807AFB"/>
    <w:rsid w:val="00807E4A"/>
    <w:rsid w:val="00812777"/>
    <w:rsid w:val="00812DF0"/>
    <w:rsid w:val="00813F4E"/>
    <w:rsid w:val="008230FA"/>
    <w:rsid w:val="008268C3"/>
    <w:rsid w:val="008353C7"/>
    <w:rsid w:val="0084129E"/>
    <w:rsid w:val="008420B8"/>
    <w:rsid w:val="00843390"/>
    <w:rsid w:val="00846373"/>
    <w:rsid w:val="00846ECB"/>
    <w:rsid w:val="00854641"/>
    <w:rsid w:val="008568AE"/>
    <w:rsid w:val="00860590"/>
    <w:rsid w:val="00861316"/>
    <w:rsid w:val="008614E8"/>
    <w:rsid w:val="00863C24"/>
    <w:rsid w:val="00867EDF"/>
    <w:rsid w:val="008734D7"/>
    <w:rsid w:val="00874FAD"/>
    <w:rsid w:val="00875F0D"/>
    <w:rsid w:val="00877414"/>
    <w:rsid w:val="0087769F"/>
    <w:rsid w:val="008825E7"/>
    <w:rsid w:val="008906E4"/>
    <w:rsid w:val="00891C22"/>
    <w:rsid w:val="008A03B7"/>
    <w:rsid w:val="008A5DF8"/>
    <w:rsid w:val="008B1F4A"/>
    <w:rsid w:val="008B5A2C"/>
    <w:rsid w:val="008C1480"/>
    <w:rsid w:val="008C191D"/>
    <w:rsid w:val="008C2197"/>
    <w:rsid w:val="008C317A"/>
    <w:rsid w:val="008C3493"/>
    <w:rsid w:val="008D0793"/>
    <w:rsid w:val="008D11A6"/>
    <w:rsid w:val="008D1F7B"/>
    <w:rsid w:val="008D2462"/>
    <w:rsid w:val="008D2A7B"/>
    <w:rsid w:val="008D2D64"/>
    <w:rsid w:val="008E21BE"/>
    <w:rsid w:val="008F0C49"/>
    <w:rsid w:val="008F46E6"/>
    <w:rsid w:val="008F5939"/>
    <w:rsid w:val="008F6B59"/>
    <w:rsid w:val="0090130E"/>
    <w:rsid w:val="00902E07"/>
    <w:rsid w:val="00911792"/>
    <w:rsid w:val="00912A42"/>
    <w:rsid w:val="009131CD"/>
    <w:rsid w:val="009133B3"/>
    <w:rsid w:val="00913B1B"/>
    <w:rsid w:val="00914CCE"/>
    <w:rsid w:val="00916195"/>
    <w:rsid w:val="00922232"/>
    <w:rsid w:val="00926153"/>
    <w:rsid w:val="00927861"/>
    <w:rsid w:val="00934558"/>
    <w:rsid w:val="0094148C"/>
    <w:rsid w:val="00947783"/>
    <w:rsid w:val="0095409F"/>
    <w:rsid w:val="00954FE8"/>
    <w:rsid w:val="0096172B"/>
    <w:rsid w:val="009726E0"/>
    <w:rsid w:val="00980F7C"/>
    <w:rsid w:val="009859B7"/>
    <w:rsid w:val="00990822"/>
    <w:rsid w:val="0099369A"/>
    <w:rsid w:val="009A0FEA"/>
    <w:rsid w:val="009A183D"/>
    <w:rsid w:val="009A48A7"/>
    <w:rsid w:val="009B0AF6"/>
    <w:rsid w:val="009B6407"/>
    <w:rsid w:val="009B7A02"/>
    <w:rsid w:val="009C2DAA"/>
    <w:rsid w:val="009C4A31"/>
    <w:rsid w:val="009C6CBB"/>
    <w:rsid w:val="009E00C2"/>
    <w:rsid w:val="009F0FD4"/>
    <w:rsid w:val="009F6FD2"/>
    <w:rsid w:val="009F7259"/>
    <w:rsid w:val="009F78D3"/>
    <w:rsid w:val="00A00E29"/>
    <w:rsid w:val="00A02781"/>
    <w:rsid w:val="00A15778"/>
    <w:rsid w:val="00A3690A"/>
    <w:rsid w:val="00A377CC"/>
    <w:rsid w:val="00A443CE"/>
    <w:rsid w:val="00A45729"/>
    <w:rsid w:val="00A4732A"/>
    <w:rsid w:val="00A57D26"/>
    <w:rsid w:val="00A7166B"/>
    <w:rsid w:val="00A72DEB"/>
    <w:rsid w:val="00A816B8"/>
    <w:rsid w:val="00A83BA0"/>
    <w:rsid w:val="00A83F2B"/>
    <w:rsid w:val="00A84F18"/>
    <w:rsid w:val="00A85045"/>
    <w:rsid w:val="00A95738"/>
    <w:rsid w:val="00A97B7D"/>
    <w:rsid w:val="00AA2252"/>
    <w:rsid w:val="00AA4825"/>
    <w:rsid w:val="00AB1433"/>
    <w:rsid w:val="00AB33E1"/>
    <w:rsid w:val="00AC4214"/>
    <w:rsid w:val="00AC6E70"/>
    <w:rsid w:val="00AD1646"/>
    <w:rsid w:val="00AD2463"/>
    <w:rsid w:val="00AD592D"/>
    <w:rsid w:val="00AD7AB4"/>
    <w:rsid w:val="00AE3614"/>
    <w:rsid w:val="00AE40C2"/>
    <w:rsid w:val="00AF038B"/>
    <w:rsid w:val="00AF74B7"/>
    <w:rsid w:val="00AF78FA"/>
    <w:rsid w:val="00AF7A9F"/>
    <w:rsid w:val="00B00AF1"/>
    <w:rsid w:val="00B06C38"/>
    <w:rsid w:val="00B078F6"/>
    <w:rsid w:val="00B22775"/>
    <w:rsid w:val="00B235DC"/>
    <w:rsid w:val="00B236DD"/>
    <w:rsid w:val="00B26045"/>
    <w:rsid w:val="00B370B9"/>
    <w:rsid w:val="00B405F3"/>
    <w:rsid w:val="00B44C55"/>
    <w:rsid w:val="00B46A95"/>
    <w:rsid w:val="00B5114C"/>
    <w:rsid w:val="00B5123C"/>
    <w:rsid w:val="00B521CC"/>
    <w:rsid w:val="00B53A1C"/>
    <w:rsid w:val="00B544C2"/>
    <w:rsid w:val="00B54F83"/>
    <w:rsid w:val="00B5566F"/>
    <w:rsid w:val="00B55F57"/>
    <w:rsid w:val="00B630A6"/>
    <w:rsid w:val="00B668D1"/>
    <w:rsid w:val="00B70CC4"/>
    <w:rsid w:val="00B76C69"/>
    <w:rsid w:val="00B845B0"/>
    <w:rsid w:val="00B85E0D"/>
    <w:rsid w:val="00B909F6"/>
    <w:rsid w:val="00B9764B"/>
    <w:rsid w:val="00BA40B0"/>
    <w:rsid w:val="00BB02DE"/>
    <w:rsid w:val="00BB1FF8"/>
    <w:rsid w:val="00BB2E2C"/>
    <w:rsid w:val="00BB371A"/>
    <w:rsid w:val="00BB449B"/>
    <w:rsid w:val="00BB488D"/>
    <w:rsid w:val="00BC1939"/>
    <w:rsid w:val="00BC459D"/>
    <w:rsid w:val="00BC6E21"/>
    <w:rsid w:val="00BD5E06"/>
    <w:rsid w:val="00BD7B25"/>
    <w:rsid w:val="00BE1AFF"/>
    <w:rsid w:val="00BE33B3"/>
    <w:rsid w:val="00BE39F6"/>
    <w:rsid w:val="00BE4B6E"/>
    <w:rsid w:val="00BF74E9"/>
    <w:rsid w:val="00C17839"/>
    <w:rsid w:val="00C23BCF"/>
    <w:rsid w:val="00C247CB"/>
    <w:rsid w:val="00C27224"/>
    <w:rsid w:val="00C32D18"/>
    <w:rsid w:val="00C3575E"/>
    <w:rsid w:val="00C360BD"/>
    <w:rsid w:val="00C436E7"/>
    <w:rsid w:val="00C4500E"/>
    <w:rsid w:val="00C476B6"/>
    <w:rsid w:val="00C476E1"/>
    <w:rsid w:val="00C522BE"/>
    <w:rsid w:val="00C52E77"/>
    <w:rsid w:val="00C535A1"/>
    <w:rsid w:val="00C54FC9"/>
    <w:rsid w:val="00C566B3"/>
    <w:rsid w:val="00C61030"/>
    <w:rsid w:val="00C65249"/>
    <w:rsid w:val="00C65A40"/>
    <w:rsid w:val="00C67B32"/>
    <w:rsid w:val="00C72007"/>
    <w:rsid w:val="00C75C83"/>
    <w:rsid w:val="00C837BA"/>
    <w:rsid w:val="00C9506D"/>
    <w:rsid w:val="00C95346"/>
    <w:rsid w:val="00C95C34"/>
    <w:rsid w:val="00CA3B23"/>
    <w:rsid w:val="00CA62F6"/>
    <w:rsid w:val="00CB0C1D"/>
    <w:rsid w:val="00CC5AA2"/>
    <w:rsid w:val="00CC721A"/>
    <w:rsid w:val="00CD0963"/>
    <w:rsid w:val="00CD0BF6"/>
    <w:rsid w:val="00CD5C71"/>
    <w:rsid w:val="00CE3D42"/>
    <w:rsid w:val="00CE53E6"/>
    <w:rsid w:val="00CE66B6"/>
    <w:rsid w:val="00CF1691"/>
    <w:rsid w:val="00CF539A"/>
    <w:rsid w:val="00CF6131"/>
    <w:rsid w:val="00D015BE"/>
    <w:rsid w:val="00D01937"/>
    <w:rsid w:val="00D06EAA"/>
    <w:rsid w:val="00D14BC2"/>
    <w:rsid w:val="00D24F47"/>
    <w:rsid w:val="00D30001"/>
    <w:rsid w:val="00D3038B"/>
    <w:rsid w:val="00D33293"/>
    <w:rsid w:val="00D33952"/>
    <w:rsid w:val="00D36733"/>
    <w:rsid w:val="00D471B5"/>
    <w:rsid w:val="00D50973"/>
    <w:rsid w:val="00D56231"/>
    <w:rsid w:val="00D571DB"/>
    <w:rsid w:val="00D6774D"/>
    <w:rsid w:val="00D704D4"/>
    <w:rsid w:val="00D7179D"/>
    <w:rsid w:val="00D75191"/>
    <w:rsid w:val="00D80929"/>
    <w:rsid w:val="00D85254"/>
    <w:rsid w:val="00D92FCF"/>
    <w:rsid w:val="00DA2C56"/>
    <w:rsid w:val="00DA3F0D"/>
    <w:rsid w:val="00DB2B6E"/>
    <w:rsid w:val="00DC4FFC"/>
    <w:rsid w:val="00DC7A26"/>
    <w:rsid w:val="00DD2301"/>
    <w:rsid w:val="00DD7392"/>
    <w:rsid w:val="00DE1834"/>
    <w:rsid w:val="00DE79F7"/>
    <w:rsid w:val="00DF0A5B"/>
    <w:rsid w:val="00DF33B5"/>
    <w:rsid w:val="00DF6BE4"/>
    <w:rsid w:val="00E13D8E"/>
    <w:rsid w:val="00E157BC"/>
    <w:rsid w:val="00E16C6A"/>
    <w:rsid w:val="00E17DCC"/>
    <w:rsid w:val="00E216D5"/>
    <w:rsid w:val="00E21B26"/>
    <w:rsid w:val="00E414EC"/>
    <w:rsid w:val="00E47A71"/>
    <w:rsid w:val="00E47B0F"/>
    <w:rsid w:val="00E50AB1"/>
    <w:rsid w:val="00E50E4A"/>
    <w:rsid w:val="00E51218"/>
    <w:rsid w:val="00E53079"/>
    <w:rsid w:val="00E55FDD"/>
    <w:rsid w:val="00E60CB9"/>
    <w:rsid w:val="00E650D0"/>
    <w:rsid w:val="00E703FC"/>
    <w:rsid w:val="00E7340E"/>
    <w:rsid w:val="00E848E9"/>
    <w:rsid w:val="00E91F5F"/>
    <w:rsid w:val="00E9450B"/>
    <w:rsid w:val="00EA2F78"/>
    <w:rsid w:val="00EA4520"/>
    <w:rsid w:val="00EB12DD"/>
    <w:rsid w:val="00EB153E"/>
    <w:rsid w:val="00EB1F94"/>
    <w:rsid w:val="00EB57EB"/>
    <w:rsid w:val="00EC640F"/>
    <w:rsid w:val="00ED01BD"/>
    <w:rsid w:val="00ED50CF"/>
    <w:rsid w:val="00EE517C"/>
    <w:rsid w:val="00EF7B70"/>
    <w:rsid w:val="00F017D0"/>
    <w:rsid w:val="00F01ED1"/>
    <w:rsid w:val="00F06C51"/>
    <w:rsid w:val="00F1152F"/>
    <w:rsid w:val="00F17081"/>
    <w:rsid w:val="00F207B3"/>
    <w:rsid w:val="00F20C10"/>
    <w:rsid w:val="00F23D3E"/>
    <w:rsid w:val="00F45940"/>
    <w:rsid w:val="00F46113"/>
    <w:rsid w:val="00F540EA"/>
    <w:rsid w:val="00F54566"/>
    <w:rsid w:val="00F5486B"/>
    <w:rsid w:val="00F566AD"/>
    <w:rsid w:val="00F57C21"/>
    <w:rsid w:val="00F61B71"/>
    <w:rsid w:val="00F62BC4"/>
    <w:rsid w:val="00F658E0"/>
    <w:rsid w:val="00F67B27"/>
    <w:rsid w:val="00F73966"/>
    <w:rsid w:val="00F74594"/>
    <w:rsid w:val="00F81783"/>
    <w:rsid w:val="00F82571"/>
    <w:rsid w:val="00F859B7"/>
    <w:rsid w:val="00F866CD"/>
    <w:rsid w:val="00F877B4"/>
    <w:rsid w:val="00F95962"/>
    <w:rsid w:val="00FB0924"/>
    <w:rsid w:val="00FB2D67"/>
    <w:rsid w:val="00FB3DBC"/>
    <w:rsid w:val="00FB4E66"/>
    <w:rsid w:val="00FB5FA7"/>
    <w:rsid w:val="00FB7094"/>
    <w:rsid w:val="00FC1C44"/>
    <w:rsid w:val="00FC3162"/>
    <w:rsid w:val="00FC33D9"/>
    <w:rsid w:val="00FC35E4"/>
    <w:rsid w:val="00FC5E0C"/>
    <w:rsid w:val="00FD31B3"/>
    <w:rsid w:val="00FE71C2"/>
    <w:rsid w:val="00FF315F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2"/>
    </o:shapelayout>
  </w:shapeDefaults>
  <w:decimalSymbol w:val="."/>
  <w:listSeparator w:val=","/>
  <w14:docId w14:val="7BBE2F5F"/>
  <w15:chartTrackingRefBased/>
  <w15:docId w15:val="{C3BAC2B3-D685-4A97-B096-63D5BC6A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EF7B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C23BCF"/>
  </w:style>
  <w:style w:type="paragraph" w:styleId="TOC2">
    <w:name w:val="toc 2"/>
    <w:basedOn w:val="Normal"/>
    <w:next w:val="Normal"/>
    <w:autoRedefine/>
    <w:uiPriority w:val="39"/>
    <w:rsid w:val="001C7B62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6A1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173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015570"/>
  </w:style>
  <w:style w:type="character" w:customStyle="1" w:styleId="content-id">
    <w:name w:val="content-id"/>
    <w:rsid w:val="00015570"/>
  </w:style>
  <w:style w:type="character" w:styleId="UnresolvedMention">
    <w:name w:val="Unresolved Mention"/>
    <w:basedOn w:val="DefaultParagraphFont"/>
    <w:uiPriority w:val="99"/>
    <w:semiHidden/>
    <w:unhideWhenUsed/>
    <w:rsid w:val="00EA2F7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143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110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8188">
                  <w:marLeft w:val="2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48F0C9-B5B7-428F-9B8F-928FA25F6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8BB2AF6-F82D-48F6-9A8E-8F26FCB86A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AB4B6E-E372-46B9-937A-E3F5117C735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10</TotalTime>
  <Pages>1</Pages>
  <Words>777</Words>
  <Characters>4436</Characters>
  <Application>Microsoft Office Word</Application>
  <DocSecurity>2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5203</CharactersWithSpaces>
  <SharedDoc>false</SharedDoc>
  <HLinks>
    <vt:vector size="84" baseType="variant"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57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2949170</vt:i4>
      </vt:variant>
      <vt:variant>
        <vt:i4>54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51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7274524</vt:i4>
      </vt:variant>
      <vt:variant>
        <vt:i4>48</vt:i4>
      </vt:variant>
      <vt:variant>
        <vt:i4>0</vt:i4>
      </vt:variant>
      <vt:variant>
        <vt:i4>5</vt:i4>
      </vt:variant>
      <vt:variant>
        <vt:lpwstr>C:\Users\DDavis6\AppData\Local\Microsoft\Windows\Temporary Internet Files\Content.Outlook\AppData\Local\Microsoft\Windows\uv2vf06\AppData\Local\Microsoft\Windows\INetCache\Content.Outlook\KRXO405A\CMS-PRD1-095822</vt:lpwstr>
      </vt:variant>
      <vt:variant>
        <vt:lpwstr/>
      </vt:variant>
      <vt:variant>
        <vt:i4>4980749</vt:i4>
      </vt:variant>
      <vt:variant>
        <vt:i4>45</vt:i4>
      </vt:variant>
      <vt:variant>
        <vt:i4>0</vt:i4>
      </vt:variant>
      <vt:variant>
        <vt:i4>5</vt:i4>
      </vt:variant>
      <vt:variant>
        <vt:lpwstr>C:\Users\DDavis6\AppData\Local\Microsoft\Windows\Temporary Internet Files\Content.Outlook\AppData\Local\Microsoft\Windows\Temporary Internet Files\Content.Outlook\Downloads\TSRC-PROD-021820</vt:lpwstr>
      </vt:variant>
      <vt:variant>
        <vt:lpwstr/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4784132</vt:i4>
      </vt:variant>
      <vt:variant>
        <vt:i4>27</vt:i4>
      </vt:variant>
      <vt:variant>
        <vt:i4>0</vt:i4>
      </vt:variant>
      <vt:variant>
        <vt:i4>5</vt:i4>
      </vt:variant>
      <vt:variant>
        <vt:lpwstr>../Downloads/TSRC-PROD-016311</vt:lpwstr>
      </vt:variant>
      <vt:variant>
        <vt:lpwstr/>
      </vt:variant>
      <vt:variant>
        <vt:i4>4718595</vt:i4>
      </vt:variant>
      <vt:variant>
        <vt:i4>24</vt:i4>
      </vt:variant>
      <vt:variant>
        <vt:i4>0</vt:i4>
      </vt:variant>
      <vt:variant>
        <vt:i4>5</vt:i4>
      </vt:variant>
      <vt:variant>
        <vt:lpwstr>../Downloads/TSRC-PROD-016401</vt:lpwstr>
      </vt:variant>
      <vt:variant>
        <vt:lpwstr/>
      </vt:variant>
      <vt:variant>
        <vt:i4>4259841</vt:i4>
      </vt:variant>
      <vt:variant>
        <vt:i4>15</vt:i4>
      </vt:variant>
      <vt:variant>
        <vt:i4>0</vt:i4>
      </vt:variant>
      <vt:variant>
        <vt:i4>5</vt:i4>
      </vt:variant>
      <vt:variant>
        <vt:lpwstr>../Downloads/TSRC-PROD-029568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_Toc53582617</vt:lpwstr>
      </vt:variant>
      <vt:variant>
        <vt:i4>1835059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_Toc53582616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_Toc53582615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9</cp:revision>
  <cp:lastPrinted>2007-01-03T16:56:00Z</cp:lastPrinted>
  <dcterms:created xsi:type="dcterms:W3CDTF">2025-08-20T19:41:00Z</dcterms:created>
  <dcterms:modified xsi:type="dcterms:W3CDTF">2025-08-20T19:50:00Z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2021-12-27T16:23:51Z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8186fffb-6e06-4dcd-8bd6-582afc2e23bd</vt:lpwstr>
  </property>
  <property fmtid="{D5CDD505-2E9C-101B-9397-08002B2CF9AE}" pid="8" name="MSIP_Label_67599526-06ca-49cc-9fa9-5307800a949a_ContentBits">
    <vt:lpwstr>0</vt:lpwstr>
  </property>
</Properties>
</file>