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65C09" w14:textId="4DF231CC" w:rsidR="00255C6B" w:rsidRPr="0058134F" w:rsidRDefault="00711387" w:rsidP="00A33A5D">
      <w:pPr>
        <w:pStyle w:val="Heading1"/>
        <w:tabs>
          <w:tab w:val="left" w:pos="19530"/>
        </w:tabs>
        <w:spacing w:before="120" w:after="120"/>
        <w:rPr>
          <w:rFonts w:ascii="Verdana" w:hAnsi="Verdana"/>
          <w:color w:val="000000"/>
          <w:sz w:val="36"/>
          <w:szCs w:val="36"/>
        </w:rPr>
      </w:pPr>
      <w:bookmarkStart w:id="0" w:name="_top"/>
      <w:bookmarkStart w:id="1" w:name="OLE_LINK6"/>
      <w:bookmarkStart w:id="2" w:name="OLE_LINK11"/>
      <w:bookmarkEnd w:id="0"/>
      <w:r>
        <w:rPr>
          <w:rFonts w:ascii="Verdana" w:hAnsi="Verdana"/>
          <w:color w:val="000000"/>
          <w:sz w:val="36"/>
          <w:szCs w:val="36"/>
        </w:rPr>
        <w:t xml:space="preserve">Compass - </w:t>
      </w:r>
      <w:r w:rsidR="006317B7">
        <w:rPr>
          <w:rFonts w:ascii="Verdana" w:hAnsi="Verdana"/>
          <w:color w:val="000000"/>
          <w:sz w:val="36"/>
          <w:szCs w:val="36"/>
        </w:rPr>
        <w:t xml:space="preserve">CVS Specialty Copay </w:t>
      </w:r>
      <w:r w:rsidR="00A719B3">
        <w:rPr>
          <w:rFonts w:ascii="Verdana" w:hAnsi="Verdana"/>
          <w:color w:val="000000"/>
          <w:sz w:val="36"/>
          <w:szCs w:val="36"/>
        </w:rPr>
        <w:t>Plan Design Strategies</w:t>
      </w:r>
      <w:bookmarkEnd w:id="1"/>
    </w:p>
    <w:bookmarkEnd w:id="2"/>
    <w:p w14:paraId="06F5BB49" w14:textId="77777777" w:rsidR="00F56E83" w:rsidRDefault="00F56E83">
      <w:pPr>
        <w:pStyle w:val="TOC2"/>
      </w:pPr>
    </w:p>
    <w:p w14:paraId="6508C246" w14:textId="40568581" w:rsidR="00C57E3E" w:rsidRDefault="00D156DE" w:rsidP="00C57E3E">
      <w:pPr>
        <w:rPr>
          <w:rFonts w:asciiTheme="minorHAnsi" w:eastAsiaTheme="minorEastAsia" w:hAnsiTheme="minorHAnsi" w:cstheme="minorBidi"/>
          <w:noProof/>
          <w:kern w:val="2"/>
          <w14:ligatures w14:val="standardContextual"/>
        </w:rPr>
      </w:pPr>
      <w:r>
        <w:rPr>
          <w:color w:val="0000FF"/>
          <w:u w:val="single"/>
        </w:rPr>
        <w:fldChar w:fldCharType="begin"/>
      </w:r>
      <w:r>
        <w:instrText xml:space="preserve"> TOC \o "2-3" \n \p " " \h \z \u </w:instrText>
      </w:r>
      <w:r>
        <w:rPr>
          <w:color w:val="0000FF"/>
          <w:u w:val="single"/>
        </w:rPr>
        <w:fldChar w:fldCharType="separate"/>
      </w:r>
      <w:hyperlink w:anchor="_Toc207786646" w:history="1">
        <w:r w:rsidR="00C57E3E" w:rsidRPr="007D6766">
          <w:rPr>
            <w:rStyle w:val="Hyperlink"/>
            <w:noProof/>
          </w:rPr>
          <w:t>Information</w:t>
        </w:r>
      </w:hyperlink>
    </w:p>
    <w:p w14:paraId="1C11DC96" w14:textId="597EA893" w:rsidR="00C57E3E" w:rsidRDefault="00C57E3E" w:rsidP="00C57E3E">
      <w:pPr>
        <w:rPr>
          <w:rFonts w:asciiTheme="minorHAnsi" w:eastAsiaTheme="minorEastAsia" w:hAnsiTheme="minorHAnsi" w:cstheme="minorBidi"/>
          <w:noProof/>
          <w:kern w:val="2"/>
          <w14:ligatures w14:val="standardContextual"/>
        </w:rPr>
      </w:pPr>
      <w:hyperlink w:anchor="_Toc207786647" w:history="1">
        <w:r w:rsidRPr="007D6766">
          <w:rPr>
            <w:rStyle w:val="Hyperlink"/>
            <w:noProof/>
          </w:rPr>
          <w:t>True Accumulation</w:t>
        </w:r>
      </w:hyperlink>
    </w:p>
    <w:p w14:paraId="74482235" w14:textId="42B0208C" w:rsidR="00C57E3E" w:rsidRDefault="00C57E3E" w:rsidP="00C57E3E">
      <w:pPr>
        <w:rPr>
          <w:rFonts w:asciiTheme="minorHAnsi" w:eastAsiaTheme="minorEastAsia" w:hAnsiTheme="minorHAnsi" w:cstheme="minorBidi"/>
          <w:noProof/>
          <w:kern w:val="2"/>
          <w14:ligatures w14:val="standardContextual"/>
        </w:rPr>
      </w:pPr>
      <w:hyperlink w:anchor="_Toc207786648" w:history="1">
        <w:r w:rsidRPr="007D6766">
          <w:rPr>
            <w:rStyle w:val="Hyperlink"/>
            <w:noProof/>
          </w:rPr>
          <w:t>The PrudentRx Solution</w:t>
        </w:r>
      </w:hyperlink>
    </w:p>
    <w:p w14:paraId="0E55428B" w14:textId="426DAAB2" w:rsidR="00C57E3E" w:rsidRDefault="00C57E3E" w:rsidP="00C57E3E">
      <w:pPr>
        <w:rPr>
          <w:rFonts w:asciiTheme="minorHAnsi" w:eastAsiaTheme="minorEastAsia" w:hAnsiTheme="minorHAnsi" w:cstheme="minorBidi"/>
          <w:noProof/>
          <w:kern w:val="2"/>
          <w14:ligatures w14:val="standardContextual"/>
        </w:rPr>
      </w:pPr>
      <w:hyperlink w:anchor="_Toc207786649" w:history="1">
        <w:r w:rsidRPr="007D6766">
          <w:rPr>
            <w:rStyle w:val="Hyperlink"/>
            <w:noProof/>
          </w:rPr>
          <w:t>Specialty Copay Claim Adjudication</w:t>
        </w:r>
      </w:hyperlink>
    </w:p>
    <w:p w14:paraId="77E68890" w14:textId="4B63C9E1" w:rsidR="00C57E3E" w:rsidRDefault="00C57E3E" w:rsidP="00C57E3E">
      <w:pPr>
        <w:rPr>
          <w:rFonts w:asciiTheme="minorHAnsi" w:eastAsiaTheme="minorEastAsia" w:hAnsiTheme="minorHAnsi" w:cstheme="minorBidi"/>
          <w:noProof/>
          <w:kern w:val="2"/>
          <w14:ligatures w14:val="standardContextual"/>
        </w:rPr>
      </w:pPr>
      <w:hyperlink w:anchor="_Toc207786650" w:history="1">
        <w:r w:rsidRPr="007D6766">
          <w:rPr>
            <w:rStyle w:val="Hyperlink"/>
            <w:noProof/>
          </w:rPr>
          <w:t>Frequently Asked Questions and Answers</w:t>
        </w:r>
      </w:hyperlink>
    </w:p>
    <w:p w14:paraId="6211F3BF" w14:textId="3903B56C" w:rsidR="00C57E3E" w:rsidRDefault="00C57E3E" w:rsidP="00C57E3E">
      <w:pPr>
        <w:rPr>
          <w:rFonts w:asciiTheme="minorHAnsi" w:eastAsiaTheme="minorEastAsia" w:hAnsiTheme="minorHAnsi" w:cstheme="minorBidi"/>
          <w:noProof/>
          <w:kern w:val="2"/>
          <w14:ligatures w14:val="standardContextual"/>
        </w:rPr>
      </w:pPr>
      <w:hyperlink w:anchor="_Toc207786651" w:history="1">
        <w:r w:rsidRPr="007D6766">
          <w:rPr>
            <w:rStyle w:val="Hyperlink"/>
            <w:noProof/>
          </w:rPr>
          <w:t>PrudentRx Specific FAQs</w:t>
        </w:r>
      </w:hyperlink>
    </w:p>
    <w:p w14:paraId="65C0D4E7" w14:textId="4B9F3910" w:rsidR="00C57E3E" w:rsidRDefault="00C57E3E" w:rsidP="00C57E3E">
      <w:pPr>
        <w:rPr>
          <w:rFonts w:asciiTheme="minorHAnsi" w:eastAsiaTheme="minorEastAsia" w:hAnsiTheme="minorHAnsi" w:cstheme="minorBidi"/>
          <w:noProof/>
          <w:kern w:val="2"/>
          <w14:ligatures w14:val="standardContextual"/>
        </w:rPr>
      </w:pPr>
      <w:hyperlink w:anchor="_Toc207786652" w:history="1">
        <w:r w:rsidRPr="007D6766">
          <w:rPr>
            <w:rStyle w:val="Hyperlink"/>
            <w:noProof/>
          </w:rPr>
          <w:t>Related Documents</w:t>
        </w:r>
      </w:hyperlink>
    </w:p>
    <w:p w14:paraId="43470FFB" w14:textId="31B49F0D" w:rsidR="00E550B2" w:rsidRDefault="00D156DE" w:rsidP="00C57E3E">
      <w:r>
        <w:fldChar w:fldCharType="end"/>
      </w:r>
    </w:p>
    <w:p w14:paraId="183CEDEC" w14:textId="77777777" w:rsidR="000A1F68" w:rsidRPr="004E00B6" w:rsidRDefault="000A1F68" w:rsidP="001A314D"/>
    <w:p w14:paraId="75363BE5" w14:textId="3EB6AC33" w:rsidR="000A1708" w:rsidRPr="004E00B6" w:rsidRDefault="00DC085F" w:rsidP="006F1547">
      <w:pPr>
        <w:spacing w:before="120" w:after="120"/>
      </w:pPr>
      <w:r w:rsidRPr="00F26E92">
        <w:rPr>
          <w:rFonts w:cs="Arial"/>
          <w:b/>
          <w:bCs/>
        </w:rPr>
        <w:t xml:space="preserve">Description: </w:t>
      </w:r>
      <w:bookmarkStart w:id="3" w:name="OLE_LINK9"/>
      <w:bookmarkStart w:id="4" w:name="OLE_LINK86"/>
      <w:r w:rsidR="00F56E83">
        <w:rPr>
          <w:rFonts w:cs="Arial"/>
        </w:rPr>
        <w:t>G</w:t>
      </w:r>
      <w:r w:rsidR="003F660A">
        <w:rPr>
          <w:rFonts w:cs="Arial"/>
        </w:rPr>
        <w:t xml:space="preserve">eneral </w:t>
      </w:r>
      <w:r w:rsidR="00C87B75">
        <w:rPr>
          <w:rFonts w:cs="Arial"/>
        </w:rPr>
        <w:t xml:space="preserve">information about the CVS Specialty Copay </w:t>
      </w:r>
      <w:r w:rsidR="00A719B3">
        <w:rPr>
          <w:rFonts w:cs="Arial"/>
        </w:rPr>
        <w:t>Plan Design Strategies, True Accumulation</w:t>
      </w:r>
      <w:r w:rsidR="000A1F68">
        <w:rPr>
          <w:rFonts w:cs="Arial"/>
        </w:rPr>
        <w:t>,</w:t>
      </w:r>
      <w:r w:rsidR="00A719B3">
        <w:rPr>
          <w:rFonts w:cs="Arial"/>
        </w:rPr>
        <w:t xml:space="preserve"> and the PrudentRx solution</w:t>
      </w:r>
      <w:r w:rsidR="00C87B75">
        <w:rPr>
          <w:rFonts w:cs="Arial"/>
        </w:rPr>
        <w:t xml:space="preserve"> and </w:t>
      </w:r>
      <w:r w:rsidR="003F660A">
        <w:rPr>
          <w:rFonts w:cs="Arial"/>
        </w:rPr>
        <w:t xml:space="preserve">may </w:t>
      </w:r>
      <w:r w:rsidR="00C87B75">
        <w:rPr>
          <w:rFonts w:cs="Arial"/>
        </w:rPr>
        <w:t>var</w:t>
      </w:r>
      <w:r w:rsidR="003F660A">
        <w:rPr>
          <w:rFonts w:cs="Arial"/>
        </w:rPr>
        <w:t>y</w:t>
      </w:r>
      <w:r w:rsidR="00C87B75">
        <w:rPr>
          <w:rFonts w:cs="Arial"/>
        </w:rPr>
        <w:t xml:space="preserve"> by client. </w:t>
      </w:r>
      <w:bookmarkEnd w:id="3"/>
      <w:r w:rsidR="00C87B75">
        <w:rPr>
          <w:rFonts w:cs="Arial"/>
        </w:rPr>
        <w:t xml:space="preserve"> </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87B75" w:rsidRPr="004E00B6" w14:paraId="18A666BB" w14:textId="77777777" w:rsidTr="00A33A5D">
        <w:tc>
          <w:tcPr>
            <w:tcW w:w="5000" w:type="pct"/>
            <w:shd w:val="clear" w:color="auto" w:fill="BFBFBF" w:themeFill="background1" w:themeFillShade="BF"/>
          </w:tcPr>
          <w:p w14:paraId="3CA4C856" w14:textId="77777777" w:rsidR="00C87B75" w:rsidRPr="004E00B6" w:rsidRDefault="00C87B75" w:rsidP="00A33A5D">
            <w:pPr>
              <w:pStyle w:val="Heading2"/>
              <w:spacing w:before="120" w:after="120"/>
              <w:rPr>
                <w:rFonts w:ascii="Verdana" w:hAnsi="Verdana"/>
                <w:i w:val="0"/>
                <w:iCs w:val="0"/>
              </w:rPr>
            </w:pPr>
            <w:bookmarkStart w:id="5" w:name="_Toc100581437"/>
            <w:bookmarkStart w:id="6" w:name="_Toc100582021"/>
            <w:bookmarkStart w:id="7" w:name="_Toc100582043"/>
            <w:bookmarkStart w:id="8" w:name="_Toc207786646"/>
            <w:r>
              <w:rPr>
                <w:rFonts w:ascii="Verdana" w:hAnsi="Verdana"/>
                <w:i w:val="0"/>
                <w:iCs w:val="0"/>
              </w:rPr>
              <w:t>Information</w:t>
            </w:r>
            <w:bookmarkEnd w:id="5"/>
            <w:bookmarkEnd w:id="6"/>
            <w:bookmarkEnd w:id="7"/>
            <w:bookmarkEnd w:id="8"/>
            <w:r>
              <w:rPr>
                <w:rFonts w:ascii="Verdana" w:hAnsi="Verdana"/>
                <w:i w:val="0"/>
                <w:iCs w:val="0"/>
              </w:rPr>
              <w:t xml:space="preserve"> </w:t>
            </w:r>
          </w:p>
        </w:tc>
      </w:tr>
    </w:tbl>
    <w:p w14:paraId="42BFE575" w14:textId="77777777" w:rsidR="006A57DD" w:rsidRDefault="006A57DD" w:rsidP="00FF1A61">
      <w:pPr>
        <w:rPr>
          <w:rFonts w:cs="Arial"/>
        </w:rPr>
      </w:pPr>
    </w:p>
    <w:p w14:paraId="56D284F5" w14:textId="77777777" w:rsidR="00FF1A61" w:rsidRDefault="00A719B3" w:rsidP="006F1547">
      <w:pPr>
        <w:spacing w:before="120" w:after="120"/>
        <w:rPr>
          <w:rFonts w:cs="Arial"/>
        </w:rPr>
      </w:pPr>
      <w:r w:rsidRPr="00ED608C">
        <w:rPr>
          <w:rFonts w:cs="Arial"/>
        </w:rPr>
        <w:t xml:space="preserve">Specialty Copay Plan Design Strategies applies to PBM commercial clients and health plan </w:t>
      </w:r>
      <w:bookmarkStart w:id="9" w:name="OLE_LINK4"/>
      <w:r w:rsidR="006203F6" w:rsidRPr="00ED608C">
        <w:t>Administrative Services Only (</w:t>
      </w:r>
      <w:r w:rsidRPr="00ED608C">
        <w:rPr>
          <w:rFonts w:cs="Arial"/>
        </w:rPr>
        <w:t>ASO</w:t>
      </w:r>
      <w:r w:rsidR="006203F6" w:rsidRPr="00ED608C">
        <w:rPr>
          <w:rFonts w:cs="Arial"/>
        </w:rPr>
        <w:t>)</w:t>
      </w:r>
      <w:r w:rsidRPr="00ED608C">
        <w:rPr>
          <w:rFonts w:cs="Arial"/>
        </w:rPr>
        <w:t xml:space="preserve"> groups</w:t>
      </w:r>
      <w:r w:rsidR="0004399A" w:rsidRPr="00ED608C">
        <w:rPr>
          <w:rFonts w:cs="Arial"/>
        </w:rPr>
        <w:t>.</w:t>
      </w:r>
      <w:r w:rsidR="00FD7B92">
        <w:rPr>
          <w:rFonts w:cs="Arial"/>
        </w:rPr>
        <w:t xml:space="preserve"> </w:t>
      </w:r>
      <w:r w:rsidR="006203F6" w:rsidRPr="00ED608C">
        <w:rPr>
          <w:rFonts w:cs="Arial"/>
        </w:rPr>
        <w:t>ASO is an agreement that companies use when they fund their employee benefit plan but hire a vendor to administer it.</w:t>
      </w:r>
    </w:p>
    <w:bookmarkEnd w:id="9"/>
    <w:p w14:paraId="65438178" w14:textId="77777777" w:rsidR="00FF6E27" w:rsidRDefault="00FF6E27" w:rsidP="006F1547">
      <w:pPr>
        <w:spacing w:before="120" w:after="120"/>
        <w:rPr>
          <w:rFonts w:cs="Arial"/>
        </w:rPr>
      </w:pPr>
    </w:p>
    <w:p w14:paraId="69CAC9F5" w14:textId="27A93BB2" w:rsidR="00D60058" w:rsidRPr="00D74EBA" w:rsidRDefault="005E5600" w:rsidP="006F1547">
      <w:pPr>
        <w:pStyle w:val="ListParagraph"/>
        <w:numPr>
          <w:ilvl w:val="0"/>
          <w:numId w:val="29"/>
        </w:numPr>
        <w:spacing w:before="120" w:after="120"/>
        <w:ind w:left="360"/>
      </w:pPr>
      <w:r w:rsidRPr="00D74EBA">
        <w:rPr>
          <w:rFonts w:ascii="Verdana" w:hAnsi="Verdana" w:cs="Arial"/>
          <w:sz w:val="24"/>
          <w:szCs w:val="24"/>
        </w:rPr>
        <w:t xml:space="preserve">It is </w:t>
      </w:r>
      <w:r w:rsidR="006317B7" w:rsidRPr="00D74EBA">
        <w:rPr>
          <w:rFonts w:ascii="Verdana" w:hAnsi="Verdana" w:cs="Arial"/>
          <w:sz w:val="24"/>
          <w:szCs w:val="24"/>
        </w:rPr>
        <w:t>available only for Specialty Clients</w:t>
      </w:r>
      <w:r w:rsidR="0004399A" w:rsidRPr="00D74EBA">
        <w:rPr>
          <w:rFonts w:ascii="Verdana" w:hAnsi="Verdana" w:cs="Arial"/>
          <w:sz w:val="24"/>
          <w:szCs w:val="24"/>
        </w:rPr>
        <w:t xml:space="preserve"> </w:t>
      </w:r>
      <w:r w:rsidR="00EE738E" w:rsidRPr="00D74EBA">
        <w:rPr>
          <w:rFonts w:ascii="Verdana" w:hAnsi="Verdana" w:cs="Arial"/>
          <w:sz w:val="24"/>
          <w:szCs w:val="24"/>
        </w:rPr>
        <w:t xml:space="preserve">and </w:t>
      </w:r>
      <w:r w:rsidR="006317B7" w:rsidRPr="00D74EBA">
        <w:rPr>
          <w:rFonts w:ascii="Verdana" w:hAnsi="Verdana"/>
          <w:sz w:val="24"/>
          <w:szCs w:val="24"/>
        </w:rPr>
        <w:t xml:space="preserve">not all clients </w:t>
      </w:r>
      <w:r w:rsidRPr="00D74EBA">
        <w:rPr>
          <w:rFonts w:ascii="Verdana" w:hAnsi="Verdana"/>
          <w:sz w:val="24"/>
          <w:szCs w:val="24"/>
        </w:rPr>
        <w:t>participate</w:t>
      </w:r>
      <w:r w:rsidR="004429A7" w:rsidRPr="00D74EBA">
        <w:rPr>
          <w:rFonts w:ascii="Verdana" w:hAnsi="Verdana"/>
          <w:sz w:val="24"/>
          <w:szCs w:val="24"/>
        </w:rPr>
        <w:t>.</w:t>
      </w:r>
    </w:p>
    <w:p w14:paraId="23B2B564" w14:textId="34DEBFF8" w:rsidR="005E5600" w:rsidRDefault="004429A7" w:rsidP="006F1547">
      <w:pPr>
        <w:pStyle w:val="ListParagraph"/>
        <w:numPr>
          <w:ilvl w:val="0"/>
          <w:numId w:val="29"/>
        </w:numPr>
        <w:spacing w:before="120" w:after="120"/>
        <w:ind w:left="360"/>
      </w:pPr>
      <w:r w:rsidRPr="00D74EBA">
        <w:rPr>
          <w:rFonts w:ascii="Verdana" w:hAnsi="Verdana"/>
          <w:sz w:val="24"/>
          <w:szCs w:val="24"/>
        </w:rPr>
        <w:t xml:space="preserve">Participating </w:t>
      </w:r>
      <w:r w:rsidR="006317B7" w:rsidRPr="00D74EBA">
        <w:rPr>
          <w:rFonts w:ascii="Verdana" w:hAnsi="Verdana"/>
          <w:sz w:val="24"/>
          <w:szCs w:val="24"/>
        </w:rPr>
        <w:t>clients</w:t>
      </w:r>
      <w:r w:rsidR="00F61393" w:rsidRPr="00D74EBA">
        <w:rPr>
          <w:rFonts w:ascii="Verdana" w:hAnsi="Verdana"/>
          <w:sz w:val="24"/>
          <w:szCs w:val="24"/>
        </w:rPr>
        <w:t>’</w:t>
      </w:r>
      <w:r w:rsidR="006317B7" w:rsidRPr="00D74EBA">
        <w:rPr>
          <w:rFonts w:ascii="Verdana" w:hAnsi="Verdana"/>
          <w:sz w:val="24"/>
          <w:szCs w:val="24"/>
        </w:rPr>
        <w:t xml:space="preserve"> CIF </w:t>
      </w:r>
      <w:r w:rsidR="00D60058" w:rsidRPr="00D74EBA">
        <w:rPr>
          <w:rFonts w:ascii="Verdana" w:hAnsi="Verdana"/>
          <w:sz w:val="24"/>
          <w:szCs w:val="24"/>
        </w:rPr>
        <w:t>is</w:t>
      </w:r>
      <w:r w:rsidR="006317B7" w:rsidRPr="00D74EBA">
        <w:rPr>
          <w:rFonts w:ascii="Verdana" w:hAnsi="Verdana"/>
          <w:sz w:val="24"/>
          <w:szCs w:val="24"/>
        </w:rPr>
        <w:t xml:space="preserve"> updated individually</w:t>
      </w:r>
      <w:r w:rsidR="00053511" w:rsidRPr="00D74EBA">
        <w:rPr>
          <w:rFonts w:ascii="Verdana" w:hAnsi="Verdana"/>
          <w:sz w:val="24"/>
          <w:szCs w:val="24"/>
        </w:rPr>
        <w:t xml:space="preserve"> within the </w:t>
      </w:r>
      <w:r w:rsidR="00053511" w:rsidRPr="00D74EBA">
        <w:rPr>
          <w:rFonts w:ascii="Verdana" w:hAnsi="Verdana"/>
          <w:b/>
          <w:bCs/>
          <w:sz w:val="24"/>
          <w:szCs w:val="24"/>
        </w:rPr>
        <w:t>Plan Design Highlights</w:t>
      </w:r>
      <w:r w:rsidR="00053511" w:rsidRPr="00D74EBA">
        <w:rPr>
          <w:rFonts w:ascii="Verdana" w:hAnsi="Verdana"/>
          <w:sz w:val="24"/>
          <w:szCs w:val="24"/>
        </w:rPr>
        <w:t xml:space="preserve"> section under the </w:t>
      </w:r>
      <w:r w:rsidR="00B81CEB" w:rsidRPr="00D74EBA">
        <w:rPr>
          <w:rFonts w:ascii="Verdana" w:hAnsi="Verdana"/>
          <w:sz w:val="24"/>
          <w:szCs w:val="24"/>
        </w:rPr>
        <w:t>SpecialtyRX</w:t>
      </w:r>
      <w:r w:rsidR="00053511" w:rsidRPr="00D74EBA">
        <w:rPr>
          <w:rFonts w:ascii="Verdana" w:hAnsi="Verdana"/>
          <w:sz w:val="24"/>
          <w:szCs w:val="24"/>
        </w:rPr>
        <w:t xml:space="preserve"> section</w:t>
      </w:r>
      <w:r w:rsidR="00BE406E" w:rsidRPr="00D74EBA">
        <w:rPr>
          <w:rFonts w:ascii="Verdana" w:hAnsi="Verdana"/>
          <w:sz w:val="24"/>
          <w:szCs w:val="24"/>
        </w:rPr>
        <w:t xml:space="preserve"> and</w:t>
      </w:r>
      <w:r w:rsidR="005E5600" w:rsidRPr="00D74EBA">
        <w:rPr>
          <w:rFonts w:ascii="Verdana" w:hAnsi="Verdana"/>
          <w:sz w:val="24"/>
          <w:szCs w:val="24"/>
        </w:rPr>
        <w:t xml:space="preserve"> the</w:t>
      </w:r>
      <w:r w:rsidR="00BE406E" w:rsidRPr="00D74EBA">
        <w:rPr>
          <w:rFonts w:ascii="Verdana" w:hAnsi="Verdana"/>
          <w:sz w:val="24"/>
          <w:szCs w:val="24"/>
        </w:rPr>
        <w:t xml:space="preserve"> CVS Specialty Copay Card program</w:t>
      </w:r>
      <w:r w:rsidRPr="00D74EBA">
        <w:rPr>
          <w:rFonts w:ascii="Verdana" w:hAnsi="Verdana"/>
          <w:sz w:val="24"/>
          <w:szCs w:val="24"/>
        </w:rPr>
        <w:t xml:space="preserve">. </w:t>
      </w:r>
    </w:p>
    <w:p w14:paraId="19E57AB2" w14:textId="77777777" w:rsidR="00FF1A61" w:rsidRDefault="00FF1A61" w:rsidP="006F1547">
      <w:pPr>
        <w:spacing w:before="120" w:after="120"/>
      </w:pPr>
    </w:p>
    <w:p w14:paraId="13A0CF71" w14:textId="5E617FC1" w:rsidR="00960B33" w:rsidRDefault="00A719B3" w:rsidP="006F1547">
      <w:pPr>
        <w:spacing w:before="120" w:after="120"/>
      </w:pPr>
      <w:r>
        <w:t>Without the right management strategies, plan members’ use of manufacturer copay coupons can circumvent a client’s plan design and increase overall costs.</w:t>
      </w:r>
      <w:r w:rsidR="00FD7B92">
        <w:t xml:space="preserve"> </w:t>
      </w:r>
      <w:r>
        <w:t>CVS Health’s Specialty Copay Plan Design Strategies, True Accumulation and the PrudentRx solution, are designed to address these concerns and help clients incrementally manage specialty pharmacy spend</w:t>
      </w:r>
      <w:r w:rsidR="004429A7">
        <w:t xml:space="preserve">. </w:t>
      </w:r>
    </w:p>
    <w:p w14:paraId="1B42CE30" w14:textId="77777777" w:rsidR="00A719B3" w:rsidRDefault="00FF1A61" w:rsidP="006F1547">
      <w:pPr>
        <w:spacing w:before="120" w:after="120"/>
      </w:pPr>
      <w:r>
        <w:t xml:space="preserve"> </w:t>
      </w:r>
    </w:p>
    <w:p w14:paraId="6CECBA63" w14:textId="77777777" w:rsidR="000F6EA2" w:rsidRPr="00C24FF3" w:rsidRDefault="00EF123D" w:rsidP="00DA0252">
      <w:pPr>
        <w:jc w:val="right"/>
      </w:pPr>
      <w:r>
        <w:t xml:space="preserve"> </w:t>
      </w:r>
      <w:hyperlink w:anchor="_top" w:history="1">
        <w:r w:rsidR="002B3242" w:rsidRPr="002B3242">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0F6EA2" w14:paraId="245B2B71" w14:textId="77777777" w:rsidTr="00A33A5D">
        <w:tc>
          <w:tcPr>
            <w:tcW w:w="5000" w:type="pct"/>
            <w:shd w:val="clear" w:color="auto" w:fill="BFBFBF" w:themeFill="background1" w:themeFillShade="BF"/>
          </w:tcPr>
          <w:p w14:paraId="50B75596" w14:textId="77777777" w:rsidR="000F6EA2" w:rsidRPr="000F6EA2" w:rsidRDefault="000F6EA2" w:rsidP="00A33A5D">
            <w:pPr>
              <w:pStyle w:val="Heading2"/>
              <w:spacing w:before="120" w:after="120"/>
              <w:rPr>
                <w:rFonts w:ascii="Verdana" w:hAnsi="Verdana"/>
                <w:i w:val="0"/>
                <w:iCs w:val="0"/>
              </w:rPr>
            </w:pPr>
            <w:bookmarkStart w:id="10" w:name="_Toc207786647"/>
            <w:r w:rsidRPr="000F6EA2">
              <w:rPr>
                <w:rFonts w:ascii="Verdana" w:hAnsi="Verdana"/>
                <w:i w:val="0"/>
                <w:iCs w:val="0"/>
              </w:rPr>
              <w:t>True Accumulation</w:t>
            </w:r>
            <w:bookmarkEnd w:id="10"/>
          </w:p>
        </w:tc>
      </w:tr>
    </w:tbl>
    <w:p w14:paraId="589E609F" w14:textId="77777777" w:rsidR="006A57DD" w:rsidRPr="00C24FF3" w:rsidRDefault="006A57DD" w:rsidP="006F1547">
      <w:pPr>
        <w:spacing w:before="120" w:after="120"/>
      </w:pPr>
    </w:p>
    <w:p w14:paraId="4EED940B" w14:textId="77777777" w:rsidR="00A719B3" w:rsidRPr="00A719B3" w:rsidRDefault="00A719B3" w:rsidP="006F1547">
      <w:pPr>
        <w:spacing w:before="120" w:after="120"/>
        <w:rPr>
          <w:bCs/>
        </w:rPr>
      </w:pPr>
      <w:r w:rsidRPr="00A719B3">
        <w:rPr>
          <w:bCs/>
        </w:rPr>
        <w:t>To provide our prescription benefit management (PBM) clients with a solution that helps account for the impact of copay card programs and maintains plan design integrity, CVS Health has developed the True Accumulation plan design strategy. Our solution ensures only true member cost share (non-</w:t>
      </w:r>
      <w:r w:rsidR="00651309" w:rsidRPr="00A719B3">
        <w:rPr>
          <w:bCs/>
        </w:rPr>
        <w:t>third-party</w:t>
      </w:r>
      <w:r w:rsidRPr="00A719B3">
        <w:rPr>
          <w:bCs/>
        </w:rPr>
        <w:t xml:space="preserve"> dollars) is applied toward deductibles or out-of-pocket (OOP) maximums, unless otherwise required by law. </w:t>
      </w:r>
    </w:p>
    <w:p w14:paraId="0B555380" w14:textId="77777777" w:rsidR="007C317B" w:rsidRPr="00A719B3" w:rsidRDefault="007C317B" w:rsidP="006F1547">
      <w:pPr>
        <w:spacing w:before="120" w:after="120"/>
        <w:rPr>
          <w:bCs/>
        </w:rPr>
      </w:pPr>
    </w:p>
    <w:p w14:paraId="6370FF62" w14:textId="77777777" w:rsidR="004F37EE" w:rsidRDefault="00A719B3" w:rsidP="006F1547">
      <w:pPr>
        <w:spacing w:before="120" w:after="120"/>
        <w:rPr>
          <w:bCs/>
        </w:rPr>
      </w:pPr>
      <w:r w:rsidRPr="00A719B3">
        <w:rPr>
          <w:bCs/>
        </w:rPr>
        <w:t xml:space="preserve">The automated accumulator functionality with CVS Specialty will help ensure only true member cost share is applied towards any accumulator when specialty copay cards are billed. </w:t>
      </w:r>
      <w:r w:rsidR="007B794B">
        <w:rPr>
          <w:bCs/>
        </w:rPr>
        <w:t xml:space="preserve"> </w:t>
      </w:r>
    </w:p>
    <w:p w14:paraId="0102410D" w14:textId="00F90097" w:rsidR="00A719B3" w:rsidRPr="00A719B3" w:rsidRDefault="004F37EE" w:rsidP="006F1547">
      <w:pPr>
        <w:spacing w:before="120" w:after="120"/>
        <w:rPr>
          <w:bCs/>
        </w:rPr>
      </w:pPr>
      <w:r w:rsidRPr="004F37EE">
        <w:rPr>
          <w:b/>
        </w:rPr>
        <w:t>Example:</w:t>
      </w:r>
      <w:r>
        <w:rPr>
          <w:bCs/>
        </w:rPr>
        <w:t xml:space="preserve"> I</w:t>
      </w:r>
      <w:r w:rsidR="00A719B3" w:rsidRPr="00A719B3">
        <w:rPr>
          <w:bCs/>
        </w:rPr>
        <w:t xml:space="preserve">f a member's benefit design requires a $100 specialty copay and the member uses a manufacturer copay card of $95, the only amount counted towards any accumulator would be the true OOP cost of $5 the member paid. </w:t>
      </w:r>
    </w:p>
    <w:p w14:paraId="4E863928" w14:textId="77777777" w:rsidR="00A719B3" w:rsidRPr="00A719B3" w:rsidRDefault="00A719B3" w:rsidP="006F1547">
      <w:pPr>
        <w:spacing w:before="120" w:after="120"/>
        <w:rPr>
          <w:bCs/>
        </w:rPr>
      </w:pPr>
    </w:p>
    <w:p w14:paraId="0E4B9E89" w14:textId="77777777" w:rsidR="00110BEA" w:rsidRDefault="00A719B3" w:rsidP="006F1547">
      <w:pPr>
        <w:spacing w:before="120" w:after="120"/>
      </w:pPr>
      <w:r w:rsidRPr="00A719B3">
        <w:rPr>
          <w:bCs/>
        </w:rPr>
        <w:t>A client-owned onsite pharmacy included in a client’s Exclusive Specialty network can be included in the True Accumulation program. Additional steps will be required of the pharmacy to accommodate data sharing. We have options for additional expansion for non-CVS Specialty pharmacies for clients in states with anti-affiliate steerage or AWP requirements. This is still within an exclusive network. Clients cannot have a fully open pharmacy arrangement.</w:t>
      </w:r>
    </w:p>
    <w:p w14:paraId="060D9509" w14:textId="77777777" w:rsidR="00110BEA" w:rsidRPr="006F1547" w:rsidRDefault="007342C0" w:rsidP="006F1547">
      <w:pPr>
        <w:pStyle w:val="ListParagraph"/>
        <w:numPr>
          <w:ilvl w:val="0"/>
          <w:numId w:val="30"/>
        </w:numPr>
        <w:spacing w:before="120" w:after="120"/>
        <w:ind w:left="360"/>
        <w:rPr>
          <w:rFonts w:ascii="Verdana" w:hAnsi="Verdana" w:cs="Helvetica"/>
          <w:color w:val="000000"/>
          <w:sz w:val="24"/>
          <w:szCs w:val="24"/>
        </w:rPr>
      </w:pPr>
      <w:hyperlink r:id="rId11" w:anchor="!/view?docid=8239b47a-27ed-48bd-babe-f67c7dd0bb6d" w:history="1">
        <w:r w:rsidRPr="006F1547">
          <w:rPr>
            <w:rStyle w:val="Hyperlink"/>
            <w:rFonts w:ascii="Verdana" w:hAnsi="Verdana" w:cs="Helvetica"/>
            <w:sz w:val="24"/>
            <w:szCs w:val="24"/>
          </w:rPr>
          <w:t>Specialty Drug Reference Table - Includes Limited Distribution Drugs (LDD) (004448)</w:t>
        </w:r>
      </w:hyperlink>
    </w:p>
    <w:p w14:paraId="521B34A3" w14:textId="77777777" w:rsidR="00A52957" w:rsidRPr="006F1547" w:rsidRDefault="00A52957" w:rsidP="006F1547">
      <w:pPr>
        <w:spacing w:before="120" w:after="120"/>
      </w:pPr>
    </w:p>
    <w:p w14:paraId="78BF3E28" w14:textId="77777777" w:rsidR="001D012E" w:rsidRDefault="001D012E" w:rsidP="002814B4">
      <w:pPr>
        <w:spacing w:before="120" w:after="120"/>
        <w:jc w:val="right"/>
        <w:rPr>
          <w:bCs/>
        </w:rPr>
      </w:pPr>
    </w:p>
    <w:p w14:paraId="5BC088C7" w14:textId="77777777" w:rsidR="00326F0C" w:rsidRPr="004069D1" w:rsidRDefault="004069D1" w:rsidP="00DA0252">
      <w:pPr>
        <w:jc w:val="right"/>
        <w:rPr>
          <w:bCs/>
        </w:rPr>
      </w:pPr>
      <w:hyperlink w:anchor="_top" w:history="1">
        <w:r w:rsidRPr="004069D1">
          <w:rPr>
            <w:rStyle w:val="Hyperlink"/>
            <w:bCs/>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326F0C" w14:paraId="791CC672" w14:textId="77777777" w:rsidTr="00A33A5D">
        <w:tc>
          <w:tcPr>
            <w:tcW w:w="5000" w:type="pct"/>
            <w:shd w:val="clear" w:color="auto" w:fill="BFBFBF" w:themeFill="background1" w:themeFillShade="BF"/>
          </w:tcPr>
          <w:p w14:paraId="044C2B10" w14:textId="77777777" w:rsidR="00326F0C" w:rsidRPr="00326F0C" w:rsidRDefault="00326F0C" w:rsidP="00A33A5D">
            <w:pPr>
              <w:pStyle w:val="Heading2"/>
              <w:spacing w:before="120" w:after="120"/>
              <w:rPr>
                <w:rFonts w:ascii="Verdana" w:hAnsi="Verdana"/>
                <w:i w:val="0"/>
                <w:iCs w:val="0"/>
              </w:rPr>
            </w:pPr>
            <w:bookmarkStart w:id="11" w:name="_Toc207786648"/>
            <w:r>
              <w:rPr>
                <w:rFonts w:ascii="Verdana" w:hAnsi="Verdana"/>
                <w:i w:val="0"/>
                <w:iCs w:val="0"/>
              </w:rPr>
              <w:t>The PrudentRx Solution</w:t>
            </w:r>
            <w:bookmarkEnd w:id="11"/>
          </w:p>
        </w:tc>
      </w:tr>
    </w:tbl>
    <w:p w14:paraId="4A828C0C" w14:textId="77777777" w:rsidR="00A33A5D" w:rsidRDefault="00A33A5D" w:rsidP="006F1547">
      <w:pPr>
        <w:spacing w:before="120" w:after="120"/>
        <w:rPr>
          <w:rFonts w:cs="Arial"/>
          <w:b/>
          <w:bCs/>
        </w:rPr>
      </w:pPr>
    </w:p>
    <w:p w14:paraId="5FF6081C" w14:textId="33DB9BCE" w:rsidR="00E240F9" w:rsidRDefault="00E240F9" w:rsidP="006F1547">
      <w:pPr>
        <w:spacing w:before="120" w:after="120"/>
        <w:rPr>
          <w:rFonts w:cs="Calibri"/>
          <w:color w:val="000000"/>
        </w:rPr>
      </w:pPr>
      <w:r w:rsidRPr="00E240F9">
        <w:rPr>
          <w:rFonts w:cs="Arial"/>
          <w:b/>
          <w:bCs/>
        </w:rPr>
        <w:t>Hours of Operation:</w:t>
      </w:r>
      <w:r w:rsidR="002814B4">
        <w:rPr>
          <w:rFonts w:cs="Arial"/>
        </w:rPr>
        <w:t xml:space="preserve"> </w:t>
      </w:r>
      <w:r>
        <w:rPr>
          <w:rFonts w:cs="Arial"/>
        </w:rPr>
        <w:t xml:space="preserve">PrudentRx offers direct member support and their specially trained customer care advocates are available Monday-Friday 8am to 8pm EST. Members can be encouraged to call PrudentRx at </w:t>
      </w:r>
      <w:r>
        <w:rPr>
          <w:rFonts w:cs="Arial"/>
          <w:b/>
        </w:rPr>
        <w:t xml:space="preserve">1-800-578-4403 </w:t>
      </w:r>
      <w:r>
        <w:rPr>
          <w:rFonts w:cs="Arial"/>
          <w:bCs/>
        </w:rPr>
        <w:t>or</w:t>
      </w:r>
      <w:r>
        <w:rPr>
          <w:rFonts w:cs="Arial"/>
          <w:b/>
        </w:rPr>
        <w:t xml:space="preserve"> </w:t>
      </w:r>
      <w:r>
        <w:rPr>
          <w:rFonts w:cs="Calibri"/>
          <w:color w:val="000000"/>
        </w:rPr>
        <w:t xml:space="preserve">Email  </w:t>
      </w:r>
      <w:hyperlink r:id="rId12" w:history="1">
        <w:r>
          <w:rPr>
            <w:rStyle w:val="Hyperlink"/>
            <w:rFonts w:cs="Calibri"/>
          </w:rPr>
          <w:t>info@prudentrx.com</w:t>
        </w:r>
      </w:hyperlink>
      <w:r>
        <w:rPr>
          <w:rFonts w:cs="Calibri"/>
          <w:color w:val="000000"/>
        </w:rPr>
        <w:t xml:space="preserve"> for further requested information.</w:t>
      </w:r>
    </w:p>
    <w:p w14:paraId="7CA20E62" w14:textId="77777777" w:rsidR="009D0ADA" w:rsidRDefault="009D0ADA" w:rsidP="006F1547">
      <w:pPr>
        <w:spacing w:before="120" w:after="120"/>
        <w:rPr>
          <w:b/>
        </w:rPr>
      </w:pPr>
    </w:p>
    <w:p w14:paraId="700EBB3D" w14:textId="77777777" w:rsidR="00915BF0" w:rsidRPr="008F696B" w:rsidRDefault="00A719B3" w:rsidP="006F1547">
      <w:pPr>
        <w:spacing w:before="120" w:after="120"/>
      </w:pPr>
      <w:r w:rsidRPr="00A719B3">
        <w:t>We have chosen to collaborate with our vendor, PrudentRx, exclusively for the program.</w:t>
      </w:r>
    </w:p>
    <w:tbl>
      <w:tblPr>
        <w:tblStyle w:val="TableGrid"/>
        <w:tblW w:w="5000" w:type="pct"/>
        <w:tblLook w:val="04A0" w:firstRow="1" w:lastRow="0" w:firstColumn="1" w:lastColumn="0" w:noHBand="0" w:noVBand="1"/>
      </w:tblPr>
      <w:tblGrid>
        <w:gridCol w:w="2025"/>
        <w:gridCol w:w="10925"/>
      </w:tblGrid>
      <w:tr w:rsidR="00EF4E9A" w14:paraId="4D022783" w14:textId="77777777" w:rsidTr="00410D13">
        <w:tc>
          <w:tcPr>
            <w:tcW w:w="782" w:type="pct"/>
            <w:shd w:val="clear" w:color="auto" w:fill="D9D9D9" w:themeFill="background1" w:themeFillShade="D9"/>
          </w:tcPr>
          <w:p w14:paraId="17665EDA" w14:textId="77777777" w:rsidR="007F2F59" w:rsidRPr="00460194" w:rsidRDefault="00460194" w:rsidP="00460194">
            <w:pPr>
              <w:spacing w:before="120" w:after="120"/>
              <w:jc w:val="center"/>
              <w:rPr>
                <w:b/>
              </w:rPr>
            </w:pPr>
            <w:r w:rsidRPr="00460194">
              <w:rPr>
                <w:b/>
              </w:rPr>
              <w:t>Topic</w:t>
            </w:r>
          </w:p>
        </w:tc>
        <w:tc>
          <w:tcPr>
            <w:tcW w:w="4218" w:type="pct"/>
            <w:shd w:val="clear" w:color="auto" w:fill="D9D9D9" w:themeFill="background1" w:themeFillShade="D9"/>
          </w:tcPr>
          <w:p w14:paraId="4D518FB0" w14:textId="77777777" w:rsidR="007F2F59" w:rsidRPr="00460194" w:rsidRDefault="009A5334" w:rsidP="00460194">
            <w:pPr>
              <w:spacing w:before="120" w:after="120"/>
              <w:jc w:val="center"/>
              <w:rPr>
                <w:b/>
              </w:rPr>
            </w:pPr>
            <w:r>
              <w:rPr>
                <w:b/>
              </w:rPr>
              <w:t>Detailed Information</w:t>
            </w:r>
          </w:p>
        </w:tc>
      </w:tr>
      <w:tr w:rsidR="007F2F59" w14:paraId="3AFDF9CD" w14:textId="77777777" w:rsidTr="00410D13">
        <w:tc>
          <w:tcPr>
            <w:tcW w:w="782" w:type="pct"/>
          </w:tcPr>
          <w:p w14:paraId="66B2B111" w14:textId="77777777" w:rsidR="007F2F59" w:rsidRPr="005157C7" w:rsidRDefault="005157C7" w:rsidP="006F1547">
            <w:pPr>
              <w:spacing w:before="120" w:after="120"/>
              <w:jc w:val="center"/>
              <w:rPr>
                <w:b/>
              </w:rPr>
            </w:pPr>
            <w:r w:rsidRPr="005157C7">
              <w:rPr>
                <w:b/>
              </w:rPr>
              <w:t>PrudentRx</w:t>
            </w:r>
          </w:p>
        </w:tc>
        <w:tc>
          <w:tcPr>
            <w:tcW w:w="4218" w:type="pct"/>
          </w:tcPr>
          <w:p w14:paraId="703FC944" w14:textId="5F84C9DF" w:rsidR="005157C7" w:rsidRDefault="00921BEE" w:rsidP="006F1547">
            <w:pPr>
              <w:pStyle w:val="ListParagraph"/>
              <w:numPr>
                <w:ilvl w:val="0"/>
                <w:numId w:val="35"/>
              </w:numPr>
              <w:spacing w:before="120" w:after="120"/>
              <w:ind w:left="360"/>
              <w:rPr>
                <w:rFonts w:ascii="Verdana" w:hAnsi="Verdana"/>
                <w:sz w:val="24"/>
                <w:szCs w:val="24"/>
              </w:rPr>
            </w:pPr>
            <w:r>
              <w:rPr>
                <w:rFonts w:ascii="Verdana" w:hAnsi="Verdana"/>
                <w:sz w:val="24"/>
                <w:szCs w:val="24"/>
              </w:rPr>
              <w:t>I</w:t>
            </w:r>
            <w:r w:rsidR="005157C7">
              <w:rPr>
                <w:rFonts w:ascii="Verdana" w:hAnsi="Verdana"/>
                <w:sz w:val="24"/>
                <w:szCs w:val="24"/>
              </w:rPr>
              <w:t xml:space="preserve">ntegrated with our pharmacy operations to help ensure </w:t>
            </w:r>
            <w:r w:rsidR="00457CC2">
              <w:rPr>
                <w:rFonts w:ascii="Verdana" w:hAnsi="Verdana"/>
                <w:sz w:val="24"/>
                <w:szCs w:val="24"/>
              </w:rPr>
              <w:t>seamless</w:t>
            </w:r>
            <w:r w:rsidR="005157C7">
              <w:rPr>
                <w:rFonts w:ascii="Verdana" w:hAnsi="Verdana"/>
                <w:sz w:val="24"/>
                <w:szCs w:val="24"/>
              </w:rPr>
              <w:t xml:space="preserve"> member experience. </w:t>
            </w:r>
          </w:p>
          <w:p w14:paraId="5A192BB7" w14:textId="77777777" w:rsidR="005157C7" w:rsidRDefault="00415DA0" w:rsidP="006F1547">
            <w:pPr>
              <w:pStyle w:val="ListParagraph"/>
              <w:numPr>
                <w:ilvl w:val="0"/>
                <w:numId w:val="35"/>
              </w:numPr>
              <w:spacing w:before="120" w:after="120"/>
              <w:ind w:left="360"/>
              <w:rPr>
                <w:rFonts w:ascii="Verdana" w:hAnsi="Verdana"/>
                <w:sz w:val="24"/>
                <w:szCs w:val="24"/>
              </w:rPr>
            </w:pPr>
            <w:r>
              <w:rPr>
                <w:rFonts w:ascii="Verdana" w:hAnsi="Verdana"/>
                <w:sz w:val="24"/>
                <w:szCs w:val="24"/>
              </w:rPr>
              <w:t>S</w:t>
            </w:r>
            <w:r w:rsidR="005157C7">
              <w:rPr>
                <w:rFonts w:ascii="Verdana" w:hAnsi="Verdana"/>
                <w:sz w:val="24"/>
                <w:szCs w:val="24"/>
              </w:rPr>
              <w:t xml:space="preserve">ub-contractor of CVS Health included in the Point Solutions Management (PSM) </w:t>
            </w:r>
            <w:r w:rsidR="00D06D0C">
              <w:rPr>
                <w:rFonts w:ascii="Verdana" w:hAnsi="Verdana"/>
                <w:sz w:val="24"/>
                <w:szCs w:val="24"/>
              </w:rPr>
              <w:t>process</w:t>
            </w:r>
            <w:r>
              <w:rPr>
                <w:rFonts w:ascii="Verdana" w:hAnsi="Verdana"/>
                <w:sz w:val="24"/>
                <w:szCs w:val="24"/>
              </w:rPr>
              <w:t>.</w:t>
            </w:r>
            <w:r w:rsidR="005157C7">
              <w:rPr>
                <w:rFonts w:ascii="Verdana" w:hAnsi="Verdana"/>
                <w:sz w:val="24"/>
                <w:szCs w:val="24"/>
              </w:rPr>
              <w:t xml:space="preserve"> </w:t>
            </w:r>
          </w:p>
          <w:p w14:paraId="12AEE89F" w14:textId="77777777" w:rsidR="005157C7" w:rsidRDefault="00921BEE" w:rsidP="006F1547">
            <w:pPr>
              <w:pStyle w:val="ListParagraph"/>
              <w:numPr>
                <w:ilvl w:val="0"/>
                <w:numId w:val="35"/>
              </w:numPr>
              <w:spacing w:before="120" w:after="120"/>
              <w:ind w:left="360"/>
              <w:rPr>
                <w:rFonts w:ascii="Verdana" w:hAnsi="Verdana"/>
                <w:sz w:val="24"/>
                <w:szCs w:val="24"/>
              </w:rPr>
            </w:pPr>
            <w:r>
              <w:rPr>
                <w:rFonts w:ascii="Verdana" w:hAnsi="Verdana"/>
                <w:sz w:val="24"/>
                <w:szCs w:val="24"/>
              </w:rPr>
              <w:t>F</w:t>
            </w:r>
            <w:r w:rsidR="005157C7">
              <w:rPr>
                <w:rFonts w:ascii="Verdana" w:hAnsi="Verdana"/>
                <w:sz w:val="24"/>
                <w:szCs w:val="24"/>
              </w:rPr>
              <w:t xml:space="preserve">ounded by individuals who collectively have more than 30 years of experience in the health care and specialty pharmacy industry. Their expertise in plan design, specialty pharmacy, and copay card programs has allowed them to customize a solution that optimizes savings for both members and plan sponsors exclusively for CVS Health. </w:t>
            </w:r>
          </w:p>
          <w:p w14:paraId="5B1EC6C5" w14:textId="4370C461" w:rsidR="002A79F7" w:rsidRDefault="002A79F7" w:rsidP="006F1547">
            <w:pPr>
              <w:pStyle w:val="ListParagraph"/>
              <w:numPr>
                <w:ilvl w:val="0"/>
                <w:numId w:val="35"/>
              </w:numPr>
              <w:spacing w:before="120" w:after="120"/>
              <w:ind w:left="360"/>
              <w:rPr>
                <w:rFonts w:ascii="Verdana" w:hAnsi="Verdana"/>
                <w:sz w:val="24"/>
                <w:szCs w:val="24"/>
              </w:rPr>
            </w:pPr>
            <w:r>
              <w:rPr>
                <w:rFonts w:ascii="Verdana" w:hAnsi="Verdana"/>
                <w:sz w:val="24"/>
                <w:szCs w:val="24"/>
              </w:rPr>
              <w:t xml:space="preserve">Provides ongoing commitment to retrospective claims </w:t>
            </w:r>
            <w:r w:rsidR="0038193C">
              <w:rPr>
                <w:rFonts w:ascii="Verdana" w:hAnsi="Verdana"/>
                <w:sz w:val="24"/>
                <w:szCs w:val="24"/>
              </w:rPr>
              <w:t>monitoring.</w:t>
            </w:r>
          </w:p>
          <w:p w14:paraId="46BC5772" w14:textId="2F3BE331" w:rsidR="002A79F7" w:rsidRDefault="002A79F7" w:rsidP="006F1547">
            <w:pPr>
              <w:pStyle w:val="ListParagraph"/>
              <w:numPr>
                <w:ilvl w:val="0"/>
                <w:numId w:val="35"/>
              </w:numPr>
              <w:spacing w:before="120" w:after="120"/>
              <w:ind w:left="360"/>
              <w:rPr>
                <w:rFonts w:ascii="Verdana" w:hAnsi="Verdana"/>
                <w:sz w:val="24"/>
                <w:szCs w:val="24"/>
              </w:rPr>
            </w:pPr>
            <w:r>
              <w:rPr>
                <w:rFonts w:ascii="Verdana" w:hAnsi="Verdana"/>
                <w:sz w:val="24"/>
                <w:szCs w:val="24"/>
              </w:rPr>
              <w:t xml:space="preserve">Integrated with the dispensing pharmacy to avoid delays in </w:t>
            </w:r>
            <w:r w:rsidR="0038193C">
              <w:rPr>
                <w:rFonts w:ascii="Verdana" w:hAnsi="Verdana"/>
                <w:sz w:val="24"/>
                <w:szCs w:val="24"/>
              </w:rPr>
              <w:t>delivery.</w:t>
            </w:r>
          </w:p>
          <w:p w14:paraId="664688E0" w14:textId="16585B8D" w:rsidR="007F2F59" w:rsidRPr="006F1547" w:rsidRDefault="005157C7" w:rsidP="006F1547">
            <w:pPr>
              <w:pStyle w:val="ListParagraph"/>
              <w:numPr>
                <w:ilvl w:val="0"/>
                <w:numId w:val="35"/>
              </w:numPr>
              <w:spacing w:before="120" w:after="120"/>
              <w:ind w:left="360"/>
              <w:rPr>
                <w:b/>
                <w:bCs/>
              </w:rPr>
            </w:pPr>
            <w:r>
              <w:rPr>
                <w:rFonts w:ascii="Verdana" w:hAnsi="Verdana"/>
                <w:sz w:val="24"/>
                <w:szCs w:val="24"/>
              </w:rPr>
              <w:t>Can help support members requiring specialty medications and exemplifies the CVS Health commitment to both sound business practices and to the communities we serve. They are not a subsidiary of CVS Health</w:t>
            </w:r>
            <w:r w:rsidR="004429A7">
              <w:rPr>
                <w:rFonts w:ascii="Verdana" w:hAnsi="Verdana"/>
                <w:sz w:val="24"/>
                <w:szCs w:val="24"/>
              </w:rPr>
              <w:t xml:space="preserve">. </w:t>
            </w:r>
          </w:p>
        </w:tc>
      </w:tr>
      <w:tr w:rsidR="007F2F59" w14:paraId="6FF95950" w14:textId="77777777" w:rsidTr="00410D13">
        <w:tc>
          <w:tcPr>
            <w:tcW w:w="782" w:type="pct"/>
          </w:tcPr>
          <w:p w14:paraId="3C65140D" w14:textId="77777777" w:rsidR="007F2F59" w:rsidRPr="007F2F59" w:rsidRDefault="00460194" w:rsidP="006F1547">
            <w:pPr>
              <w:spacing w:before="120" w:after="120"/>
              <w:jc w:val="center"/>
              <w:rPr>
                <w:bCs/>
              </w:rPr>
            </w:pPr>
            <w:r>
              <w:rPr>
                <w:b/>
                <w:bCs/>
              </w:rPr>
              <w:t>A PrudentRx Advocate</w:t>
            </w:r>
          </w:p>
        </w:tc>
        <w:tc>
          <w:tcPr>
            <w:tcW w:w="4218" w:type="pct"/>
          </w:tcPr>
          <w:p w14:paraId="16FFAC1A" w14:textId="77777777" w:rsidR="00460194" w:rsidRPr="00460194" w:rsidRDefault="00460194" w:rsidP="006F1547">
            <w:pPr>
              <w:spacing w:before="120" w:after="120"/>
            </w:pPr>
            <w:r>
              <w:t>Supports the member throughout the process and can assist them with:</w:t>
            </w:r>
          </w:p>
          <w:p w14:paraId="697A22A1" w14:textId="77777777" w:rsidR="00460194" w:rsidRDefault="00460194" w:rsidP="006F1547">
            <w:pPr>
              <w:pStyle w:val="ListParagraph"/>
              <w:numPr>
                <w:ilvl w:val="0"/>
                <w:numId w:val="36"/>
              </w:numPr>
              <w:spacing w:before="120" w:after="120"/>
              <w:ind w:left="360"/>
              <w:rPr>
                <w:rFonts w:ascii="Verdana" w:hAnsi="Verdana"/>
                <w:sz w:val="24"/>
                <w:szCs w:val="24"/>
              </w:rPr>
            </w:pPr>
            <w:r>
              <w:rPr>
                <w:rFonts w:ascii="Verdana" w:hAnsi="Verdana"/>
                <w:sz w:val="24"/>
                <w:szCs w:val="24"/>
              </w:rPr>
              <w:t>Obtaining and enrolling in available manufacturer assistance programs</w:t>
            </w:r>
          </w:p>
          <w:p w14:paraId="548AE829" w14:textId="6F4708F7" w:rsidR="007F2F59" w:rsidRPr="006F1547" w:rsidRDefault="00460194" w:rsidP="006F1547">
            <w:pPr>
              <w:pStyle w:val="ListParagraph"/>
              <w:numPr>
                <w:ilvl w:val="0"/>
                <w:numId w:val="36"/>
              </w:numPr>
              <w:spacing w:before="120" w:after="120"/>
              <w:ind w:left="360"/>
              <w:rPr>
                <w:b/>
                <w:bCs/>
              </w:rPr>
            </w:pPr>
            <w:r>
              <w:rPr>
                <w:rFonts w:ascii="Verdana" w:hAnsi="Verdana"/>
                <w:sz w:val="24"/>
                <w:szCs w:val="24"/>
              </w:rPr>
              <w:t>Questions or concerns</w:t>
            </w:r>
          </w:p>
        </w:tc>
      </w:tr>
      <w:tr w:rsidR="00460194" w14:paraId="3E8D3FCD" w14:textId="77777777" w:rsidTr="00410D13">
        <w:tc>
          <w:tcPr>
            <w:tcW w:w="782" w:type="pct"/>
          </w:tcPr>
          <w:p w14:paraId="4BE44BE5" w14:textId="77777777" w:rsidR="00460194" w:rsidRDefault="00460194" w:rsidP="006F1547">
            <w:pPr>
              <w:spacing w:before="120" w:after="120"/>
              <w:jc w:val="center"/>
              <w:rPr>
                <w:b/>
                <w:bCs/>
              </w:rPr>
            </w:pPr>
            <w:r>
              <w:rPr>
                <w:b/>
                <w:bCs/>
              </w:rPr>
              <w:t>The Program</w:t>
            </w:r>
          </w:p>
        </w:tc>
        <w:tc>
          <w:tcPr>
            <w:tcW w:w="4218" w:type="pct"/>
          </w:tcPr>
          <w:p w14:paraId="10407785" w14:textId="132FCC64" w:rsidR="00EF4E9A" w:rsidRDefault="00C54DB3" w:rsidP="006F1547">
            <w:pPr>
              <w:spacing w:before="120" w:after="120"/>
            </w:pPr>
            <w:r>
              <w:t>D</w:t>
            </w:r>
            <w:r w:rsidR="00460194">
              <w:t>esigned for clients who can choose to incorporate it into their plan design</w:t>
            </w:r>
            <w:r w:rsidR="004429A7">
              <w:t xml:space="preserve">. </w:t>
            </w:r>
          </w:p>
          <w:p w14:paraId="1435EF4D" w14:textId="6AB03EB1" w:rsidR="00460194" w:rsidRDefault="00460194" w:rsidP="006F1547">
            <w:pPr>
              <w:pStyle w:val="ListParagraph"/>
              <w:numPr>
                <w:ilvl w:val="0"/>
                <w:numId w:val="37"/>
              </w:numPr>
              <w:spacing w:before="120" w:after="120"/>
              <w:ind w:left="360"/>
              <w:rPr>
                <w:rFonts w:ascii="Verdana" w:hAnsi="Verdana"/>
                <w:sz w:val="24"/>
                <w:szCs w:val="24"/>
              </w:rPr>
            </w:pPr>
            <w:r>
              <w:rPr>
                <w:rFonts w:ascii="Verdana" w:hAnsi="Verdana"/>
                <w:sz w:val="24"/>
                <w:szCs w:val="24"/>
              </w:rPr>
              <w:t>Members can opt-out of the program, if desired. Currently, 99.</w:t>
            </w:r>
            <w:r w:rsidR="00B445B1">
              <w:rPr>
                <w:rFonts w:ascii="Verdana" w:hAnsi="Verdana"/>
                <w:sz w:val="24"/>
                <w:szCs w:val="24"/>
              </w:rPr>
              <w:t>8</w:t>
            </w:r>
            <w:r>
              <w:rPr>
                <w:rFonts w:ascii="Verdana" w:hAnsi="Verdana"/>
                <w:sz w:val="24"/>
                <w:szCs w:val="24"/>
              </w:rPr>
              <w:t>% of members remain opted into the PrudentRx solution</w:t>
            </w:r>
            <w:r w:rsidR="004429A7">
              <w:rPr>
                <w:rFonts w:ascii="Verdana" w:hAnsi="Verdana"/>
                <w:sz w:val="24"/>
                <w:szCs w:val="24"/>
              </w:rPr>
              <w:t xml:space="preserve">. </w:t>
            </w:r>
            <w:r>
              <w:rPr>
                <w:rFonts w:ascii="Verdana" w:hAnsi="Verdana"/>
                <w:sz w:val="24"/>
                <w:szCs w:val="24"/>
              </w:rPr>
              <w:t>PrudentRx Analytics, January 202</w:t>
            </w:r>
            <w:r w:rsidR="00B445B1">
              <w:rPr>
                <w:rFonts w:ascii="Verdana" w:hAnsi="Verdana"/>
                <w:sz w:val="24"/>
                <w:szCs w:val="24"/>
              </w:rPr>
              <w:t>3</w:t>
            </w:r>
            <w:r w:rsidR="004429A7">
              <w:rPr>
                <w:rFonts w:ascii="Verdana" w:hAnsi="Verdana"/>
                <w:sz w:val="24"/>
                <w:szCs w:val="24"/>
              </w:rPr>
              <w:t xml:space="preserve">. </w:t>
            </w:r>
            <w:r>
              <w:rPr>
                <w:rFonts w:ascii="Verdana" w:hAnsi="Verdana"/>
                <w:sz w:val="24"/>
                <w:szCs w:val="24"/>
              </w:rPr>
              <w:t xml:space="preserve">Data is based on members eligible for the PrudentRx program. </w:t>
            </w:r>
            <w:r w:rsidR="00C54DB3">
              <w:rPr>
                <w:rFonts w:ascii="Verdana" w:hAnsi="Verdana"/>
                <w:sz w:val="24"/>
                <w:szCs w:val="24"/>
              </w:rPr>
              <w:t>(</w:t>
            </w:r>
            <w:r w:rsidR="00B445B1">
              <w:rPr>
                <w:rFonts w:ascii="Verdana" w:hAnsi="Verdana"/>
                <w:sz w:val="24"/>
                <w:szCs w:val="24"/>
              </w:rPr>
              <w:t>P</w:t>
            </w:r>
            <w:r w:rsidR="00781056">
              <w:rPr>
                <w:rFonts w:ascii="Verdana" w:hAnsi="Verdana"/>
                <w:sz w:val="24"/>
                <w:szCs w:val="24"/>
              </w:rPr>
              <w:t>1013480123</w:t>
            </w:r>
            <w:r w:rsidR="00C54DB3">
              <w:rPr>
                <w:rFonts w:ascii="Verdana" w:hAnsi="Verdana"/>
                <w:sz w:val="24"/>
                <w:szCs w:val="24"/>
              </w:rPr>
              <w:t>)</w:t>
            </w:r>
          </w:p>
          <w:p w14:paraId="742A2979" w14:textId="77777777" w:rsidR="006762C6" w:rsidRDefault="006762C6" w:rsidP="006F1547">
            <w:pPr>
              <w:spacing w:before="120" w:after="120"/>
            </w:pPr>
          </w:p>
          <w:p w14:paraId="1085F242" w14:textId="77777777" w:rsidR="00901F30" w:rsidRDefault="00901F30" w:rsidP="006F1547">
            <w:pPr>
              <w:spacing w:before="120" w:after="120"/>
            </w:pPr>
            <w:r>
              <w:t xml:space="preserve">This innovative plan design includes all specialty medications on a client’s Specialty Drug List, as well as select high-cost specialty limited distribution drugs (LDDs), regardless of manufacturer assistance availability, to help drive value for clients while participating members have $0 out-of-pocket (OOP) costs*. </w:t>
            </w:r>
          </w:p>
          <w:p w14:paraId="7DAB85A5" w14:textId="77777777" w:rsidR="00901F30" w:rsidRDefault="00901F30" w:rsidP="006F1547">
            <w:pPr>
              <w:spacing w:before="120" w:after="120"/>
            </w:pPr>
          </w:p>
          <w:p w14:paraId="38330992" w14:textId="77777777" w:rsidR="00901F30" w:rsidRDefault="00901F30" w:rsidP="006F1547">
            <w:pPr>
              <w:spacing w:before="120" w:after="120"/>
              <w:rPr>
                <w:bCs/>
              </w:rPr>
            </w:pPr>
            <w:r>
              <w:t xml:space="preserve">Personalized, integrated outreach helps to ensure a best-in-class experience for members. </w:t>
            </w:r>
            <w:r>
              <w:rPr>
                <w:bCs/>
              </w:rPr>
              <w:t xml:space="preserve">The PrudentRx solution helps provide value for clients and reduce specialty spend, while delivering savings to members by: </w:t>
            </w:r>
          </w:p>
          <w:p w14:paraId="1902FEFB" w14:textId="77777777" w:rsidR="00901F30" w:rsidRDefault="00901F30" w:rsidP="006F1547">
            <w:pPr>
              <w:pStyle w:val="ListParagraph"/>
              <w:numPr>
                <w:ilvl w:val="0"/>
                <w:numId w:val="38"/>
              </w:numPr>
              <w:spacing w:before="120" w:after="120"/>
              <w:ind w:left="360"/>
              <w:rPr>
                <w:bCs/>
                <w:sz w:val="24"/>
                <w:szCs w:val="24"/>
              </w:rPr>
            </w:pPr>
            <w:r>
              <w:rPr>
                <w:rFonts w:ascii="Verdana" w:hAnsi="Verdana"/>
                <w:bCs/>
                <w:sz w:val="24"/>
                <w:szCs w:val="24"/>
              </w:rPr>
              <w:t>Maintaining plan design integrity</w:t>
            </w:r>
          </w:p>
          <w:p w14:paraId="22FCADF7" w14:textId="77777777" w:rsidR="00901F30" w:rsidRDefault="00901F30" w:rsidP="006F1547">
            <w:pPr>
              <w:pStyle w:val="ListParagraph"/>
              <w:numPr>
                <w:ilvl w:val="0"/>
                <w:numId w:val="38"/>
              </w:numPr>
              <w:spacing w:before="120" w:after="120"/>
              <w:ind w:left="360"/>
              <w:rPr>
                <w:bCs/>
                <w:sz w:val="24"/>
                <w:szCs w:val="24"/>
              </w:rPr>
            </w:pPr>
            <w:r>
              <w:rPr>
                <w:rFonts w:ascii="Verdana" w:hAnsi="Verdana"/>
                <w:bCs/>
                <w:sz w:val="24"/>
                <w:szCs w:val="24"/>
              </w:rPr>
              <w:t>Allowing participating members to have $0 OOP costs*</w:t>
            </w:r>
          </w:p>
          <w:p w14:paraId="52AA9AD8" w14:textId="77777777" w:rsidR="00901F30" w:rsidRDefault="00901F30" w:rsidP="006F1547">
            <w:pPr>
              <w:pStyle w:val="ListParagraph"/>
              <w:numPr>
                <w:ilvl w:val="0"/>
                <w:numId w:val="38"/>
              </w:numPr>
              <w:spacing w:before="120" w:after="120"/>
              <w:ind w:left="360"/>
              <w:rPr>
                <w:bCs/>
              </w:rPr>
            </w:pPr>
            <w:r>
              <w:rPr>
                <w:rFonts w:ascii="Verdana" w:hAnsi="Verdana"/>
                <w:bCs/>
                <w:sz w:val="24"/>
                <w:szCs w:val="24"/>
              </w:rPr>
              <w:t>Ensuring a seamless member experience</w:t>
            </w:r>
          </w:p>
          <w:p w14:paraId="75D0A3F5" w14:textId="0661F7D4" w:rsidR="00974BDE" w:rsidRDefault="00974BDE" w:rsidP="006F1547">
            <w:pPr>
              <w:spacing w:before="120" w:after="120"/>
              <w:rPr>
                <w:bCs/>
              </w:rPr>
            </w:pPr>
          </w:p>
          <w:p w14:paraId="602EF180" w14:textId="0CA3190C" w:rsidR="00901F30" w:rsidRDefault="00901F30" w:rsidP="006F1547">
            <w:pPr>
              <w:spacing w:before="120" w:after="120"/>
              <w:rPr>
                <w:bCs/>
              </w:rPr>
            </w:pPr>
            <w:r>
              <w:rPr>
                <w:bCs/>
              </w:rPr>
              <w:t>*</w:t>
            </w:r>
            <w:r w:rsidR="00A52314" w:rsidRPr="00E9736B">
              <w:rPr>
                <w:bCs/>
              </w:rPr>
              <w:t xml:space="preserve">Participating members enrolled in an HDHP with </w:t>
            </w:r>
            <w:r w:rsidR="0038193C" w:rsidRPr="00E9736B">
              <w:rPr>
                <w:bCs/>
              </w:rPr>
              <w:t>an</w:t>
            </w:r>
            <w:r w:rsidR="00A52314" w:rsidRPr="00E9736B">
              <w:rPr>
                <w:bCs/>
              </w:rPr>
              <w:t xml:space="preserve"> HSA must fully satisfy their deductible before they are eligible for a final $0 OOP cost, unless the member has been prescribed a medication that qualifies as “preventive care” under the IRC, which is administered and enforced by the IRS. Members may still utilize available manufacturer copay assistance while in their deductible phase but must satisfy their deductible before the Plan is able to pick up any of the costs on the members’ behalf</w:t>
            </w:r>
            <w:r>
              <w:rPr>
                <w:bCs/>
              </w:rPr>
              <w:t>.</w:t>
            </w:r>
          </w:p>
          <w:p w14:paraId="2D5D8D14" w14:textId="77777777" w:rsidR="00410D13" w:rsidRDefault="00410D13" w:rsidP="006F1547">
            <w:pPr>
              <w:spacing w:before="120" w:after="120"/>
              <w:rPr>
                <w:bCs/>
              </w:rPr>
            </w:pPr>
          </w:p>
          <w:p w14:paraId="036798CA" w14:textId="42A263AE" w:rsidR="00410D13" w:rsidRDefault="00AC6D94" w:rsidP="006F1547">
            <w:pPr>
              <w:spacing w:before="120" w:after="120"/>
              <w:rPr>
                <w:bCs/>
              </w:rPr>
            </w:pPr>
            <w:r>
              <w:rPr>
                <w:b/>
                <w:noProof/>
              </w:rPr>
              <w:drawing>
                <wp:inline distT="0" distB="0" distL="0" distR="0" wp14:anchorId="6AD6F4E8" wp14:editId="47563559">
                  <wp:extent cx="304762" cy="304762"/>
                  <wp:effectExtent l="0" t="0" r="635" b="635"/>
                  <wp:docPr id="143642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7484" name="Picture 1436427484"/>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E6F83" w:rsidRPr="002836F1">
              <w:rPr>
                <w:b/>
              </w:rPr>
              <w:t>Note:</w:t>
            </w:r>
            <w:r w:rsidR="00EE6F83">
              <w:rPr>
                <w:bCs/>
              </w:rPr>
              <w:t xml:space="preserve"> For plans with no deductible but with a Maximum Out-of-Pocket (MOOP), the PrudentRx program</w:t>
            </w:r>
            <w:r w:rsidR="00E6386C">
              <w:rPr>
                <w:bCs/>
              </w:rPr>
              <w:t xml:space="preserve"> applies immediately. Members are not required to first satisfy </w:t>
            </w:r>
            <w:r w:rsidR="002836F1">
              <w:rPr>
                <w:bCs/>
              </w:rPr>
              <w:t xml:space="preserve">the MOOP for PrudentRx benefits to take effect. </w:t>
            </w:r>
            <w:r w:rsidR="00EE6F83">
              <w:rPr>
                <w:bCs/>
              </w:rPr>
              <w:t xml:space="preserve"> </w:t>
            </w:r>
          </w:p>
          <w:p w14:paraId="03F3B350" w14:textId="77777777" w:rsidR="00460194" w:rsidRDefault="00460194" w:rsidP="006F1547">
            <w:pPr>
              <w:spacing w:before="120" w:after="120"/>
            </w:pPr>
          </w:p>
          <w:p w14:paraId="3732C88C" w14:textId="77777777" w:rsidR="00EF4E9A" w:rsidRDefault="001C5658" w:rsidP="006F1547">
            <w:pPr>
              <w:spacing w:before="120" w:after="120"/>
              <w:rPr>
                <w:bCs/>
              </w:rPr>
            </w:pPr>
            <w:r w:rsidRPr="00E9736B">
              <w:rPr>
                <w:bCs/>
              </w:rPr>
              <w:t>The framework for the PrudentRx program’s plan design utilizes the Affordable Care Act (ACA) standards for essential health benefits (EHB) and maximum OOP (MOOP) limits. State</w:t>
            </w:r>
            <w:r>
              <w:rPr>
                <w:bCs/>
              </w:rPr>
              <w:t xml:space="preserve"> </w:t>
            </w:r>
            <w:r w:rsidRPr="00E9736B">
              <w:rPr>
                <w:bCs/>
              </w:rPr>
              <w:t xml:space="preserve">benchmarks categorize drug classifications and the required number of drugs to be considered EHB. The PrudentRx program drug lists are setup to ensure that products within a Covered Class exceeding the maximum count required for that Covered Class by any state benchmark plan may be deemed non-EHB. </w:t>
            </w:r>
            <w:r w:rsidR="001E6B7C">
              <w:rPr>
                <w:bCs/>
              </w:rPr>
              <w:t xml:space="preserve">The </w:t>
            </w:r>
            <w:r w:rsidRPr="00E9736B">
              <w:rPr>
                <w:bCs/>
              </w:rPr>
              <w:t>PrudentRx program drug lists meet or exceed the benchmark plan requirements of all fifty states and Washington, D.C. Clients cannot pick a different benchmark</w:t>
            </w:r>
            <w:r w:rsidR="00EF4E9A">
              <w:rPr>
                <w:bCs/>
              </w:rPr>
              <w:t xml:space="preserve">. </w:t>
            </w:r>
          </w:p>
          <w:p w14:paraId="32447D73" w14:textId="77777777" w:rsidR="001E6B7C" w:rsidRDefault="001E6B7C" w:rsidP="006F1547">
            <w:pPr>
              <w:spacing w:before="120" w:after="120"/>
              <w:rPr>
                <w:bCs/>
              </w:rPr>
            </w:pPr>
          </w:p>
          <w:p w14:paraId="088D6F69" w14:textId="68048C24" w:rsidR="00EF4E9A" w:rsidRDefault="00EF4E9A" w:rsidP="006F1547">
            <w:pPr>
              <w:spacing w:before="120" w:after="120"/>
              <w:rPr>
                <w:bCs/>
              </w:rPr>
            </w:pPr>
          </w:p>
          <w:p w14:paraId="34F7BF53" w14:textId="615F511B" w:rsidR="00F87C22" w:rsidRDefault="00F87C22" w:rsidP="006F1547">
            <w:pPr>
              <w:spacing w:before="120" w:after="120"/>
              <w:rPr>
                <w:bCs/>
              </w:rPr>
            </w:pPr>
            <w:r w:rsidRPr="00E9736B">
              <w:rPr>
                <w:bCs/>
              </w:rPr>
              <w:t xml:space="preserve">Amounts paid for the benefit of a member for an eligible medication, including amounts paid by a manufacturer copay assistance program, shall not be counted toward any member deductible or any member ACA MOOP obligation, unless otherwise required by applicable law. Once the deductible has been satisfied, participating members will then have a final OOP cost of $0 if participating members are enrolled in an HDHP with HSA. If a drug is listed as non-EHB, payments made by members enrolled in HDHPs with HSAs will count toward the annual deductible limit set forth by the Plan. However, member payments will not count toward the ACA MOOP unless otherwise required by law. When pharmacy claims are adjudicated in the system, dollar amounts are present within the associated accumulators to accurately reflect the amounts applied toward the DED and/or ACA MOOP in accordance with the client’s plan design. If applicable, data is shared with Medical Integrators through standard integration processes, providing </w:t>
            </w:r>
            <w:r w:rsidR="00457CC2" w:rsidRPr="00E9736B">
              <w:rPr>
                <w:bCs/>
              </w:rPr>
              <w:t>them with</w:t>
            </w:r>
            <w:r w:rsidRPr="00E9736B">
              <w:rPr>
                <w:bCs/>
              </w:rPr>
              <w:t xml:space="preserve"> the information necessary to accurately determine applicable DED and/or MOOP limit calculations. For participating members enrolled in HDHPs with HSAs, in the deductible phase, member paid amounts for a non-EHB drug count toward the deductible but not the ACA MOOP in accordance with the ACA standards for EHB and MOOP limits</w:t>
            </w:r>
            <w:r w:rsidR="004429A7" w:rsidRPr="00E9736B">
              <w:rPr>
                <w:bCs/>
              </w:rPr>
              <w:t xml:space="preserve">. </w:t>
            </w:r>
          </w:p>
          <w:p w14:paraId="1F73A520" w14:textId="77777777" w:rsidR="00F87C22" w:rsidRDefault="00F87C22" w:rsidP="006F1547">
            <w:pPr>
              <w:spacing w:before="120" w:after="120"/>
              <w:rPr>
                <w:bCs/>
              </w:rPr>
            </w:pPr>
          </w:p>
          <w:p w14:paraId="32928B87" w14:textId="77777777" w:rsidR="00EF4E9A" w:rsidRDefault="00EF4E9A" w:rsidP="006F1547">
            <w:pPr>
              <w:spacing w:before="120" w:after="120"/>
              <w:rPr>
                <w:bCs/>
              </w:rPr>
            </w:pPr>
            <w:r>
              <w:rPr>
                <w:bCs/>
              </w:rPr>
              <w:t xml:space="preserve">This solution has unique enrollment requirements, including a 30% coinsurance for all specialty drugs included in a covered class listed within the program drug list, Exclusive Specialty (with no grace fills), Advanced Control Specialty Formulary, True Accumulation, plan design change, summary plan design (SPD) update, exception process and member mailing. </w:t>
            </w:r>
          </w:p>
          <w:p w14:paraId="3AFF77C9" w14:textId="77777777" w:rsidR="00EF4E9A" w:rsidRPr="001E6B7C" w:rsidRDefault="00EF4E9A" w:rsidP="006F1547">
            <w:pPr>
              <w:pStyle w:val="ListParagraph"/>
              <w:numPr>
                <w:ilvl w:val="0"/>
                <w:numId w:val="40"/>
              </w:numPr>
              <w:spacing w:before="120" w:after="120"/>
              <w:ind w:left="360"/>
              <w:rPr>
                <w:rFonts w:ascii="Verdana" w:hAnsi="Verdana"/>
                <w:bCs/>
                <w:sz w:val="24"/>
                <w:szCs w:val="24"/>
              </w:rPr>
            </w:pPr>
            <w:r w:rsidRPr="003A1BA8">
              <w:rPr>
                <w:rFonts w:ascii="Verdana" w:hAnsi="Verdana"/>
                <w:bCs/>
                <w:sz w:val="24"/>
                <w:szCs w:val="24"/>
              </w:rPr>
              <w:t xml:space="preserve">We </w:t>
            </w:r>
            <w:r w:rsidRPr="001E6B7C">
              <w:rPr>
                <w:rFonts w:ascii="Verdana" w:hAnsi="Verdana"/>
                <w:bCs/>
                <w:sz w:val="24"/>
                <w:szCs w:val="24"/>
              </w:rPr>
              <w:t xml:space="preserve">will provide clients with sample SPD language. Clients with a custom formulary may also be able to adopt the program after an evaluation. </w:t>
            </w:r>
          </w:p>
          <w:p w14:paraId="75A32745" w14:textId="77777777" w:rsidR="00EF4E9A" w:rsidRPr="001E6B7C" w:rsidRDefault="00EF4E9A" w:rsidP="006F1547">
            <w:pPr>
              <w:spacing w:before="120" w:after="120"/>
              <w:rPr>
                <w:bCs/>
              </w:rPr>
            </w:pPr>
          </w:p>
          <w:p w14:paraId="0F266653" w14:textId="22FA5F61" w:rsidR="00E10FEA" w:rsidRPr="001E6B7C" w:rsidRDefault="00E10FEA" w:rsidP="006F1547">
            <w:pPr>
              <w:pStyle w:val="ListParagraph"/>
              <w:numPr>
                <w:ilvl w:val="0"/>
                <w:numId w:val="44"/>
              </w:numPr>
              <w:spacing w:before="120" w:after="120"/>
              <w:rPr>
                <w:rFonts w:ascii="Verdana" w:hAnsi="Verdana"/>
                <w:bCs/>
                <w:sz w:val="24"/>
                <w:szCs w:val="24"/>
              </w:rPr>
            </w:pPr>
            <w:r w:rsidRPr="001E6B7C">
              <w:rPr>
                <w:rFonts w:ascii="Verdana" w:hAnsi="Verdana"/>
                <w:bCs/>
                <w:sz w:val="24"/>
                <w:szCs w:val="24"/>
              </w:rPr>
              <w:t>A client-owned onsite pharmacy included in a client’s Exclusive Specialty network can be included in the PrudentRx program if implemented on non-HDHPs. Additional steps will be required of the pharmacy to accommodate data sharing and standard process to ensure participating members have a final OOP of $0. We have options for additional expansion for non-CVS Specialty pharmacies to accommodate clients in states with anti-affiliate steerage or Any Willing Provider (AWP) requirements, however, this is to accommodate clients in states with anti-affiliate steerage or Any Willing Provider (AWP) requirements, however, this is still within an exclusive network. Clients cannot have a fully open pharmacy arrangement.</w:t>
            </w:r>
          </w:p>
          <w:p w14:paraId="4F303320" w14:textId="77777777" w:rsidR="00E10FEA" w:rsidRPr="00020875" w:rsidRDefault="00E10FEA" w:rsidP="006F1547">
            <w:pPr>
              <w:spacing w:before="120" w:after="120"/>
              <w:rPr>
                <w:bCs/>
              </w:rPr>
            </w:pPr>
          </w:p>
          <w:p w14:paraId="07263C94" w14:textId="0AF50727" w:rsidR="00EF4E9A" w:rsidRDefault="00155AAF" w:rsidP="006F1547">
            <w:pPr>
              <w:spacing w:before="120" w:after="120"/>
              <w:rPr>
                <w:bCs/>
              </w:rPr>
            </w:pPr>
            <w:r>
              <w:rPr>
                <w:b/>
                <w:bCs/>
              </w:rPr>
              <w:t>N</w:t>
            </w:r>
            <w:r w:rsidR="00E10FEA" w:rsidRPr="00020875">
              <w:rPr>
                <w:b/>
                <w:bCs/>
              </w:rPr>
              <w:t xml:space="preserve">ote: </w:t>
            </w:r>
            <w:r w:rsidRPr="001E6B7C">
              <w:t>Due to</w:t>
            </w:r>
            <w:r>
              <w:rPr>
                <w:b/>
                <w:bCs/>
              </w:rPr>
              <w:t xml:space="preserve"> </w:t>
            </w:r>
            <w:r w:rsidR="00E10FEA" w:rsidRPr="00020875">
              <w:rPr>
                <w:bCs/>
              </w:rPr>
              <w:t xml:space="preserve">limitations that exist within various external pharmacy systems, clients that implement the PrudentRx solution on their HDHPs with HSAs will be limited to only those medications included on the client’s specialty drug list and dispensed by CVS Specialty pharmacies included in the standard Exclusive Specialty or Enhanced Exclusive Specialty network and will </w:t>
            </w:r>
            <w:r w:rsidR="00E10FEA" w:rsidRPr="00020875">
              <w:rPr>
                <w:b/>
                <w:bCs/>
              </w:rPr>
              <w:t xml:space="preserve">not </w:t>
            </w:r>
            <w:r w:rsidR="00E10FEA" w:rsidRPr="00020875">
              <w:rPr>
                <w:bCs/>
              </w:rPr>
              <w:t>include LDD no access medications. Clients will be unable to include their client-owned onsite pharmacy location(s) and other non-CVS Specialty dispensing pharmacies as part of their Exclusive Specialty or Enhanced Exclusive Specialty network, including those pharmacies in the Exclusive+ Specialty Network. These options will continue to be available for the solution that is available for plans that do not qualify as HDHPs with HSAs</w:t>
            </w:r>
            <w:r w:rsidR="00EF4E9A">
              <w:rPr>
                <w:bCs/>
              </w:rPr>
              <w:t xml:space="preserve">. </w:t>
            </w:r>
          </w:p>
          <w:p w14:paraId="60EEA718" w14:textId="77777777" w:rsidR="00EF4E9A" w:rsidRDefault="00EF4E9A" w:rsidP="006F1547">
            <w:pPr>
              <w:spacing w:before="120" w:after="120"/>
            </w:pPr>
          </w:p>
        </w:tc>
      </w:tr>
    </w:tbl>
    <w:p w14:paraId="4BD56D85" w14:textId="77777777" w:rsidR="00E93042" w:rsidRPr="005E5600" w:rsidRDefault="00E93042" w:rsidP="002814B4">
      <w:pPr>
        <w:spacing w:before="120" w:after="120"/>
        <w:rPr>
          <w:b/>
        </w:rPr>
      </w:pPr>
    </w:p>
    <w:bookmarkStart w:id="12" w:name="_Hlk56055610"/>
    <w:p w14:paraId="55D75D2F" w14:textId="77777777" w:rsidR="00266150" w:rsidRPr="004E00B6" w:rsidRDefault="009138DC" w:rsidP="00DA0252">
      <w:pPr>
        <w:ind w:left="720"/>
        <w:jc w:val="right"/>
      </w:pPr>
      <w:r>
        <w:fldChar w:fldCharType="begin"/>
      </w:r>
      <w:r>
        <w:instrText xml:space="preserve"> HYPERLINK \l "_top" </w:instrText>
      </w:r>
      <w:r>
        <w:fldChar w:fldCharType="separate"/>
      </w:r>
      <w:r w:rsidR="00266150" w:rsidRPr="00B05848">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550B2" w:rsidRPr="004E00B6" w14:paraId="2EEE7114" w14:textId="77777777" w:rsidTr="00A33A5D">
        <w:tc>
          <w:tcPr>
            <w:tcW w:w="5000" w:type="pct"/>
            <w:shd w:val="clear" w:color="auto" w:fill="BFBFBF" w:themeFill="background1" w:themeFillShade="BF"/>
          </w:tcPr>
          <w:p w14:paraId="421EB40F" w14:textId="77777777" w:rsidR="00E550B2" w:rsidRPr="004E00B6" w:rsidRDefault="00E550B2" w:rsidP="00A33A5D">
            <w:pPr>
              <w:pStyle w:val="Heading2"/>
              <w:spacing w:before="120" w:after="120"/>
              <w:rPr>
                <w:rFonts w:ascii="Verdana" w:hAnsi="Verdana"/>
                <w:i w:val="0"/>
                <w:iCs w:val="0"/>
              </w:rPr>
            </w:pPr>
            <w:bookmarkStart w:id="13" w:name="_Toc100581438"/>
            <w:bookmarkStart w:id="14" w:name="_Toc100582022"/>
            <w:bookmarkStart w:id="15" w:name="_Toc100582044"/>
            <w:bookmarkStart w:id="16" w:name="_Toc207786649"/>
            <w:r>
              <w:rPr>
                <w:rFonts w:ascii="Verdana" w:hAnsi="Verdana"/>
                <w:i w:val="0"/>
                <w:iCs w:val="0"/>
              </w:rPr>
              <w:t>Specialty Copay Claim Adjudication</w:t>
            </w:r>
            <w:bookmarkEnd w:id="13"/>
            <w:bookmarkEnd w:id="14"/>
            <w:bookmarkEnd w:id="15"/>
            <w:bookmarkEnd w:id="16"/>
            <w:r w:rsidR="00F86BD4">
              <w:rPr>
                <w:rFonts w:ascii="Verdana" w:hAnsi="Verdana"/>
                <w:i w:val="0"/>
                <w:iCs w:val="0"/>
              </w:rPr>
              <w:t xml:space="preserve"> </w:t>
            </w:r>
          </w:p>
        </w:tc>
      </w:tr>
      <w:bookmarkEnd w:id="12"/>
    </w:tbl>
    <w:p w14:paraId="0C74C6A3" w14:textId="77777777" w:rsidR="00C209B7" w:rsidRDefault="00C209B7" w:rsidP="006F1547">
      <w:pPr>
        <w:spacing w:before="120" w:after="120"/>
      </w:pPr>
    </w:p>
    <w:p w14:paraId="76F521CB" w14:textId="7A3A623C" w:rsidR="00F4756A" w:rsidRDefault="003D0A94" w:rsidP="006F1547">
      <w:pPr>
        <w:spacing w:before="120" w:after="120"/>
        <w:rPr>
          <w:rFonts w:cs="Arial"/>
          <w:bCs/>
        </w:rPr>
      </w:pPr>
      <w:r>
        <w:t>Check w</w:t>
      </w:r>
      <w:r w:rsidR="00F36E99">
        <w:t xml:space="preserve">ithin </w:t>
      </w:r>
      <w:r w:rsidR="00F36E99">
        <w:rPr>
          <w:b/>
        </w:rPr>
        <w:t>Client Programs Offerings</w:t>
      </w:r>
      <w:r w:rsidR="00F36E99">
        <w:t xml:space="preserve">, </w:t>
      </w:r>
      <w:r>
        <w:t xml:space="preserve">to determine </w:t>
      </w:r>
      <w:r w:rsidR="00F36E99">
        <w:t>if client has Specialty Copay Card Program</w:t>
      </w:r>
      <w:r w:rsidR="001778EE">
        <w:t xml:space="preserve">.  </w:t>
      </w:r>
      <w:r w:rsidR="00EA1202">
        <w:t>When a member uses a copay card for a specialty drug filled at a CVS Specialty Pharmacy, it ensures only true member cost share (non-third party dollars) are applied towards member</w:t>
      </w:r>
      <w:r w:rsidR="008E6B32">
        <w:t>s’ accumulations (Deductibles and Out of Pocket).</w:t>
      </w:r>
    </w:p>
    <w:p w14:paraId="6B483D0A" w14:textId="77777777" w:rsidR="00470A4E" w:rsidRDefault="00470A4E" w:rsidP="006F1547">
      <w:pPr>
        <w:spacing w:before="120" w:after="120"/>
      </w:pPr>
    </w:p>
    <w:p w14:paraId="4D5A90A2" w14:textId="0F9F465A" w:rsidR="00F36E99" w:rsidRPr="00B81CEB" w:rsidRDefault="00F36E99" w:rsidP="006F1547">
      <w:pPr>
        <w:spacing w:before="120" w:after="120"/>
        <w:jc w:val="center"/>
      </w:pPr>
    </w:p>
    <w:p w14:paraId="266B7530" w14:textId="77777777" w:rsidR="00B81CEB" w:rsidRDefault="00B81CEB" w:rsidP="006F1547">
      <w:pPr>
        <w:spacing w:before="120" w:after="120"/>
        <w:rPr>
          <w:b/>
        </w:rPr>
      </w:pPr>
    </w:p>
    <w:p w14:paraId="037B8038" w14:textId="663E8664" w:rsidR="00E93042" w:rsidRDefault="00E550B2" w:rsidP="006F1547">
      <w:pPr>
        <w:spacing w:before="120" w:after="120"/>
      </w:pPr>
      <w:r w:rsidRPr="008D2969">
        <w:rPr>
          <w:b/>
        </w:rPr>
        <w:t>Example:</w:t>
      </w:r>
      <w:r>
        <w:t xml:space="preserve"> View </w:t>
      </w:r>
      <w:r w:rsidRPr="0043504E">
        <w:rPr>
          <w:b/>
          <w:bCs/>
        </w:rPr>
        <w:t xml:space="preserve">Financials </w:t>
      </w:r>
      <w:r w:rsidR="00711387" w:rsidRPr="0043504E">
        <w:rPr>
          <w:b/>
          <w:bCs/>
        </w:rPr>
        <w:t>Details</w:t>
      </w:r>
      <w:r w:rsidR="00711387">
        <w:t xml:space="preserve"> </w:t>
      </w:r>
      <w:r>
        <w:t xml:space="preserve">in </w:t>
      </w:r>
      <w:r w:rsidR="00711387">
        <w:t xml:space="preserve">Compass </w:t>
      </w:r>
      <w:r>
        <w:t>displays all the pricing information.</w:t>
      </w:r>
    </w:p>
    <w:p w14:paraId="33F2864A" w14:textId="77777777" w:rsidR="00B345C7" w:rsidRDefault="00B345C7" w:rsidP="006F1547">
      <w:pPr>
        <w:spacing w:before="120" w:after="120"/>
      </w:pPr>
    </w:p>
    <w:p w14:paraId="7A168338" w14:textId="77777777" w:rsidR="00E550B2" w:rsidRDefault="00170566" w:rsidP="006F1547">
      <w:pPr>
        <w:spacing w:before="120" w:after="120"/>
        <w:jc w:val="center"/>
      </w:pPr>
      <w:r>
        <w:rPr>
          <w:noProof/>
        </w:rPr>
        <w:drawing>
          <wp:inline distT="0" distB="0" distL="0" distR="0" wp14:anchorId="1FB96A8C" wp14:editId="27394A1D">
            <wp:extent cx="9144000" cy="4861629"/>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4861629"/>
                    </a:xfrm>
                    <a:prstGeom prst="rect">
                      <a:avLst/>
                    </a:prstGeom>
                    <a:ln>
                      <a:solidFill>
                        <a:schemeClr val="tx1"/>
                      </a:solidFill>
                    </a:ln>
                  </pic:spPr>
                </pic:pic>
              </a:graphicData>
            </a:graphic>
          </wp:inline>
        </w:drawing>
      </w:r>
    </w:p>
    <w:p w14:paraId="4CB50057" w14:textId="77777777" w:rsidR="00470A4E" w:rsidRDefault="00470A4E" w:rsidP="006F1547">
      <w:pPr>
        <w:spacing w:before="120" w:after="120"/>
        <w:jc w:val="center"/>
      </w:pPr>
    </w:p>
    <w:p w14:paraId="56DAF354" w14:textId="07B69C73" w:rsidR="00E550B2" w:rsidRDefault="00E550B2" w:rsidP="006F1547">
      <w:pPr>
        <w:spacing w:before="120" w:after="120"/>
        <w:rPr>
          <w:color w:val="000000"/>
        </w:rPr>
      </w:pPr>
      <w:r w:rsidRPr="008D2969">
        <w:rPr>
          <w:b/>
        </w:rPr>
        <w:t>Example:</w:t>
      </w:r>
      <w:r w:rsidRPr="00E550B2">
        <w:t xml:space="preserve"> Background information - </w:t>
      </w:r>
      <w:r w:rsidRPr="001F344C">
        <w:rPr>
          <w:color w:val="000000"/>
        </w:rPr>
        <w:t xml:space="preserve">Member </w:t>
      </w:r>
      <w:r w:rsidR="002B22DF">
        <w:rPr>
          <w:color w:val="000000"/>
        </w:rPr>
        <w:t>initially</w:t>
      </w:r>
      <w:r w:rsidR="002B22DF" w:rsidRPr="001F344C">
        <w:rPr>
          <w:color w:val="000000"/>
        </w:rPr>
        <w:t xml:space="preserve"> </w:t>
      </w:r>
      <w:r w:rsidRPr="001F344C">
        <w:rPr>
          <w:color w:val="000000"/>
        </w:rPr>
        <w:t>had $7.50 applied to their $4</w:t>
      </w:r>
      <w:r w:rsidR="002D25A7" w:rsidRPr="001F344C">
        <w:rPr>
          <w:color w:val="000000"/>
        </w:rPr>
        <w:t>,</w:t>
      </w:r>
      <w:r w:rsidRPr="001F344C">
        <w:rPr>
          <w:color w:val="000000"/>
        </w:rPr>
        <w:t>000 ded</w:t>
      </w:r>
      <w:r w:rsidR="00E97B7D">
        <w:rPr>
          <w:color w:val="000000"/>
        </w:rPr>
        <w:t>uctible</w:t>
      </w:r>
      <w:r w:rsidRPr="001F344C">
        <w:rPr>
          <w:color w:val="000000"/>
        </w:rPr>
        <w:t xml:space="preserve"> before this claim</w:t>
      </w:r>
      <w:r w:rsidR="002B22DF">
        <w:rPr>
          <w:color w:val="000000"/>
        </w:rPr>
        <w:t xml:space="preserve"> example</w:t>
      </w:r>
      <w:r w:rsidRPr="001F344C">
        <w:rPr>
          <w:color w:val="000000"/>
        </w:rPr>
        <w:t xml:space="preserve">, so when the claim adjudicated, the member was responsible for 100% </w:t>
      </w:r>
      <w:r w:rsidR="002B22DF">
        <w:rPr>
          <w:color w:val="000000"/>
        </w:rPr>
        <w:t>for</w:t>
      </w:r>
      <w:r w:rsidRPr="001F344C">
        <w:rPr>
          <w:color w:val="000000"/>
        </w:rPr>
        <w:t xml:space="preserve"> the remain</w:t>
      </w:r>
      <w:r w:rsidR="002B22DF">
        <w:rPr>
          <w:color w:val="000000"/>
        </w:rPr>
        <w:t>der</w:t>
      </w:r>
      <w:r w:rsidRPr="001F344C">
        <w:rPr>
          <w:color w:val="000000"/>
        </w:rPr>
        <w:t xml:space="preserve"> of his </w:t>
      </w:r>
      <w:r w:rsidR="00E97B7D" w:rsidRPr="001F344C">
        <w:rPr>
          <w:color w:val="000000"/>
        </w:rPr>
        <w:t>ded</w:t>
      </w:r>
      <w:r w:rsidR="00E97B7D">
        <w:rPr>
          <w:color w:val="000000"/>
        </w:rPr>
        <w:t>uctible</w:t>
      </w:r>
      <w:r w:rsidRPr="001F344C">
        <w:rPr>
          <w:color w:val="000000"/>
        </w:rPr>
        <w:t xml:space="preserve"> (</w:t>
      </w:r>
      <w:r w:rsidR="002D25A7" w:rsidRPr="001F344C">
        <w:rPr>
          <w:color w:val="000000"/>
        </w:rPr>
        <w:t>$</w:t>
      </w:r>
      <w:r w:rsidRPr="001F344C">
        <w:rPr>
          <w:color w:val="000000"/>
        </w:rPr>
        <w:t>4</w:t>
      </w:r>
      <w:r w:rsidR="002D25A7" w:rsidRPr="001F344C">
        <w:rPr>
          <w:color w:val="000000"/>
        </w:rPr>
        <w:t>,</w:t>
      </w:r>
      <w:r w:rsidRPr="001F344C">
        <w:rPr>
          <w:color w:val="000000"/>
        </w:rPr>
        <w:t xml:space="preserve">000- </w:t>
      </w:r>
      <w:r w:rsidR="002D25A7" w:rsidRPr="001F344C">
        <w:rPr>
          <w:color w:val="000000"/>
        </w:rPr>
        <w:t>$</w:t>
      </w:r>
      <w:r w:rsidRPr="001F344C">
        <w:rPr>
          <w:color w:val="000000"/>
        </w:rPr>
        <w:t>7.50 = $3</w:t>
      </w:r>
      <w:r w:rsidR="002D25A7" w:rsidRPr="001F344C">
        <w:rPr>
          <w:color w:val="000000"/>
        </w:rPr>
        <w:t>,</w:t>
      </w:r>
      <w:r w:rsidRPr="001F344C">
        <w:rPr>
          <w:color w:val="000000"/>
        </w:rPr>
        <w:t>992.50)</w:t>
      </w:r>
      <w:r w:rsidR="003A071E">
        <w:rPr>
          <w:color w:val="000000"/>
        </w:rPr>
        <w:t>.</w:t>
      </w:r>
    </w:p>
    <w:p w14:paraId="28B5C2AC" w14:textId="77777777" w:rsidR="00873DA7" w:rsidRPr="00E93042" w:rsidRDefault="00873DA7" w:rsidP="006F1547">
      <w:pPr>
        <w:spacing w:before="120" w:after="120"/>
      </w:pPr>
    </w:p>
    <w:p w14:paraId="5FF9FC33" w14:textId="77777777" w:rsidR="00E550B2" w:rsidRDefault="001929D1" w:rsidP="006F1547">
      <w:pPr>
        <w:spacing w:before="120" w:after="120"/>
        <w:jc w:val="center"/>
      </w:pPr>
      <w:r>
        <w:rPr>
          <w:noProof/>
        </w:rPr>
        <w:drawing>
          <wp:inline distT="0" distB="0" distL="0" distR="0" wp14:anchorId="5BDCF86D" wp14:editId="473348C9">
            <wp:extent cx="4114800" cy="3539508"/>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3539508"/>
                    </a:xfrm>
                    <a:prstGeom prst="rect">
                      <a:avLst/>
                    </a:prstGeom>
                    <a:ln>
                      <a:solidFill>
                        <a:schemeClr val="tx1"/>
                      </a:solidFill>
                    </a:ln>
                  </pic:spPr>
                </pic:pic>
              </a:graphicData>
            </a:graphic>
          </wp:inline>
        </w:drawing>
      </w:r>
    </w:p>
    <w:p w14:paraId="144D27D1" w14:textId="77777777" w:rsidR="00AB2C45" w:rsidRDefault="00C87B75" w:rsidP="006F1547">
      <w:pPr>
        <w:spacing w:before="120" w:after="120"/>
        <w:jc w:val="center"/>
        <w:rPr>
          <w:b/>
        </w:rPr>
      </w:pPr>
      <w:r>
        <w:rPr>
          <w:b/>
        </w:rPr>
        <w:t xml:space="preserve"> </w:t>
      </w:r>
      <w:r w:rsidR="002B22DF">
        <w:rPr>
          <w:b/>
        </w:rPr>
        <w:t>Participant Pay</w:t>
      </w:r>
    </w:p>
    <w:p w14:paraId="6EFD36FE" w14:textId="77777777" w:rsidR="00873DA7" w:rsidRDefault="00873DA7" w:rsidP="006F1547">
      <w:pPr>
        <w:spacing w:before="120" w:after="120"/>
        <w:jc w:val="center"/>
        <w:rPr>
          <w:b/>
        </w:rPr>
      </w:pPr>
    </w:p>
    <w:p w14:paraId="0333A5B7" w14:textId="039C8D65" w:rsidR="00E550B2" w:rsidRDefault="00E550B2" w:rsidP="006F1547">
      <w:pPr>
        <w:spacing w:before="120" w:after="120"/>
      </w:pPr>
      <w:r w:rsidRPr="008D2969">
        <w:rPr>
          <w:b/>
        </w:rPr>
        <w:t>Example:</w:t>
      </w:r>
      <w:r>
        <w:t xml:space="preserve"> Total Cost of the drug was </w:t>
      </w:r>
      <w:r w:rsidR="002D25A7">
        <w:t>$</w:t>
      </w:r>
      <w:r>
        <w:t>4</w:t>
      </w:r>
      <w:r w:rsidR="002D25A7">
        <w:t>,</w:t>
      </w:r>
      <w:r>
        <w:t xml:space="preserve">330.20 + </w:t>
      </w:r>
      <w:r w:rsidR="002D25A7">
        <w:t>$</w:t>
      </w:r>
      <w:r>
        <w:t xml:space="preserve">43.30 tax = </w:t>
      </w:r>
      <w:r w:rsidR="002D25A7">
        <w:t>$</w:t>
      </w:r>
      <w:r>
        <w:t>4</w:t>
      </w:r>
      <w:r w:rsidR="002D25A7">
        <w:t>,</w:t>
      </w:r>
      <w:r w:rsidR="002B22DF">
        <w:t>3</w:t>
      </w:r>
      <w:r>
        <w:t>73.50</w:t>
      </w:r>
      <w:r w:rsidR="001A04ED">
        <w:t xml:space="preserve"> (Cost allowed)</w:t>
      </w:r>
      <w:r w:rsidR="003A071E">
        <w:t>.</w:t>
      </w:r>
    </w:p>
    <w:p w14:paraId="6F68FF45" w14:textId="77777777" w:rsidR="00C209B7" w:rsidRDefault="00C209B7" w:rsidP="006F1547">
      <w:pPr>
        <w:spacing w:before="120" w:after="120"/>
      </w:pPr>
    </w:p>
    <w:p w14:paraId="2A15F733" w14:textId="77777777" w:rsidR="00E550B2" w:rsidRDefault="00170566" w:rsidP="006F1547">
      <w:pPr>
        <w:spacing w:before="120" w:after="120"/>
        <w:jc w:val="center"/>
      </w:pPr>
      <w:r>
        <w:rPr>
          <w:noProof/>
        </w:rPr>
        <w:drawing>
          <wp:inline distT="0" distB="0" distL="0" distR="0" wp14:anchorId="157C2309" wp14:editId="5658C5D8">
            <wp:extent cx="4114800" cy="3041373"/>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3041373"/>
                    </a:xfrm>
                    <a:prstGeom prst="rect">
                      <a:avLst/>
                    </a:prstGeom>
                    <a:ln>
                      <a:solidFill>
                        <a:schemeClr val="tx1"/>
                      </a:solidFill>
                    </a:ln>
                  </pic:spPr>
                </pic:pic>
              </a:graphicData>
            </a:graphic>
          </wp:inline>
        </w:drawing>
      </w:r>
    </w:p>
    <w:p w14:paraId="27B9371F" w14:textId="77777777" w:rsidR="00AB2C45" w:rsidRDefault="00C87B75" w:rsidP="006F1547">
      <w:pPr>
        <w:spacing w:before="120" w:after="120"/>
        <w:jc w:val="center"/>
        <w:rPr>
          <w:b/>
        </w:rPr>
      </w:pPr>
      <w:r>
        <w:rPr>
          <w:b/>
        </w:rPr>
        <w:t xml:space="preserve"> </w:t>
      </w:r>
      <w:r w:rsidR="002B22DF">
        <w:rPr>
          <w:b/>
        </w:rPr>
        <w:t xml:space="preserve">  Client Pay/Cost</w:t>
      </w:r>
    </w:p>
    <w:p w14:paraId="078460B4" w14:textId="77777777" w:rsidR="00171707" w:rsidRDefault="00171707" w:rsidP="006F1547">
      <w:pPr>
        <w:spacing w:before="120" w:after="120"/>
        <w:jc w:val="center"/>
        <w:rPr>
          <w:b/>
        </w:rPr>
      </w:pPr>
    </w:p>
    <w:p w14:paraId="7C7E94F5" w14:textId="27E91636" w:rsidR="00BB7FCE" w:rsidRDefault="00E550B2" w:rsidP="006F1547">
      <w:pPr>
        <w:spacing w:before="120" w:after="120"/>
      </w:pPr>
      <w:r w:rsidRPr="008D2969">
        <w:rPr>
          <w:b/>
        </w:rPr>
        <w:t>Example:</w:t>
      </w:r>
      <w:r>
        <w:t xml:space="preserve"> </w:t>
      </w:r>
      <w:r w:rsidR="00335A74">
        <w:t>The m</w:t>
      </w:r>
      <w:r>
        <w:t>ember cover</w:t>
      </w:r>
      <w:r w:rsidR="00335A74">
        <w:t>s</w:t>
      </w:r>
      <w:r>
        <w:t xml:space="preserve"> 100% of the remaining deductible (</w:t>
      </w:r>
      <w:r w:rsidR="002D25A7">
        <w:t>$</w:t>
      </w:r>
      <w:r>
        <w:t>3</w:t>
      </w:r>
      <w:r w:rsidR="002D25A7">
        <w:t>,</w:t>
      </w:r>
      <w:r>
        <w:t xml:space="preserve">992.50), thus </w:t>
      </w:r>
      <w:r w:rsidR="002D25A7">
        <w:t>$</w:t>
      </w:r>
      <w:r>
        <w:t>4</w:t>
      </w:r>
      <w:r w:rsidR="002D25A7">
        <w:t>,</w:t>
      </w:r>
      <w:r w:rsidR="002B22DF">
        <w:t>3</w:t>
      </w:r>
      <w:r>
        <w:t>73.50</w:t>
      </w:r>
      <w:r w:rsidR="00F608A7">
        <w:t xml:space="preserve"> (Cost allowed plus tax)</w:t>
      </w:r>
      <w:r>
        <w:t xml:space="preserve"> minus </w:t>
      </w:r>
      <w:r w:rsidR="002D25A7">
        <w:t>$</w:t>
      </w:r>
      <w:r>
        <w:t>3</w:t>
      </w:r>
      <w:r w:rsidR="002D25A7">
        <w:t>,</w:t>
      </w:r>
      <w:r>
        <w:t xml:space="preserve">992.50 = </w:t>
      </w:r>
      <w:r w:rsidR="002D25A7">
        <w:t>$</w:t>
      </w:r>
      <w:r>
        <w:t xml:space="preserve">381.00. </w:t>
      </w:r>
      <w:r w:rsidR="00335A74">
        <w:t>The m</w:t>
      </w:r>
      <w:r>
        <w:t xml:space="preserve">ember owes 20% of </w:t>
      </w:r>
      <w:r w:rsidR="002D25A7">
        <w:t>$</w:t>
      </w:r>
      <w:r>
        <w:t xml:space="preserve">381.00 </w:t>
      </w:r>
      <w:r w:rsidR="00335A74">
        <w:t xml:space="preserve">as the </w:t>
      </w:r>
      <w:r>
        <w:t xml:space="preserve">deductible was met with part of this claim and the plan </w:t>
      </w:r>
      <w:r w:rsidR="00335A74">
        <w:t>is</w:t>
      </w:r>
      <w:r>
        <w:t xml:space="preserve"> 20% coinsurance after the deductible </w:t>
      </w:r>
      <w:r w:rsidR="00335A74">
        <w:t>is</w:t>
      </w:r>
      <w:r>
        <w:t xml:space="preserve"> met.</w:t>
      </w:r>
    </w:p>
    <w:p w14:paraId="1F25645B" w14:textId="77777777" w:rsidR="00D06076" w:rsidRDefault="00E550B2" w:rsidP="006F1547">
      <w:pPr>
        <w:spacing w:before="120" w:after="120"/>
      </w:pPr>
      <w:r>
        <w:t xml:space="preserve">  </w:t>
      </w:r>
    </w:p>
    <w:p w14:paraId="7887B984" w14:textId="4B818C3E" w:rsidR="00E550B2" w:rsidRDefault="002D25A7" w:rsidP="006F1547">
      <w:pPr>
        <w:spacing w:before="120" w:after="120"/>
      </w:pPr>
      <w:r>
        <w:t>$</w:t>
      </w:r>
      <w:r w:rsidR="00E550B2">
        <w:t xml:space="preserve">381 x .20 = </w:t>
      </w:r>
      <w:r>
        <w:t>$</w:t>
      </w:r>
      <w:r w:rsidR="00E550B2">
        <w:t>76.20</w:t>
      </w:r>
      <w:r w:rsidR="004429A7">
        <w:t xml:space="preserve">. </w:t>
      </w:r>
      <w:r>
        <w:t>$</w:t>
      </w:r>
      <w:r w:rsidR="00E550B2">
        <w:t xml:space="preserve">76.20 is the amount owed on top of the remaining deductible. The member in this case will pay </w:t>
      </w:r>
      <w:r>
        <w:t>$</w:t>
      </w:r>
      <w:r w:rsidR="00E550B2">
        <w:t>4</w:t>
      </w:r>
      <w:r>
        <w:t>,</w:t>
      </w:r>
      <w:r w:rsidR="00E550B2">
        <w:t>068.70</w:t>
      </w:r>
      <w:r w:rsidR="00335A74">
        <w:t xml:space="preserve"> (balance of deductible + 20% coinsurance on balance of claim)</w:t>
      </w:r>
      <w:r w:rsidR="00E550B2">
        <w:t xml:space="preserve"> before copay assistance is utilized.</w:t>
      </w:r>
    </w:p>
    <w:p w14:paraId="09E50194" w14:textId="77777777" w:rsidR="00873DA7" w:rsidRDefault="00873DA7" w:rsidP="006F1547">
      <w:pPr>
        <w:spacing w:before="120" w:after="120"/>
        <w:jc w:val="center"/>
        <w:rPr>
          <w:b/>
        </w:rPr>
      </w:pPr>
    </w:p>
    <w:p w14:paraId="317A51B9" w14:textId="77777777" w:rsidR="008D2969" w:rsidRDefault="00170566" w:rsidP="006F1547">
      <w:pPr>
        <w:spacing w:before="120" w:after="120"/>
        <w:jc w:val="center"/>
        <w:rPr>
          <w:b/>
        </w:rPr>
      </w:pPr>
      <w:r>
        <w:rPr>
          <w:noProof/>
        </w:rPr>
        <w:drawing>
          <wp:inline distT="0" distB="0" distL="0" distR="0" wp14:anchorId="26AAC470" wp14:editId="003ED5C8">
            <wp:extent cx="4114800" cy="3506609"/>
            <wp:effectExtent l="19050" t="19050" r="1905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506609"/>
                    </a:xfrm>
                    <a:prstGeom prst="rect">
                      <a:avLst/>
                    </a:prstGeom>
                    <a:ln>
                      <a:solidFill>
                        <a:schemeClr val="tx1"/>
                      </a:solidFill>
                    </a:ln>
                  </pic:spPr>
                </pic:pic>
              </a:graphicData>
            </a:graphic>
          </wp:inline>
        </w:drawing>
      </w:r>
    </w:p>
    <w:p w14:paraId="3C9E0092" w14:textId="77777777" w:rsidR="00470A4E" w:rsidRPr="008C7F18" w:rsidRDefault="00470A4E" w:rsidP="006F1547">
      <w:pPr>
        <w:spacing w:before="120" w:after="120"/>
        <w:jc w:val="center"/>
        <w:rPr>
          <w:b/>
        </w:rPr>
      </w:pPr>
    </w:p>
    <w:p w14:paraId="1488BD21" w14:textId="77777777" w:rsidR="00E550B2" w:rsidRDefault="005917F0" w:rsidP="006F1547">
      <w:pPr>
        <w:spacing w:before="120" w:after="120"/>
      </w:pPr>
      <w:r>
        <w:t xml:space="preserve">This is </w:t>
      </w:r>
      <w:r w:rsidR="00DC085F">
        <w:t>before</w:t>
      </w:r>
      <w:r>
        <w:t xml:space="preserve"> the copay assistance registers. Claims adjudicate like normal as shown above and then the copay program goes into</w:t>
      </w:r>
      <w:r w:rsidR="001342D9">
        <w:t xml:space="preserve"> effect</w:t>
      </w:r>
      <w:r>
        <w:t xml:space="preserve"> and </w:t>
      </w:r>
      <w:r w:rsidR="00E93042" w:rsidRPr="00C24FF3">
        <w:t xml:space="preserve">accumulators </w:t>
      </w:r>
      <w:r>
        <w:t xml:space="preserve">will adjust. Even though the </w:t>
      </w:r>
      <w:r w:rsidR="002D25A7">
        <w:t>$</w:t>
      </w:r>
      <w:r>
        <w:t>3</w:t>
      </w:r>
      <w:r w:rsidR="002D25A7">
        <w:t>,</w:t>
      </w:r>
      <w:r>
        <w:t xml:space="preserve">992.50 </w:t>
      </w:r>
      <w:r w:rsidR="00DB1FCF">
        <w:t>does not</w:t>
      </w:r>
      <w:r>
        <w:t xml:space="preserve"> end up going towards the deductible, it still originally adjudicated like normal as if the deductible was presented with this claim.</w:t>
      </w:r>
    </w:p>
    <w:p w14:paraId="5CCC5787" w14:textId="77777777" w:rsidR="00C209B7" w:rsidRDefault="00C209B7" w:rsidP="006F1547">
      <w:pPr>
        <w:spacing w:before="120" w:after="120"/>
      </w:pPr>
    </w:p>
    <w:p w14:paraId="2646CD41" w14:textId="25D4D651" w:rsidR="00E93042" w:rsidRDefault="005917F0" w:rsidP="006F1547">
      <w:pPr>
        <w:spacing w:before="120" w:after="120"/>
      </w:pPr>
      <w:r>
        <w:t xml:space="preserve">At the end of this scenario, the copay card is worth </w:t>
      </w:r>
      <w:r w:rsidR="002D25A7">
        <w:t>$</w:t>
      </w:r>
      <w:r>
        <w:t>3</w:t>
      </w:r>
      <w:r w:rsidR="002D25A7">
        <w:t>,</w:t>
      </w:r>
      <w:r>
        <w:t>932.63.</w:t>
      </w:r>
      <w:r w:rsidR="00D06076">
        <w:t xml:space="preserve"> </w:t>
      </w:r>
      <w:r>
        <w:t xml:space="preserve">The </w:t>
      </w:r>
      <w:r w:rsidR="00BB6077">
        <w:t>member’s</w:t>
      </w:r>
      <w:r>
        <w:t xml:space="preserve"> cost share is </w:t>
      </w:r>
      <w:r w:rsidR="002D25A7">
        <w:t>$</w:t>
      </w:r>
      <w:r>
        <w:t>4</w:t>
      </w:r>
      <w:r w:rsidR="002D25A7">
        <w:t>,</w:t>
      </w:r>
      <w:r>
        <w:t xml:space="preserve">068.70 subtracted by </w:t>
      </w:r>
      <w:r w:rsidR="002D25A7">
        <w:t>$</w:t>
      </w:r>
      <w:r>
        <w:t>3</w:t>
      </w:r>
      <w:r w:rsidR="002D25A7">
        <w:t>,</w:t>
      </w:r>
      <w:r>
        <w:t xml:space="preserve">932.63 (covered by the copay card) and the member owes </w:t>
      </w:r>
      <w:r w:rsidR="002D25A7">
        <w:t>$</w:t>
      </w:r>
      <w:r>
        <w:t xml:space="preserve">136.07 out of their pocket. The </w:t>
      </w:r>
      <w:r w:rsidR="00A20FF3">
        <w:t>amount of</w:t>
      </w:r>
      <w:r>
        <w:t xml:space="preserve"> </w:t>
      </w:r>
      <w:r w:rsidR="002D25A7">
        <w:t>$</w:t>
      </w:r>
      <w:r>
        <w:t>136.07 will apply to the member</w:t>
      </w:r>
      <w:r w:rsidR="0038193C">
        <w:t>’</w:t>
      </w:r>
      <w:r>
        <w:t>s accumulations.</w:t>
      </w:r>
    </w:p>
    <w:p w14:paraId="053D1015" w14:textId="77777777" w:rsidR="00170566" w:rsidRDefault="00170566" w:rsidP="006F1547">
      <w:pPr>
        <w:spacing w:before="120" w:after="120"/>
      </w:pPr>
    </w:p>
    <w:p w14:paraId="129EA476" w14:textId="77777777" w:rsidR="005917F0" w:rsidRDefault="000D3F14" w:rsidP="006F1547">
      <w:pPr>
        <w:spacing w:before="120" w:after="120"/>
        <w:jc w:val="center"/>
      </w:pPr>
      <w:r>
        <w:rPr>
          <w:noProof/>
        </w:rPr>
        <w:drawing>
          <wp:inline distT="0" distB="0" distL="0" distR="0" wp14:anchorId="059C0C03" wp14:editId="4E8584F7">
            <wp:extent cx="4114800" cy="1634516"/>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634516"/>
                    </a:xfrm>
                    <a:prstGeom prst="rect">
                      <a:avLst/>
                    </a:prstGeom>
                    <a:ln>
                      <a:solidFill>
                        <a:schemeClr val="tx1"/>
                      </a:solidFill>
                    </a:ln>
                  </pic:spPr>
                </pic:pic>
              </a:graphicData>
            </a:graphic>
          </wp:inline>
        </w:drawing>
      </w:r>
    </w:p>
    <w:p w14:paraId="6B180A7F" w14:textId="77777777" w:rsidR="00E93042" w:rsidRDefault="00E93042" w:rsidP="006F1547">
      <w:pPr>
        <w:spacing w:before="120" w:after="120"/>
        <w:jc w:val="center"/>
        <w:rPr>
          <w:b/>
        </w:rPr>
      </w:pPr>
    </w:p>
    <w:p w14:paraId="14579CDB" w14:textId="77777777" w:rsidR="00266150" w:rsidRPr="004E00B6" w:rsidRDefault="00266150" w:rsidP="00C209B7">
      <w:pPr>
        <w:ind w:left="720"/>
        <w:jc w:val="right"/>
      </w:pPr>
      <w:hyperlink w:anchor="_top" w:history="1">
        <w:r w:rsidRPr="00B0584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3204A" w:rsidRPr="004E00B6" w14:paraId="47D4F1BC" w14:textId="77777777" w:rsidTr="00A33A5D">
        <w:tc>
          <w:tcPr>
            <w:tcW w:w="5000" w:type="pct"/>
            <w:shd w:val="clear" w:color="auto" w:fill="BFBFBF" w:themeFill="background1" w:themeFillShade="BF"/>
          </w:tcPr>
          <w:p w14:paraId="002934A3" w14:textId="243CCE72" w:rsidR="00C3204A" w:rsidRPr="004E00B6" w:rsidRDefault="00C3204A" w:rsidP="00A33A5D">
            <w:pPr>
              <w:pStyle w:val="Heading2"/>
              <w:spacing w:before="120" w:after="120"/>
              <w:rPr>
                <w:rFonts w:ascii="Verdana" w:hAnsi="Verdana"/>
                <w:i w:val="0"/>
                <w:iCs w:val="0"/>
              </w:rPr>
            </w:pPr>
            <w:bookmarkStart w:id="17" w:name="_Q"/>
            <w:bookmarkStart w:id="18" w:name="_Toc100581439"/>
            <w:bookmarkStart w:id="19" w:name="_Toc100582023"/>
            <w:bookmarkStart w:id="20" w:name="_Toc100582045"/>
            <w:bookmarkStart w:id="21" w:name="_Toc207786650"/>
            <w:bookmarkEnd w:id="17"/>
            <w:r>
              <w:rPr>
                <w:rFonts w:ascii="Verdana" w:hAnsi="Verdana"/>
                <w:i w:val="0"/>
                <w:iCs w:val="0"/>
              </w:rPr>
              <w:t>Frequently Asked Questions</w:t>
            </w:r>
            <w:r w:rsidR="00B50C7D">
              <w:rPr>
                <w:rFonts w:ascii="Verdana" w:hAnsi="Verdana"/>
                <w:i w:val="0"/>
                <w:iCs w:val="0"/>
              </w:rPr>
              <w:t xml:space="preserve"> and Answers</w:t>
            </w:r>
            <w:bookmarkEnd w:id="18"/>
            <w:bookmarkEnd w:id="19"/>
            <w:bookmarkEnd w:id="20"/>
            <w:bookmarkEnd w:id="21"/>
          </w:p>
        </w:tc>
      </w:tr>
    </w:tbl>
    <w:p w14:paraId="12A03EEE" w14:textId="43EE04C9" w:rsidR="00771C3C" w:rsidRPr="00C3204A" w:rsidRDefault="00C3204A" w:rsidP="006F1547">
      <w:pPr>
        <w:spacing w:before="120" w:after="120"/>
      </w:pPr>
      <w:r w:rsidRPr="00C3204A">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9241"/>
      </w:tblGrid>
      <w:tr w:rsidR="006F1547" w14:paraId="02CB5732" w14:textId="77777777" w:rsidTr="00B4154E">
        <w:tc>
          <w:tcPr>
            <w:tcW w:w="1432" w:type="pct"/>
            <w:shd w:val="clear" w:color="auto" w:fill="D9D9D9" w:themeFill="background1" w:themeFillShade="D9"/>
          </w:tcPr>
          <w:p w14:paraId="289AECEE" w14:textId="77777777" w:rsidR="00F9328A" w:rsidRPr="00D01D2B" w:rsidRDefault="00F9328A" w:rsidP="00E54537">
            <w:pPr>
              <w:spacing w:before="120" w:after="120"/>
              <w:jc w:val="center"/>
              <w:rPr>
                <w:b/>
              </w:rPr>
            </w:pPr>
            <w:r w:rsidRPr="00D01D2B">
              <w:rPr>
                <w:b/>
              </w:rPr>
              <w:t>Question</w:t>
            </w:r>
          </w:p>
        </w:tc>
        <w:tc>
          <w:tcPr>
            <w:tcW w:w="3568" w:type="pct"/>
            <w:shd w:val="clear" w:color="auto" w:fill="D9D9D9" w:themeFill="background1" w:themeFillShade="D9"/>
          </w:tcPr>
          <w:p w14:paraId="5A803057" w14:textId="77777777" w:rsidR="00F9328A" w:rsidRPr="00D01D2B" w:rsidRDefault="00F9328A" w:rsidP="00E54537">
            <w:pPr>
              <w:spacing w:before="120" w:after="120"/>
              <w:jc w:val="center"/>
              <w:rPr>
                <w:b/>
              </w:rPr>
            </w:pPr>
            <w:r w:rsidRPr="00D01D2B">
              <w:rPr>
                <w:b/>
              </w:rPr>
              <w:t>Answer</w:t>
            </w:r>
          </w:p>
        </w:tc>
      </w:tr>
      <w:tr w:rsidR="006F1547" w:rsidRPr="005F2B80" w14:paraId="6361B550" w14:textId="77777777" w:rsidTr="00B4154E">
        <w:tc>
          <w:tcPr>
            <w:tcW w:w="1432" w:type="pct"/>
          </w:tcPr>
          <w:p w14:paraId="4DDCC79E" w14:textId="77777777" w:rsidR="005917F0" w:rsidRPr="006F1547" w:rsidRDefault="005917F0" w:rsidP="006F1547">
            <w:pPr>
              <w:spacing w:before="120" w:after="120"/>
              <w:rPr>
                <w:b/>
                <w:bCs/>
              </w:rPr>
            </w:pPr>
            <w:r w:rsidRPr="006F1547">
              <w:rPr>
                <w:b/>
                <w:bCs/>
              </w:rPr>
              <w:t xml:space="preserve">What is </w:t>
            </w:r>
            <w:r w:rsidR="0098554C" w:rsidRPr="006F1547">
              <w:rPr>
                <w:b/>
                <w:bCs/>
              </w:rPr>
              <w:t xml:space="preserve">a </w:t>
            </w:r>
            <w:r w:rsidRPr="006F1547">
              <w:rPr>
                <w:b/>
                <w:bCs/>
              </w:rPr>
              <w:t xml:space="preserve">Specialty Copay </w:t>
            </w:r>
            <w:r w:rsidR="0098554C" w:rsidRPr="006F1547">
              <w:rPr>
                <w:b/>
                <w:bCs/>
              </w:rPr>
              <w:t>Plan Design Strategy</w:t>
            </w:r>
            <w:r w:rsidRPr="006F1547">
              <w:rPr>
                <w:b/>
                <w:bCs/>
              </w:rPr>
              <w:t>?</w:t>
            </w:r>
          </w:p>
          <w:p w14:paraId="29E2E9EB" w14:textId="77777777" w:rsidR="00F86BD4" w:rsidRPr="006F1547" w:rsidRDefault="00F86BD4" w:rsidP="006F1547">
            <w:pPr>
              <w:spacing w:before="120" w:after="120"/>
              <w:rPr>
                <w:b/>
                <w:bCs/>
              </w:rPr>
            </w:pPr>
          </w:p>
        </w:tc>
        <w:tc>
          <w:tcPr>
            <w:tcW w:w="3568" w:type="pct"/>
          </w:tcPr>
          <w:p w14:paraId="5D02D583" w14:textId="2574982D" w:rsidR="00DC7FB8" w:rsidRPr="00E54537" w:rsidRDefault="00DC7FB8" w:rsidP="006F1547">
            <w:pPr>
              <w:spacing w:before="120" w:after="120"/>
              <w:rPr>
                <w:rFonts w:cs="Arial"/>
              </w:rPr>
            </w:pPr>
            <w:r w:rsidRPr="00E54537">
              <w:rPr>
                <w:rFonts w:cs="Arial"/>
              </w:rPr>
              <w:t xml:space="preserve">Specialty Copay Plan Design Strategies (True </w:t>
            </w:r>
            <w:r w:rsidR="00D06D0C" w:rsidRPr="00E54537">
              <w:rPr>
                <w:rFonts w:cs="Arial"/>
              </w:rPr>
              <w:t>Accumulation and</w:t>
            </w:r>
            <w:r w:rsidRPr="00E54537">
              <w:rPr>
                <w:rFonts w:cs="Arial"/>
              </w:rPr>
              <w:t xml:space="preserve"> </w:t>
            </w:r>
            <w:r w:rsidR="0098554C">
              <w:rPr>
                <w:rFonts w:cs="Arial"/>
              </w:rPr>
              <w:t xml:space="preserve">the </w:t>
            </w:r>
            <w:r w:rsidRPr="00E54537">
              <w:rPr>
                <w:rFonts w:cs="Arial"/>
              </w:rPr>
              <w:t xml:space="preserve">PrudentRx </w:t>
            </w:r>
            <w:r w:rsidR="0098554C">
              <w:rPr>
                <w:rFonts w:cs="Arial"/>
              </w:rPr>
              <w:t>solution</w:t>
            </w:r>
            <w:r w:rsidRPr="00E54537">
              <w:rPr>
                <w:rFonts w:cs="Arial"/>
              </w:rPr>
              <w:t xml:space="preserve">) are </w:t>
            </w:r>
            <w:r w:rsidR="00E53E12">
              <w:rPr>
                <w:rFonts w:cs="Arial"/>
              </w:rPr>
              <w:t xml:space="preserve">intended to address concerns around members’ use of manufacturer copay coupons that can circumvent a </w:t>
            </w:r>
            <w:r w:rsidR="00A20FF3">
              <w:rPr>
                <w:rFonts w:cs="Arial"/>
              </w:rPr>
              <w:t>client’s</w:t>
            </w:r>
            <w:r w:rsidR="00E53E12">
              <w:rPr>
                <w:rFonts w:cs="Arial"/>
              </w:rPr>
              <w:t xml:space="preserve"> plan design and increase overall costs by incrementally managing specialty pharmacy spend through innovative plan design</w:t>
            </w:r>
            <w:r w:rsidRPr="00E54537">
              <w:rPr>
                <w:rFonts w:cs="Arial"/>
              </w:rPr>
              <w:t xml:space="preserve">. </w:t>
            </w:r>
          </w:p>
          <w:p w14:paraId="50C5FB4D" w14:textId="77777777" w:rsidR="00DC7FB8" w:rsidRPr="00E54537" w:rsidRDefault="00DC7FB8" w:rsidP="006F1547">
            <w:pPr>
              <w:spacing w:before="120" w:after="120"/>
              <w:rPr>
                <w:rFonts w:cs="Arial"/>
              </w:rPr>
            </w:pPr>
          </w:p>
          <w:p w14:paraId="56468FD0" w14:textId="2FA96F6C" w:rsidR="00DC7FB8" w:rsidRPr="00E54537" w:rsidRDefault="00DC7FB8" w:rsidP="006F1547">
            <w:pPr>
              <w:spacing w:before="120" w:after="120"/>
              <w:rPr>
                <w:rFonts w:cs="Arial"/>
              </w:rPr>
            </w:pPr>
            <w:r w:rsidRPr="00E54537">
              <w:rPr>
                <w:rFonts w:cs="Arial"/>
              </w:rPr>
              <w:t>True Accumulation ensures that only true member out-of-pocket (OOP) costs are applied to an accumulator (</w:t>
            </w:r>
            <w:r w:rsidR="00D06076" w:rsidRPr="006319EB">
              <w:rPr>
                <w:rFonts w:cs="Arial"/>
                <w:b/>
                <w:bCs/>
              </w:rPr>
              <w:t>Example:</w:t>
            </w:r>
            <w:r w:rsidR="002814B4">
              <w:rPr>
                <w:rFonts w:cs="Arial"/>
              </w:rPr>
              <w:t xml:space="preserve"> </w:t>
            </w:r>
            <w:r w:rsidR="00D06076">
              <w:rPr>
                <w:rFonts w:cs="Arial"/>
              </w:rPr>
              <w:t>D</w:t>
            </w:r>
            <w:r w:rsidRPr="00E54537">
              <w:rPr>
                <w:rFonts w:cs="Arial"/>
              </w:rPr>
              <w:t xml:space="preserve">eductible and/or maximum out of pocket MOOP) of our clients enrolled in the program. </w:t>
            </w:r>
          </w:p>
          <w:p w14:paraId="6C080C68" w14:textId="77777777" w:rsidR="00DC7FB8" w:rsidRPr="00E54537" w:rsidRDefault="00DC7FB8" w:rsidP="006F1547">
            <w:pPr>
              <w:spacing w:before="120" w:after="120"/>
              <w:rPr>
                <w:rFonts w:cs="Arial"/>
              </w:rPr>
            </w:pPr>
          </w:p>
          <w:p w14:paraId="0BD0D690" w14:textId="77777777" w:rsidR="00DC7FB8" w:rsidRPr="00E54537" w:rsidRDefault="00D5215E" w:rsidP="006F1547">
            <w:pPr>
              <w:spacing w:before="120" w:after="120"/>
              <w:rPr>
                <w:rFonts w:cs="Arial"/>
              </w:rPr>
            </w:pPr>
            <w:r>
              <w:rPr>
                <w:rFonts w:cs="Arial"/>
              </w:rPr>
              <w:t>The PrudentRx solution is an innovative plan design that includes all specialty medications on a client’s specialty drug list, as well as select high-cost specialty limited distribution drugs (LDDs) (when implemented on non-HDHPs with HSAs) to help drive value for clients while participating members have a $0 out-of-pocket cost (OOP) (</w:t>
            </w:r>
            <w:r w:rsidRPr="00E9736B">
              <w:rPr>
                <w:bCs/>
              </w:rPr>
              <w:t>Participating members enrolled in an HDHP with a HSA must fully satisfy their deductible before they are eligible for a final $0 OOP cost, unless the member has been prescribed a medication that qualifies as “preventive care” under the IRC, which is administered and enforced by the IRS. Members may still utilize available manufacturer copay assistance while in their deductible phase but must satisfy their deductible before the Plan is able to pick up any of the costs on the members’ behalf</w:t>
            </w:r>
            <w:r>
              <w:rPr>
                <w:bCs/>
              </w:rPr>
              <w:t>)</w:t>
            </w:r>
            <w:r w:rsidR="00DC7FB8" w:rsidRPr="00E54537">
              <w:rPr>
                <w:rFonts w:cs="Arial"/>
              </w:rPr>
              <w:t xml:space="preserve">. </w:t>
            </w:r>
          </w:p>
          <w:p w14:paraId="65C411A0" w14:textId="77777777" w:rsidR="00DC7FB8" w:rsidRPr="00E54537" w:rsidRDefault="00DC7FB8" w:rsidP="006F1547">
            <w:pPr>
              <w:spacing w:before="120" w:after="120"/>
              <w:rPr>
                <w:rFonts w:cs="Arial"/>
              </w:rPr>
            </w:pPr>
          </w:p>
          <w:p w14:paraId="2DE5139F" w14:textId="77777777" w:rsidR="00DC7FB8" w:rsidRPr="00E54537" w:rsidRDefault="00DC7FB8" w:rsidP="006F1547">
            <w:pPr>
              <w:spacing w:before="120" w:after="120"/>
              <w:rPr>
                <w:rFonts w:cs="Arial"/>
              </w:rPr>
            </w:pPr>
            <w:r w:rsidRPr="00E54537">
              <w:rPr>
                <w:rFonts w:cs="Arial"/>
              </w:rPr>
              <w:t>Th</w:t>
            </w:r>
            <w:r w:rsidR="0098554C">
              <w:rPr>
                <w:rFonts w:cs="Arial"/>
              </w:rPr>
              <w:t>ese</w:t>
            </w:r>
            <w:r w:rsidRPr="00E54537">
              <w:rPr>
                <w:rFonts w:cs="Arial"/>
              </w:rPr>
              <w:t xml:space="preserve"> program</w:t>
            </w:r>
            <w:r w:rsidR="0098554C">
              <w:rPr>
                <w:rFonts w:cs="Arial"/>
              </w:rPr>
              <w:t>s</w:t>
            </w:r>
            <w:r w:rsidRPr="00E54537">
              <w:rPr>
                <w:rFonts w:cs="Arial"/>
              </w:rPr>
              <w:t xml:space="preserve"> </w:t>
            </w:r>
            <w:r w:rsidR="0098554C">
              <w:rPr>
                <w:rFonts w:cs="Arial"/>
              </w:rPr>
              <w:t>are</w:t>
            </w:r>
            <w:r w:rsidR="0098554C" w:rsidRPr="00E54537">
              <w:rPr>
                <w:rFonts w:cs="Arial"/>
              </w:rPr>
              <w:t xml:space="preserve"> </w:t>
            </w:r>
            <w:r w:rsidRPr="00E54537">
              <w:rPr>
                <w:rFonts w:cs="Arial"/>
              </w:rPr>
              <w:t xml:space="preserve">available only for </w:t>
            </w:r>
            <w:r w:rsidR="00D5215E">
              <w:rPr>
                <w:rFonts w:cs="Arial"/>
              </w:rPr>
              <w:t>PBM</w:t>
            </w:r>
            <w:r w:rsidRPr="00E54537">
              <w:rPr>
                <w:rFonts w:cs="Arial"/>
              </w:rPr>
              <w:t xml:space="preserve"> clients. </w:t>
            </w:r>
            <w:r w:rsidR="00DC085F">
              <w:rPr>
                <w:rFonts w:cs="Arial"/>
              </w:rPr>
              <w:t>E</w:t>
            </w:r>
            <w:r w:rsidRPr="00E54537">
              <w:rPr>
                <w:rFonts w:cs="Arial"/>
              </w:rPr>
              <w:t xml:space="preserve">ach participating client implementation form (CIF) </w:t>
            </w:r>
            <w:r w:rsidR="00DC085F">
              <w:rPr>
                <w:rFonts w:cs="Arial"/>
              </w:rPr>
              <w:t>is</w:t>
            </w:r>
            <w:r w:rsidRPr="00E54537">
              <w:rPr>
                <w:rFonts w:cs="Arial"/>
              </w:rPr>
              <w:t xml:space="preserve"> updated individually.</w:t>
            </w:r>
          </w:p>
          <w:p w14:paraId="482E9533" w14:textId="77777777" w:rsidR="00DC7FB8" w:rsidRPr="00E54537" w:rsidRDefault="00DC7FB8" w:rsidP="006F1547">
            <w:pPr>
              <w:spacing w:before="120" w:after="120"/>
              <w:rPr>
                <w:rFonts w:cs="Arial"/>
              </w:rPr>
            </w:pPr>
          </w:p>
          <w:p w14:paraId="3E1EA895" w14:textId="5875EA70" w:rsidR="00B50C7D" w:rsidRPr="00E54537" w:rsidRDefault="005917F0" w:rsidP="006F1547">
            <w:pPr>
              <w:spacing w:before="120" w:after="120"/>
              <w:rPr>
                <w:rFonts w:cs="Arial"/>
              </w:rPr>
            </w:pPr>
            <w:r w:rsidRPr="00E54537">
              <w:rPr>
                <w:rFonts w:cs="Arial"/>
              </w:rPr>
              <w:t>The</w:t>
            </w:r>
            <w:r w:rsidR="0098554C">
              <w:rPr>
                <w:rFonts w:cs="Arial"/>
              </w:rPr>
              <w:t>se</w:t>
            </w:r>
            <w:r w:rsidRPr="00E54537">
              <w:rPr>
                <w:rFonts w:cs="Arial"/>
              </w:rPr>
              <w:t xml:space="preserve"> </w:t>
            </w:r>
            <w:r w:rsidR="0098554C">
              <w:rPr>
                <w:rFonts w:cs="Arial"/>
              </w:rPr>
              <w:t>strategies</w:t>
            </w:r>
            <w:r w:rsidRPr="00E54537">
              <w:rPr>
                <w:rFonts w:cs="Arial"/>
              </w:rPr>
              <w:t xml:space="preserve"> help clients maintain the integrity of their plan design and manage specialty drug spend. </w:t>
            </w:r>
            <w:r w:rsidR="001F344C" w:rsidRPr="00E54537">
              <w:rPr>
                <w:rFonts w:cs="Arial"/>
              </w:rPr>
              <w:t>T</w:t>
            </w:r>
            <w:r w:rsidRPr="00E54537">
              <w:rPr>
                <w:rFonts w:cs="Arial"/>
              </w:rPr>
              <w:t xml:space="preserve">he </w:t>
            </w:r>
            <w:r w:rsidR="00B17153" w:rsidRPr="00E54537">
              <w:rPr>
                <w:rFonts w:cs="Arial"/>
              </w:rPr>
              <w:t>third party</w:t>
            </w:r>
            <w:r w:rsidRPr="00E54537">
              <w:rPr>
                <w:rFonts w:cs="Arial"/>
              </w:rPr>
              <w:t xml:space="preserve">-sponsored copay cards </w:t>
            </w:r>
            <w:r w:rsidR="001F344C" w:rsidRPr="00E54537">
              <w:rPr>
                <w:rFonts w:cs="Arial"/>
              </w:rPr>
              <w:t xml:space="preserve">are </w:t>
            </w:r>
            <w:r w:rsidRPr="00E54537">
              <w:rPr>
                <w:rFonts w:cs="Arial"/>
              </w:rPr>
              <w:t>directed towards the commercially insured members (</w:t>
            </w:r>
            <w:r w:rsidR="00D5215E">
              <w:rPr>
                <w:rFonts w:cs="Arial"/>
              </w:rPr>
              <w:t xml:space="preserve">need-based or </w:t>
            </w:r>
            <w:r w:rsidR="001952DC">
              <w:rPr>
                <w:rFonts w:cs="Arial"/>
              </w:rPr>
              <w:t xml:space="preserve">foundational </w:t>
            </w:r>
            <w:r w:rsidRPr="00E54537">
              <w:rPr>
                <w:rFonts w:cs="Arial"/>
              </w:rPr>
              <w:t>copay cards used with members who have a financial need</w:t>
            </w:r>
            <w:r w:rsidR="00E93042" w:rsidRPr="00E54537">
              <w:rPr>
                <w:rFonts w:cs="Arial"/>
              </w:rPr>
              <w:t xml:space="preserve"> or</w:t>
            </w:r>
            <w:r w:rsidRPr="00E54537">
              <w:rPr>
                <w:rFonts w:cs="Arial"/>
              </w:rPr>
              <w:t xml:space="preserve"> hardship are not included as part of </w:t>
            </w:r>
            <w:r w:rsidR="00D5215E">
              <w:rPr>
                <w:rFonts w:cs="Arial"/>
              </w:rPr>
              <w:t>these</w:t>
            </w:r>
            <w:r w:rsidR="00D5215E" w:rsidRPr="00E54537">
              <w:rPr>
                <w:rFonts w:cs="Arial"/>
              </w:rPr>
              <w:t xml:space="preserve"> </w:t>
            </w:r>
            <w:r w:rsidRPr="00E54537">
              <w:rPr>
                <w:rFonts w:cs="Arial"/>
              </w:rPr>
              <w:t>program</w:t>
            </w:r>
            <w:r w:rsidR="00D5215E">
              <w:rPr>
                <w:rFonts w:cs="Arial"/>
              </w:rPr>
              <w:t>s</w:t>
            </w:r>
            <w:r w:rsidRPr="00E54537">
              <w:rPr>
                <w:rFonts w:cs="Arial"/>
              </w:rPr>
              <w:t>)</w:t>
            </w:r>
            <w:r w:rsidR="004429A7" w:rsidRPr="00E54537">
              <w:rPr>
                <w:rFonts w:cs="Arial"/>
              </w:rPr>
              <w:t xml:space="preserve">. </w:t>
            </w:r>
          </w:p>
          <w:p w14:paraId="39363AEA" w14:textId="77777777" w:rsidR="00B50C7D" w:rsidRPr="00E54537" w:rsidRDefault="00B50C7D" w:rsidP="006F1547">
            <w:pPr>
              <w:spacing w:before="120" w:after="120"/>
              <w:rPr>
                <w:rFonts w:cs="Arial"/>
              </w:rPr>
            </w:pPr>
          </w:p>
          <w:p w14:paraId="707EF43A" w14:textId="77777777" w:rsidR="005917F0" w:rsidRPr="00E54537" w:rsidRDefault="005917F0" w:rsidP="006F1547">
            <w:pPr>
              <w:spacing w:before="120" w:after="120"/>
              <w:rPr>
                <w:rFonts w:cs="Arial"/>
              </w:rPr>
            </w:pPr>
            <w:r w:rsidRPr="00E54537">
              <w:rPr>
                <w:rFonts w:cs="Arial"/>
              </w:rPr>
              <w:t xml:space="preserve">The copay cards directed at the commercially insured are used to reduce or eliminate a plan member’s out-of-pocket cost for specific drugs and to create brand loyalty. </w:t>
            </w:r>
          </w:p>
          <w:p w14:paraId="516C5160" w14:textId="77777777" w:rsidR="005917F0" w:rsidRPr="00E54537" w:rsidRDefault="005917F0" w:rsidP="006F1547">
            <w:pPr>
              <w:spacing w:before="120" w:after="120"/>
              <w:rPr>
                <w:rFonts w:cs="Arial"/>
              </w:rPr>
            </w:pPr>
          </w:p>
          <w:p w14:paraId="55C78C64" w14:textId="3EAFC280" w:rsidR="00F25ECD" w:rsidRPr="00E54537" w:rsidRDefault="005917F0" w:rsidP="006F1547">
            <w:pPr>
              <w:spacing w:before="120" w:after="120"/>
            </w:pPr>
            <w:r w:rsidRPr="00E54537">
              <w:rPr>
                <w:rFonts w:cs="Arial"/>
              </w:rPr>
              <w:t xml:space="preserve">While copay cards may reduce individual members’ immediate cost savings, copay cards affect clients in </w:t>
            </w:r>
            <w:r w:rsidR="00C52FE7" w:rsidRPr="00E54537">
              <w:rPr>
                <w:rFonts w:cs="Arial"/>
              </w:rPr>
              <w:t>several</w:t>
            </w:r>
            <w:r w:rsidRPr="00E54537">
              <w:rPr>
                <w:rFonts w:cs="Arial"/>
              </w:rPr>
              <w:t xml:space="preserve"> ways including</w:t>
            </w:r>
            <w:r w:rsidR="00E54537">
              <w:rPr>
                <w:rFonts w:cs="Arial"/>
              </w:rPr>
              <w:t xml:space="preserve"> </w:t>
            </w:r>
            <w:r w:rsidR="00E97B7D" w:rsidRPr="00E54537">
              <w:rPr>
                <w:rFonts w:cs="Arial"/>
              </w:rPr>
              <w:t>C</w:t>
            </w:r>
            <w:r w:rsidRPr="00E54537">
              <w:rPr>
                <w:rFonts w:cs="Arial"/>
              </w:rPr>
              <w:t>opay Cards circumvent the effectiveness of a tiered benefit design in instances where a member has a pharmacy only or an integrated pharmacy/medical accumulator (includes out-of-pocket and or deductible), the member’s responsibility and engagement is reduced as accumulators are reached using the copay card dollars obtained.</w:t>
            </w:r>
          </w:p>
        </w:tc>
      </w:tr>
      <w:tr w:rsidR="006F1547" w:rsidRPr="005F2B80" w14:paraId="1F7B9E47" w14:textId="77777777" w:rsidTr="00B4154E">
        <w:tc>
          <w:tcPr>
            <w:tcW w:w="1432" w:type="pct"/>
          </w:tcPr>
          <w:p w14:paraId="3675A7DD" w14:textId="77777777" w:rsidR="005917F0" w:rsidRPr="006F1547" w:rsidRDefault="005917F0" w:rsidP="006F1547">
            <w:pPr>
              <w:spacing w:before="120" w:after="120"/>
              <w:rPr>
                <w:b/>
                <w:bCs/>
              </w:rPr>
            </w:pPr>
            <w:r w:rsidRPr="006F1547">
              <w:rPr>
                <w:b/>
                <w:bCs/>
              </w:rPr>
              <w:t>How does this program work?</w:t>
            </w:r>
          </w:p>
          <w:p w14:paraId="5AB58F0B" w14:textId="77777777" w:rsidR="00F86BD4" w:rsidRPr="006F1547" w:rsidRDefault="00F86BD4" w:rsidP="006F1547">
            <w:pPr>
              <w:spacing w:before="120" w:after="120"/>
              <w:rPr>
                <w:b/>
                <w:bCs/>
              </w:rPr>
            </w:pPr>
          </w:p>
        </w:tc>
        <w:tc>
          <w:tcPr>
            <w:tcW w:w="3568" w:type="pct"/>
          </w:tcPr>
          <w:p w14:paraId="0B09664E" w14:textId="01461AE0" w:rsidR="005917F0" w:rsidRPr="005F2B80" w:rsidRDefault="005917F0" w:rsidP="006F1547">
            <w:pPr>
              <w:spacing w:before="120" w:after="120"/>
              <w:rPr>
                <w:rFonts w:cs="Arial"/>
                <w:bCs/>
              </w:rPr>
            </w:pPr>
            <w:r w:rsidRPr="005F2B80">
              <w:rPr>
                <w:rFonts w:cs="Arial"/>
                <w:bCs/>
              </w:rPr>
              <w:t xml:space="preserve">To provide our prescription benefit management (PBM) </w:t>
            </w:r>
            <w:r w:rsidR="0091467F" w:rsidRPr="005F2B80">
              <w:rPr>
                <w:rFonts w:cs="Arial"/>
                <w:bCs/>
              </w:rPr>
              <w:t>clients with</w:t>
            </w:r>
            <w:r w:rsidRPr="005F2B80">
              <w:rPr>
                <w:rFonts w:cs="Arial"/>
                <w:bCs/>
              </w:rPr>
              <w:t xml:space="preserve"> the opportunity to help </w:t>
            </w:r>
            <w:r w:rsidR="001B32F5">
              <w:rPr>
                <w:rFonts w:cs="Arial"/>
                <w:bCs/>
              </w:rPr>
              <w:t>account for the impact of copay card programs</w:t>
            </w:r>
            <w:r w:rsidRPr="005F2B80">
              <w:rPr>
                <w:rFonts w:cs="Arial"/>
                <w:bCs/>
              </w:rPr>
              <w:t xml:space="preserve"> and </w:t>
            </w:r>
            <w:r w:rsidR="001B32F5">
              <w:rPr>
                <w:rFonts w:cs="Arial"/>
                <w:bCs/>
              </w:rPr>
              <w:t>maintain</w:t>
            </w:r>
            <w:r w:rsidR="001B32F5" w:rsidRPr="005F2B80">
              <w:rPr>
                <w:rFonts w:cs="Arial"/>
                <w:bCs/>
              </w:rPr>
              <w:t xml:space="preserve"> </w:t>
            </w:r>
            <w:r w:rsidRPr="005F2B80">
              <w:rPr>
                <w:rFonts w:cs="Arial"/>
                <w:bCs/>
              </w:rPr>
              <w:t xml:space="preserve">plan design integrity, </w:t>
            </w:r>
            <w:r w:rsidR="0067738F">
              <w:rPr>
                <w:rFonts w:cs="Arial"/>
                <w:bCs/>
              </w:rPr>
              <w:t>the PBM</w:t>
            </w:r>
            <w:r w:rsidRPr="005F2B80">
              <w:rPr>
                <w:rFonts w:cs="Arial"/>
                <w:bCs/>
              </w:rPr>
              <w:t xml:space="preserve"> has developed Specialty Copay </w:t>
            </w:r>
            <w:r w:rsidR="001B32F5">
              <w:rPr>
                <w:rFonts w:cs="Arial"/>
                <w:bCs/>
              </w:rPr>
              <w:t>Plan Design Strategies</w:t>
            </w:r>
            <w:r w:rsidRPr="005F2B80">
              <w:rPr>
                <w:rFonts w:cs="Arial"/>
                <w:bCs/>
              </w:rPr>
              <w:t xml:space="preserve">. </w:t>
            </w:r>
            <w:r w:rsidR="00684339">
              <w:rPr>
                <w:rFonts w:cs="Arial"/>
                <w:bCs/>
              </w:rPr>
              <w:t xml:space="preserve"> </w:t>
            </w:r>
            <w:r w:rsidRPr="005F2B80">
              <w:rPr>
                <w:rFonts w:cs="Arial"/>
                <w:bCs/>
              </w:rPr>
              <w:t xml:space="preserve">  </w:t>
            </w:r>
          </w:p>
          <w:p w14:paraId="02A674E4" w14:textId="77777777" w:rsidR="005917F0" w:rsidRPr="005F2B80" w:rsidRDefault="005917F0" w:rsidP="006F1547">
            <w:pPr>
              <w:spacing w:before="120" w:after="120"/>
              <w:ind w:hanging="360"/>
              <w:rPr>
                <w:rFonts w:cs="Arial"/>
                <w:b/>
                <w:bCs/>
              </w:rPr>
            </w:pPr>
            <w:r w:rsidRPr="005F2B80">
              <w:rPr>
                <w:rFonts w:cs="Arial"/>
                <w:bCs/>
              </w:rPr>
              <w:t xml:space="preserve"> </w:t>
            </w:r>
          </w:p>
          <w:p w14:paraId="46DEFBED" w14:textId="12243FFA" w:rsidR="005917F0" w:rsidRPr="005F2B80" w:rsidRDefault="001B32F5" w:rsidP="006F1547">
            <w:pPr>
              <w:numPr>
                <w:ilvl w:val="0"/>
                <w:numId w:val="20"/>
              </w:numPr>
              <w:spacing w:before="120" w:after="120"/>
              <w:ind w:left="420"/>
              <w:rPr>
                <w:rFonts w:cs="Arial"/>
                <w:bCs/>
              </w:rPr>
            </w:pPr>
            <w:r>
              <w:rPr>
                <w:rFonts w:cs="Arial"/>
                <w:b/>
                <w:bCs/>
              </w:rPr>
              <w:t>True Accumulation</w:t>
            </w:r>
            <w:r w:rsidR="005917F0" w:rsidRPr="005F2B80">
              <w:rPr>
                <w:rFonts w:cs="Arial"/>
                <w:b/>
                <w:bCs/>
              </w:rPr>
              <w:t>:</w:t>
            </w:r>
            <w:r w:rsidR="005917F0" w:rsidRPr="005F2B80">
              <w:rPr>
                <w:rFonts w:cs="Arial"/>
                <w:bCs/>
              </w:rPr>
              <w:t xml:space="preserve"> </w:t>
            </w:r>
            <w:r w:rsidR="000073EF">
              <w:rPr>
                <w:rFonts w:cs="Arial"/>
                <w:bCs/>
              </w:rPr>
              <w:t>A</w:t>
            </w:r>
            <w:r w:rsidRPr="001B32F5">
              <w:rPr>
                <w:rFonts w:cs="Arial"/>
                <w:bCs/>
              </w:rPr>
              <w:t>utomated accumulator functionality with CVS Specialty will help ensure only true member cost share is applied towards any accumulator when specialty copay cards are billed. As an example, if a member's benefit design requires a $100 specialty copay and the member uses a manufacturer copay card of $95, the only amount counted towards any accumulator would be the true OOP cost of $5 the member paid.</w:t>
            </w:r>
          </w:p>
          <w:p w14:paraId="73738B04" w14:textId="77777777" w:rsidR="005917F0" w:rsidRPr="005F2B80" w:rsidRDefault="00170566" w:rsidP="006F1547">
            <w:pPr>
              <w:spacing w:before="120" w:after="120"/>
              <w:ind w:left="420"/>
              <w:rPr>
                <w:rFonts w:cs="Arial"/>
                <w:bCs/>
              </w:rPr>
            </w:pPr>
            <w:r>
              <w:rPr>
                <w:rFonts w:cs="Arial"/>
                <w:bCs/>
              </w:rPr>
              <w:t>Compass</w:t>
            </w:r>
            <w:r w:rsidR="005917F0" w:rsidRPr="005F2B80">
              <w:rPr>
                <w:rFonts w:cs="Arial"/>
                <w:bCs/>
              </w:rPr>
              <w:t xml:space="preserve"> have been updated to display any manufacturer discount applied to a claim, along with the Final Deductible amount applied and Final Out of Pocket amount applied</w:t>
            </w:r>
            <w:r w:rsidR="003A071E">
              <w:rPr>
                <w:rFonts w:cs="Arial"/>
                <w:bCs/>
              </w:rPr>
              <w:t>.</w:t>
            </w:r>
          </w:p>
          <w:p w14:paraId="32A91330" w14:textId="77777777" w:rsidR="00DC7FB8" w:rsidRDefault="00DC7FB8" w:rsidP="006F1547">
            <w:pPr>
              <w:spacing w:before="120" w:after="120"/>
              <w:ind w:left="420"/>
              <w:rPr>
                <w:rFonts w:cs="Arial"/>
              </w:rPr>
            </w:pPr>
          </w:p>
          <w:p w14:paraId="1B51E04C" w14:textId="13B72713" w:rsidR="00DC7FB8" w:rsidRPr="00DC7FB8" w:rsidRDefault="001B32F5" w:rsidP="006F1547">
            <w:pPr>
              <w:pStyle w:val="ListParagraph"/>
              <w:numPr>
                <w:ilvl w:val="0"/>
                <w:numId w:val="20"/>
              </w:numPr>
              <w:spacing w:before="120" w:after="120"/>
              <w:ind w:left="420"/>
              <w:rPr>
                <w:rFonts w:cs="Arial"/>
              </w:rPr>
            </w:pPr>
            <w:r>
              <w:rPr>
                <w:rFonts w:ascii="Verdana" w:hAnsi="Verdana" w:cs="Arial"/>
                <w:b/>
                <w:sz w:val="24"/>
              </w:rPr>
              <w:t xml:space="preserve">The </w:t>
            </w:r>
            <w:r w:rsidR="00DC7FB8" w:rsidRPr="00B81CEB">
              <w:rPr>
                <w:rFonts w:ascii="Verdana" w:hAnsi="Verdana" w:cs="Arial"/>
                <w:b/>
                <w:sz w:val="24"/>
              </w:rPr>
              <w:t>PrudentRx</w:t>
            </w:r>
            <w:r>
              <w:rPr>
                <w:rFonts w:ascii="Verdana" w:hAnsi="Verdana" w:cs="Arial"/>
                <w:b/>
                <w:sz w:val="24"/>
              </w:rPr>
              <w:t xml:space="preserve"> solution</w:t>
            </w:r>
            <w:r w:rsidR="00DC7FB8">
              <w:rPr>
                <w:rFonts w:ascii="Verdana" w:hAnsi="Verdana" w:cs="Arial"/>
                <w:b/>
                <w:sz w:val="24"/>
              </w:rPr>
              <w:t xml:space="preserve">: </w:t>
            </w:r>
            <w:r w:rsidRPr="001B32F5">
              <w:rPr>
                <w:rFonts w:ascii="Verdana" w:hAnsi="Verdana" w:cs="Arial"/>
                <w:sz w:val="24"/>
              </w:rPr>
              <w:t>We have chosen to collaborate with our vendor, PrudentRx, exclusively for the program. PrudentRx is integrated with our pharmacy operations to help ensure a seamless member experience. PrudentRx is a sub-contractor of CVS Health included in the Point Solutions Management (PSM) process. PrudentRx was founded by individuals who collectively have more than 30 years of experience in the health care and specialty pharmacy industry. Their expertise in plan design, specialty pharmacy, and copay card programs has allowed them to customize a solution that optimizes savings for both members and plan sponsors exclusively for CVS Health. PrudentRx can help support members requiring specialty medications and exemplifies the CVS Health commitment to both sound business practices and to the communities we serve. They are not a subsidiary of CVS Health</w:t>
            </w:r>
            <w:r w:rsidR="004429A7" w:rsidRPr="001B32F5">
              <w:rPr>
                <w:rFonts w:ascii="Verdana" w:hAnsi="Verdana" w:cs="Arial"/>
                <w:sz w:val="24"/>
              </w:rPr>
              <w:t xml:space="preserve">. </w:t>
            </w:r>
          </w:p>
          <w:p w14:paraId="2F167E81" w14:textId="77777777" w:rsidR="007D1D29" w:rsidRDefault="007D1D29" w:rsidP="006F1547">
            <w:pPr>
              <w:spacing w:before="120" w:after="120"/>
              <w:ind w:left="420"/>
              <w:rPr>
                <w:rFonts w:cs="Arial"/>
              </w:rPr>
            </w:pPr>
          </w:p>
          <w:p w14:paraId="0CFFEBDD" w14:textId="77777777" w:rsidR="003A6ABF" w:rsidRDefault="003A6ABF" w:rsidP="006F1547">
            <w:pPr>
              <w:spacing w:before="120" w:after="120"/>
              <w:ind w:left="481"/>
              <w:rPr>
                <w:rFonts w:cs="Arial"/>
              </w:rPr>
            </w:pPr>
            <w:r>
              <w:rPr>
                <w:rFonts w:cs="Arial"/>
              </w:rPr>
              <w:t xml:space="preserve">The PrudentRx solution is an innovative plan design that requires all specialty medications in a covered class on a client’s Specialty Drug List, as well as select high-cost specialty limited distribution drugs (LDDs), regardless of manufacturer assistance availability to process with a 30% coinsurance. </w:t>
            </w:r>
          </w:p>
          <w:p w14:paraId="51083E52" w14:textId="77777777" w:rsidR="003A6ABF" w:rsidRPr="00F92C3B" w:rsidRDefault="003A6ABF" w:rsidP="006F1547">
            <w:pPr>
              <w:spacing w:before="120" w:after="120"/>
              <w:ind w:left="481"/>
              <w:rPr>
                <w:rFonts w:ascii="Arial" w:hAnsi="Arial" w:cs="Arial"/>
                <w:color w:val="000000"/>
              </w:rPr>
            </w:pPr>
          </w:p>
          <w:p w14:paraId="444BC31B" w14:textId="77777777" w:rsidR="003A6ABF" w:rsidRPr="00D47FA8" w:rsidRDefault="003A6ABF" w:rsidP="006F1547">
            <w:pPr>
              <w:autoSpaceDE w:val="0"/>
              <w:autoSpaceDN w:val="0"/>
              <w:adjustRightInd w:val="0"/>
              <w:spacing w:before="120" w:after="120"/>
              <w:ind w:left="481"/>
              <w:rPr>
                <w:rFonts w:cs="Arial"/>
                <w:color w:val="000000"/>
              </w:rPr>
            </w:pPr>
            <w:r w:rsidRPr="00D47FA8">
              <w:rPr>
                <w:rFonts w:cs="Arial"/>
                <w:color w:val="000000"/>
              </w:rPr>
              <w:t>Enrollment in the PrudentRx solution is an easy two-step process</w:t>
            </w:r>
            <w:r>
              <w:rPr>
                <w:rFonts w:cs="Arial"/>
                <w:color w:val="000000"/>
              </w:rPr>
              <w:t>:</w:t>
            </w:r>
            <w:r w:rsidRPr="00D47FA8">
              <w:rPr>
                <w:rFonts w:cs="Arial"/>
                <w:color w:val="000000"/>
              </w:rPr>
              <w:t xml:space="preserve"> </w:t>
            </w:r>
          </w:p>
          <w:p w14:paraId="2988AB31" w14:textId="77777777" w:rsidR="003A6ABF" w:rsidRDefault="003A6ABF" w:rsidP="006F1547">
            <w:pPr>
              <w:autoSpaceDE w:val="0"/>
              <w:autoSpaceDN w:val="0"/>
              <w:adjustRightInd w:val="0"/>
              <w:spacing w:before="120" w:after="120"/>
              <w:ind w:left="1021"/>
              <w:rPr>
                <w:rFonts w:cs="Arial"/>
                <w:b/>
                <w:bCs/>
                <w:color w:val="000000"/>
              </w:rPr>
            </w:pPr>
          </w:p>
          <w:p w14:paraId="7B1C3C1B" w14:textId="77777777" w:rsidR="003A6ABF" w:rsidRPr="005328E5" w:rsidRDefault="003A6ABF" w:rsidP="006F1547">
            <w:pPr>
              <w:pStyle w:val="ListParagraph"/>
              <w:numPr>
                <w:ilvl w:val="0"/>
                <w:numId w:val="45"/>
              </w:numPr>
              <w:autoSpaceDE w:val="0"/>
              <w:autoSpaceDN w:val="0"/>
              <w:adjustRightInd w:val="0"/>
              <w:spacing w:before="120" w:after="120"/>
              <w:rPr>
                <w:rFonts w:ascii="Verdana" w:hAnsi="Verdana" w:cs="Arial"/>
                <w:color w:val="000000"/>
                <w:sz w:val="24"/>
                <w:szCs w:val="24"/>
              </w:rPr>
            </w:pPr>
            <w:r w:rsidRPr="005328E5">
              <w:rPr>
                <w:rFonts w:ascii="Verdana" w:hAnsi="Verdana" w:cs="Arial"/>
                <w:color w:val="000000"/>
                <w:sz w:val="24"/>
                <w:szCs w:val="24"/>
              </w:rPr>
              <w:t xml:space="preserve">The first step of the enrollment process is complete, and the member information is on file with PrudentRx. </w:t>
            </w:r>
          </w:p>
          <w:p w14:paraId="053AD8B0" w14:textId="587B7518" w:rsidR="003A6ABF" w:rsidRPr="005328E5" w:rsidRDefault="005328E5" w:rsidP="006F1547">
            <w:pPr>
              <w:autoSpaceDE w:val="0"/>
              <w:autoSpaceDN w:val="0"/>
              <w:adjustRightInd w:val="0"/>
              <w:spacing w:before="120" w:after="120"/>
              <w:ind w:left="1021"/>
              <w:rPr>
                <w:rFonts w:cs="Arial"/>
                <w:color w:val="000000"/>
              </w:rPr>
            </w:pPr>
            <w:r w:rsidRPr="005328E5">
              <w:rPr>
                <w:rFonts w:cs="Arial"/>
                <w:b/>
                <w:bCs/>
                <w:color w:val="000000"/>
              </w:rPr>
              <w:t>2.</w:t>
            </w:r>
            <w:r w:rsidR="003A6ABF" w:rsidRPr="005328E5">
              <w:rPr>
                <w:rFonts w:cs="Arial"/>
                <w:b/>
                <w:bCs/>
                <w:color w:val="000000"/>
              </w:rPr>
              <w:t xml:space="preserve"> </w:t>
            </w:r>
            <w:r w:rsidR="003A6ABF" w:rsidRPr="005328E5">
              <w:rPr>
                <w:rFonts w:cs="Arial"/>
                <w:color w:val="000000"/>
              </w:rPr>
              <w:t>The member need</w:t>
            </w:r>
            <w:r w:rsidR="006B0003">
              <w:rPr>
                <w:rFonts w:cs="Arial"/>
                <w:color w:val="000000"/>
              </w:rPr>
              <w:t>s</w:t>
            </w:r>
            <w:r w:rsidR="003A6ABF" w:rsidRPr="005328E5">
              <w:rPr>
                <w:rFonts w:cs="Arial"/>
                <w:color w:val="000000"/>
              </w:rPr>
              <w:t xml:space="preserve"> to </w:t>
            </w:r>
            <w:r w:rsidR="003A6ABF" w:rsidRPr="005328E5">
              <w:rPr>
                <w:rFonts w:cs="Arial"/>
                <w:b/>
                <w:bCs/>
                <w:color w:val="000000"/>
              </w:rPr>
              <w:t xml:space="preserve">call PrudentRx at </w:t>
            </w:r>
            <w:r w:rsidR="00C41862">
              <w:rPr>
                <w:rFonts w:cs="Arial"/>
                <w:b/>
                <w:bCs/>
                <w:color w:val="000000"/>
              </w:rPr>
              <w:t>1-800-578-4403</w:t>
            </w:r>
            <w:r w:rsidR="003A6ABF" w:rsidRPr="005328E5">
              <w:rPr>
                <w:rFonts w:cs="Arial"/>
                <w:b/>
                <w:bCs/>
                <w:color w:val="000000"/>
              </w:rPr>
              <w:t xml:space="preserve"> </w:t>
            </w:r>
            <w:r w:rsidR="003A6ABF" w:rsidRPr="005328E5">
              <w:rPr>
                <w:rFonts w:cs="Arial"/>
                <w:color w:val="000000"/>
              </w:rPr>
              <w:t xml:space="preserve">within the first </w:t>
            </w:r>
            <w:r w:rsidR="00F24566" w:rsidRPr="005328E5">
              <w:rPr>
                <w:rFonts w:cs="Arial"/>
                <w:color w:val="000000"/>
              </w:rPr>
              <w:t>5 days</w:t>
            </w:r>
            <w:r w:rsidR="003A6ABF" w:rsidRPr="005328E5">
              <w:rPr>
                <w:rFonts w:cs="Arial"/>
                <w:color w:val="000000"/>
              </w:rPr>
              <w:t xml:space="preserve"> after receiving the letter to register for any copay assistance available from drug manufacturers</w:t>
            </w:r>
            <w:r w:rsidR="00F24566">
              <w:rPr>
                <w:rFonts w:cs="Arial"/>
                <w:color w:val="000000"/>
              </w:rPr>
              <w:t>.</w:t>
            </w:r>
            <w:r w:rsidR="003A6ABF" w:rsidRPr="005328E5">
              <w:rPr>
                <w:rFonts w:cs="Arial"/>
                <w:color w:val="000000"/>
              </w:rPr>
              <w:t xml:space="preserve"> </w:t>
            </w:r>
          </w:p>
          <w:p w14:paraId="3D979B99" w14:textId="77777777" w:rsidR="003A6ABF" w:rsidRDefault="003A6ABF" w:rsidP="006F1547">
            <w:pPr>
              <w:spacing w:before="120" w:after="120"/>
              <w:ind w:left="481"/>
              <w:rPr>
                <w:rFonts w:cs="Arial"/>
                <w:color w:val="000000"/>
              </w:rPr>
            </w:pPr>
          </w:p>
          <w:p w14:paraId="7C39173E" w14:textId="77777777" w:rsidR="006B0003" w:rsidRPr="006B0003" w:rsidRDefault="003A6ABF" w:rsidP="006F1547">
            <w:pPr>
              <w:spacing w:before="120" w:after="120"/>
              <w:ind w:left="420"/>
              <w:rPr>
                <w:rFonts w:cs="Arial"/>
                <w:b/>
                <w:bCs/>
                <w:color w:val="000000"/>
              </w:rPr>
            </w:pPr>
            <w:r w:rsidRPr="006B0003">
              <w:rPr>
                <w:rFonts w:cs="Arial"/>
                <w:b/>
                <w:bCs/>
                <w:color w:val="FF0000"/>
              </w:rPr>
              <w:t>It is essential for the member to speak with a PrudentRx Member Advocate to complete step two and become fully enrolled to avoid being opted out of the program.</w:t>
            </w:r>
            <w:r w:rsidRPr="006B0003">
              <w:rPr>
                <w:rFonts w:cs="Arial"/>
                <w:b/>
                <w:bCs/>
                <w:color w:val="000000"/>
              </w:rPr>
              <w:t xml:space="preserve"> </w:t>
            </w:r>
          </w:p>
          <w:p w14:paraId="353D9D7C" w14:textId="77777777" w:rsidR="006B0003" w:rsidRDefault="006B0003" w:rsidP="006F1547">
            <w:pPr>
              <w:spacing w:before="120" w:after="120"/>
              <w:ind w:left="420"/>
              <w:rPr>
                <w:rFonts w:cs="Arial"/>
                <w:color w:val="000000"/>
              </w:rPr>
            </w:pPr>
          </w:p>
          <w:p w14:paraId="078358B2" w14:textId="782A25A9" w:rsidR="00C61414" w:rsidRDefault="00300956" w:rsidP="006F1547">
            <w:pPr>
              <w:spacing w:before="120" w:after="120"/>
              <w:ind w:left="420"/>
              <w:rPr>
                <w:rFonts w:cs="Arial"/>
                <w:color w:val="000000"/>
              </w:rPr>
            </w:pPr>
            <w:r w:rsidRPr="00300956">
              <w:rPr>
                <w:rFonts w:cs="Arial"/>
                <w:color w:val="000000"/>
              </w:rPr>
              <w:t>Any information regarding enrollment in or registration by PrudentRx should be directed to PrudentRx at 1-800-578-4403.</w:t>
            </w:r>
          </w:p>
          <w:p w14:paraId="38E0989A" w14:textId="77777777" w:rsidR="00300956" w:rsidRDefault="00300956" w:rsidP="006F1547">
            <w:pPr>
              <w:spacing w:before="120" w:after="120"/>
              <w:ind w:left="420"/>
              <w:rPr>
                <w:rFonts w:cs="Arial"/>
                <w:color w:val="000000"/>
              </w:rPr>
            </w:pPr>
          </w:p>
          <w:p w14:paraId="17CF708C" w14:textId="6709AE4B" w:rsidR="00DC7FB8" w:rsidRDefault="003A6ABF" w:rsidP="006F1547">
            <w:pPr>
              <w:spacing w:before="120" w:after="120"/>
              <w:ind w:left="420"/>
              <w:rPr>
                <w:rFonts w:cs="Arial"/>
              </w:rPr>
            </w:pPr>
            <w:r w:rsidRPr="00D47FA8">
              <w:rPr>
                <w:rFonts w:cs="Arial"/>
                <w:color w:val="000000"/>
              </w:rPr>
              <w:t xml:space="preserve">Even if the member currently has a copay card or takes a medication that does not have a copay card available, they will still need to speak with a PrudentRx Member Advocate. A PrudentRx Member Advocate will also attempt to reach the member by phone to confirm </w:t>
            </w:r>
            <w:r>
              <w:rPr>
                <w:rFonts w:cs="Arial"/>
                <w:color w:val="000000"/>
              </w:rPr>
              <w:t>their</w:t>
            </w:r>
            <w:r w:rsidRPr="00D47FA8">
              <w:rPr>
                <w:rFonts w:cs="Arial"/>
                <w:color w:val="000000"/>
              </w:rPr>
              <w:t xml:space="preserve"> enrollment</w:t>
            </w:r>
            <w:r w:rsidR="004429A7">
              <w:rPr>
                <w:rFonts w:cs="Arial"/>
              </w:rPr>
              <w:t xml:space="preserve">. </w:t>
            </w:r>
          </w:p>
          <w:p w14:paraId="0C1D5DD0" w14:textId="77777777" w:rsidR="00CD416C" w:rsidRDefault="00CD416C" w:rsidP="006F1547">
            <w:pPr>
              <w:spacing w:before="120" w:after="120"/>
              <w:ind w:left="420"/>
              <w:rPr>
                <w:rFonts w:cs="Arial"/>
              </w:rPr>
            </w:pPr>
          </w:p>
          <w:p w14:paraId="5DA4BBD1" w14:textId="77777777" w:rsidR="005917F0" w:rsidRDefault="00DC7FB8" w:rsidP="006F1547">
            <w:pPr>
              <w:spacing w:before="120" w:after="120"/>
              <w:ind w:left="420"/>
              <w:rPr>
                <w:rFonts w:cs="Arial"/>
              </w:rPr>
            </w:pPr>
            <w:r w:rsidRPr="00DC7FB8">
              <w:rPr>
                <w:rFonts w:cs="Arial"/>
              </w:rPr>
              <w:t xml:space="preserve">As an example of the </w:t>
            </w:r>
            <w:r w:rsidR="006E3C6F">
              <w:rPr>
                <w:rFonts w:cs="Arial"/>
              </w:rPr>
              <w:t>PrudentRx</w:t>
            </w:r>
            <w:r w:rsidRPr="00DC7FB8">
              <w:rPr>
                <w:rFonts w:cs="Arial"/>
              </w:rPr>
              <w:t xml:space="preserve"> Plan Design, if a member’s </w:t>
            </w:r>
            <w:r w:rsidR="006E3C6F">
              <w:rPr>
                <w:rFonts w:cs="Arial"/>
              </w:rPr>
              <w:t xml:space="preserve">30% coinsurance results in a $750 member cost share, the member enrolls in PrudentRx and </w:t>
            </w:r>
            <w:r w:rsidRPr="00DC7FB8">
              <w:rPr>
                <w:rFonts w:cs="Arial"/>
              </w:rPr>
              <w:t>a manufacturer copay card of $</w:t>
            </w:r>
            <w:r w:rsidR="006E3C6F">
              <w:rPr>
                <w:rFonts w:cs="Arial"/>
              </w:rPr>
              <w:t>695</w:t>
            </w:r>
            <w:r w:rsidRPr="00DC7FB8">
              <w:rPr>
                <w:rFonts w:cs="Arial"/>
              </w:rPr>
              <w:t xml:space="preserve"> is offered,</w:t>
            </w:r>
            <w:r w:rsidR="006E3C6F">
              <w:rPr>
                <w:rFonts w:cs="Arial"/>
              </w:rPr>
              <w:t xml:space="preserve"> </w:t>
            </w:r>
            <w:r w:rsidRPr="00DC7FB8">
              <w:rPr>
                <w:rFonts w:cs="Arial"/>
              </w:rPr>
              <w:t>CVS Specialty bill</w:t>
            </w:r>
            <w:r w:rsidR="00D60058">
              <w:rPr>
                <w:rFonts w:cs="Arial"/>
              </w:rPr>
              <w:t>s</w:t>
            </w:r>
            <w:r w:rsidRPr="00DC7FB8">
              <w:rPr>
                <w:rFonts w:cs="Arial"/>
              </w:rPr>
              <w:t xml:space="preserve"> the available copay assistance program for the $</w:t>
            </w:r>
            <w:r w:rsidR="006E3C6F">
              <w:rPr>
                <w:rFonts w:cs="Arial"/>
              </w:rPr>
              <w:t>695 and the remaining $</w:t>
            </w:r>
            <w:r w:rsidR="009A6333">
              <w:rPr>
                <w:rFonts w:cs="Arial"/>
              </w:rPr>
              <w:t>5</w:t>
            </w:r>
            <w:r w:rsidR="006E3C6F">
              <w:rPr>
                <w:rFonts w:cs="Arial"/>
              </w:rPr>
              <w:t xml:space="preserve">5 will be billed as COB to the plan; resulting in the </w:t>
            </w:r>
            <w:r w:rsidR="001B32F5">
              <w:rPr>
                <w:rFonts w:cs="Arial"/>
              </w:rPr>
              <w:t xml:space="preserve">participating </w:t>
            </w:r>
            <w:r w:rsidR="006E3C6F">
              <w:rPr>
                <w:rFonts w:cs="Arial"/>
              </w:rPr>
              <w:t>member paying $0 out of pocket</w:t>
            </w:r>
            <w:r w:rsidR="001B32F5">
              <w:rPr>
                <w:rFonts w:cs="Arial"/>
              </w:rPr>
              <w:t xml:space="preserve"> cost</w:t>
            </w:r>
            <w:r w:rsidRPr="00DC7FB8">
              <w:rPr>
                <w:rFonts w:cs="Arial"/>
              </w:rPr>
              <w:t>.</w:t>
            </w:r>
            <w:r w:rsidR="001B32F5">
              <w:rPr>
                <w:rFonts w:cs="Arial"/>
              </w:rPr>
              <w:t>*</w:t>
            </w:r>
          </w:p>
          <w:p w14:paraId="13C6372A" w14:textId="77777777" w:rsidR="001B32F5" w:rsidRDefault="001B32F5" w:rsidP="006F1547">
            <w:pPr>
              <w:spacing w:before="120" w:after="120"/>
              <w:ind w:left="420"/>
            </w:pPr>
          </w:p>
          <w:p w14:paraId="2C9D0954" w14:textId="79704EBB" w:rsidR="001B32F5" w:rsidRPr="005F2B80" w:rsidRDefault="001B32F5" w:rsidP="006F1547">
            <w:pPr>
              <w:spacing w:before="120" w:after="120"/>
            </w:pPr>
            <w:r w:rsidRPr="001B32F5">
              <w:t>*</w:t>
            </w:r>
            <w:bookmarkStart w:id="22" w:name="OLE_LINK7"/>
            <w:bookmarkStart w:id="23" w:name="OLE_LINK8"/>
            <w:r w:rsidR="00CC4535" w:rsidRPr="00D47FA8">
              <w:t>For clients that implement the PrudentRx solution on a high-deductible health plan (HDHP) with a health savings account (HSA), participating members must fully satisfy their deductible before they are eligible for a $0 OOP cost</w:t>
            </w:r>
            <w:r w:rsidR="00CC4535">
              <w:t xml:space="preserve"> under the program</w:t>
            </w:r>
            <w:r w:rsidR="00CC4535" w:rsidRPr="00D47FA8">
              <w:t xml:space="preserve">, unless the member has been prescribed a medication that qualifies as “preventive care” under the Internal Revenue Code (IRC), which is administered and enforced by the Internal Revenue Service (IRS). </w:t>
            </w:r>
            <w:r w:rsidR="00CC4535" w:rsidRPr="00D47FA8">
              <w:rPr>
                <w:b/>
                <w:bCs/>
              </w:rPr>
              <w:t>Members may still utilize available manufacturer copay assistance while in their deductible phase</w:t>
            </w:r>
            <w:r w:rsidR="00CC4535" w:rsidRPr="00D47FA8">
              <w:t xml:space="preserve"> but must satisfy their deductible before the </w:t>
            </w:r>
            <w:r w:rsidR="00CC4535" w:rsidRPr="00D47FA8">
              <w:rPr>
                <w:b/>
                <w:bCs/>
              </w:rPr>
              <w:t>Plan</w:t>
            </w:r>
            <w:r w:rsidR="00CC4535" w:rsidRPr="00D47FA8">
              <w:t xml:space="preserve"> is able to pick up any of the costs on the members’ behalf</w:t>
            </w:r>
            <w:bookmarkEnd w:id="22"/>
            <w:bookmarkEnd w:id="23"/>
            <w:r w:rsidR="00CD416C">
              <w:t>.</w:t>
            </w:r>
          </w:p>
        </w:tc>
      </w:tr>
      <w:tr w:rsidR="006F1547" w:rsidRPr="005F2B80" w14:paraId="1FE32F12" w14:textId="77777777" w:rsidTr="00B4154E">
        <w:tc>
          <w:tcPr>
            <w:tcW w:w="1432" w:type="pct"/>
          </w:tcPr>
          <w:p w14:paraId="6473DD90" w14:textId="77777777" w:rsidR="005917F0" w:rsidRPr="006F1547" w:rsidRDefault="005917F0" w:rsidP="006F1547">
            <w:pPr>
              <w:spacing w:before="120" w:after="120"/>
              <w:rPr>
                <w:b/>
                <w:bCs/>
              </w:rPr>
            </w:pPr>
            <w:r w:rsidRPr="006F1547">
              <w:rPr>
                <w:b/>
                <w:bCs/>
              </w:rPr>
              <w:t>What is a manufacturer sponsored copay card?</w:t>
            </w:r>
          </w:p>
          <w:p w14:paraId="4C07BA00" w14:textId="77777777" w:rsidR="00F86BD4" w:rsidRPr="006F1547" w:rsidRDefault="00F86BD4" w:rsidP="006F1547">
            <w:pPr>
              <w:spacing w:before="120" w:after="120"/>
              <w:rPr>
                <w:b/>
                <w:bCs/>
              </w:rPr>
            </w:pPr>
          </w:p>
        </w:tc>
        <w:tc>
          <w:tcPr>
            <w:tcW w:w="3568" w:type="pct"/>
          </w:tcPr>
          <w:p w14:paraId="01A7DD58" w14:textId="6EA2F2CA" w:rsidR="00F25ECD" w:rsidRPr="005F2B80" w:rsidRDefault="005917F0" w:rsidP="006F1547">
            <w:pPr>
              <w:spacing w:before="120" w:after="120"/>
            </w:pPr>
            <w:r w:rsidRPr="005F2B80">
              <w:rPr>
                <w:rFonts w:cs="Arial"/>
                <w:bCs/>
              </w:rPr>
              <w:t xml:space="preserve">A </w:t>
            </w:r>
            <w:r w:rsidR="0008261B" w:rsidRPr="005F2B80">
              <w:rPr>
                <w:rFonts w:cs="Arial"/>
                <w:bCs/>
              </w:rPr>
              <w:t>third party</w:t>
            </w:r>
            <w:r w:rsidR="0008261B">
              <w:rPr>
                <w:rFonts w:cs="Arial"/>
                <w:bCs/>
              </w:rPr>
              <w:t xml:space="preserve"> </w:t>
            </w:r>
            <w:r w:rsidRPr="005F2B80">
              <w:rPr>
                <w:rFonts w:cs="Arial"/>
                <w:bCs/>
              </w:rPr>
              <w:t>sponsored copay card</w:t>
            </w:r>
            <w:r w:rsidR="00916884">
              <w:rPr>
                <w:rFonts w:cs="Arial"/>
                <w:bCs/>
              </w:rPr>
              <w:t xml:space="preserve"> or manufacturer assistance program</w:t>
            </w:r>
            <w:r w:rsidRPr="005F2B80">
              <w:rPr>
                <w:rFonts w:cs="Arial"/>
                <w:bCs/>
              </w:rPr>
              <w:t xml:space="preserve"> (</w:t>
            </w:r>
            <w:r w:rsidR="003A071E" w:rsidRPr="0079666F">
              <w:rPr>
                <w:rFonts w:cs="Arial"/>
                <w:b/>
                <w:bCs/>
              </w:rPr>
              <w:t>Example:</w:t>
            </w:r>
            <w:r w:rsidR="003A071E">
              <w:rPr>
                <w:rFonts w:cs="Arial"/>
                <w:bCs/>
              </w:rPr>
              <w:t xml:space="preserve">  C</w:t>
            </w:r>
            <w:r w:rsidRPr="005F2B80">
              <w:rPr>
                <w:rFonts w:cs="Arial"/>
                <w:bCs/>
              </w:rPr>
              <w:t xml:space="preserve">opay card) is a direct-to-consumer incentive manufacturers offer to promote brand loyalty and the use of brand-name pharmaceutical products. The copay cards can also be used to lower </w:t>
            </w:r>
            <w:r w:rsidR="00A67B9D" w:rsidRPr="005F2B80">
              <w:rPr>
                <w:rFonts w:cs="Arial"/>
                <w:bCs/>
              </w:rPr>
              <w:t>O</w:t>
            </w:r>
            <w:r w:rsidRPr="005F2B80">
              <w:rPr>
                <w:rFonts w:cs="Arial"/>
                <w:bCs/>
              </w:rPr>
              <w:t>ut-o</w:t>
            </w:r>
            <w:r w:rsidR="002D25A7" w:rsidRPr="005F2B80">
              <w:rPr>
                <w:rFonts w:cs="Arial"/>
                <w:bCs/>
              </w:rPr>
              <w:t>f</w:t>
            </w:r>
            <w:r w:rsidRPr="005F2B80">
              <w:rPr>
                <w:rFonts w:cs="Arial"/>
                <w:bCs/>
              </w:rPr>
              <w:t>-</w:t>
            </w:r>
            <w:r w:rsidR="00516EDE" w:rsidRPr="005F2B80">
              <w:rPr>
                <w:rFonts w:cs="Arial"/>
                <w:bCs/>
              </w:rPr>
              <w:t>P</w:t>
            </w:r>
            <w:r w:rsidRPr="005F2B80">
              <w:rPr>
                <w:rFonts w:cs="Arial"/>
                <w:bCs/>
              </w:rPr>
              <w:t>ocket costs for eligible patients</w:t>
            </w:r>
            <w:r w:rsidR="006F1547">
              <w:t>.</w:t>
            </w:r>
          </w:p>
        </w:tc>
      </w:tr>
      <w:tr w:rsidR="006F1547" w:rsidRPr="005F2B80" w14:paraId="7E811C01" w14:textId="77777777" w:rsidTr="00B4154E">
        <w:tc>
          <w:tcPr>
            <w:tcW w:w="1432" w:type="pct"/>
          </w:tcPr>
          <w:p w14:paraId="69917E8F" w14:textId="77777777" w:rsidR="005917F0" w:rsidRPr="006F1547" w:rsidRDefault="005917F0" w:rsidP="006F1547">
            <w:pPr>
              <w:spacing w:before="120" w:after="120"/>
              <w:rPr>
                <w:b/>
                <w:bCs/>
              </w:rPr>
            </w:pPr>
            <w:r w:rsidRPr="006F1547">
              <w:rPr>
                <w:b/>
                <w:bCs/>
              </w:rPr>
              <w:t>Are there different types of copay cards?</w:t>
            </w:r>
          </w:p>
          <w:p w14:paraId="0DB1220F" w14:textId="77777777" w:rsidR="00F86BD4" w:rsidRPr="006F1547" w:rsidRDefault="00F86BD4" w:rsidP="006F1547">
            <w:pPr>
              <w:spacing w:before="120" w:after="120"/>
              <w:rPr>
                <w:b/>
                <w:bCs/>
              </w:rPr>
            </w:pPr>
          </w:p>
        </w:tc>
        <w:tc>
          <w:tcPr>
            <w:tcW w:w="3568" w:type="pct"/>
          </w:tcPr>
          <w:p w14:paraId="0E21F5F8" w14:textId="77777777" w:rsidR="005917F0" w:rsidRDefault="005917F0" w:rsidP="006F1547">
            <w:pPr>
              <w:spacing w:before="120" w:after="120"/>
              <w:rPr>
                <w:rFonts w:cs="Arial"/>
              </w:rPr>
            </w:pPr>
            <w:r w:rsidRPr="005F2B80">
              <w:rPr>
                <w:rFonts w:cs="Arial"/>
              </w:rPr>
              <w:t>Yes. There are generally two types of copay card</w:t>
            </w:r>
            <w:r w:rsidR="00916884">
              <w:rPr>
                <w:rFonts w:cs="Arial"/>
              </w:rPr>
              <w:t xml:space="preserve">/manufacturer assistance </w:t>
            </w:r>
            <w:r w:rsidRPr="005F2B80">
              <w:rPr>
                <w:rFonts w:cs="Arial"/>
              </w:rPr>
              <w:t>programs offered.</w:t>
            </w:r>
          </w:p>
          <w:p w14:paraId="47E5DA73" w14:textId="77777777" w:rsidR="00CD416C" w:rsidRDefault="00CD416C" w:rsidP="006F1547">
            <w:pPr>
              <w:spacing w:before="120" w:after="120"/>
              <w:rPr>
                <w:rFonts w:cs="Arial"/>
              </w:rPr>
            </w:pPr>
          </w:p>
          <w:p w14:paraId="57FA3FD3" w14:textId="3400F5AC" w:rsidR="00F25ECD" w:rsidRPr="00E54537" w:rsidRDefault="005917F0" w:rsidP="006F1547">
            <w:pPr>
              <w:pStyle w:val="ListParagraph"/>
              <w:numPr>
                <w:ilvl w:val="0"/>
                <w:numId w:val="21"/>
              </w:numPr>
              <w:spacing w:before="120" w:after="120"/>
              <w:ind w:left="420"/>
              <w:rPr>
                <w:rFonts w:ascii="Verdana" w:hAnsi="Verdana" w:cs="Arial"/>
                <w:sz w:val="24"/>
                <w:szCs w:val="24"/>
              </w:rPr>
            </w:pPr>
            <w:r w:rsidRPr="00E54537">
              <w:rPr>
                <w:rFonts w:ascii="Verdana" w:hAnsi="Verdana" w:cs="Arial"/>
                <w:b/>
                <w:sz w:val="24"/>
                <w:szCs w:val="24"/>
              </w:rPr>
              <w:t>Non-needs based</w:t>
            </w:r>
            <w:r w:rsidRPr="002814B4">
              <w:rPr>
                <w:rFonts w:ascii="Verdana" w:hAnsi="Verdana" w:cs="Arial"/>
                <w:b/>
                <w:bCs/>
                <w:sz w:val="24"/>
                <w:szCs w:val="24"/>
              </w:rPr>
              <w:t>:</w:t>
            </w:r>
            <w:r w:rsidRPr="00E54537">
              <w:rPr>
                <w:rFonts w:ascii="Verdana" w:hAnsi="Verdana" w:cs="Arial"/>
                <w:sz w:val="24"/>
                <w:szCs w:val="24"/>
              </w:rPr>
              <w:t xml:space="preserve"> </w:t>
            </w:r>
            <w:r w:rsidR="00684339">
              <w:rPr>
                <w:rFonts w:ascii="Verdana" w:hAnsi="Verdana" w:cs="Arial"/>
                <w:sz w:val="24"/>
                <w:szCs w:val="24"/>
              </w:rPr>
              <w:t xml:space="preserve"> </w:t>
            </w:r>
            <w:r w:rsidRPr="00E54537">
              <w:rPr>
                <w:rFonts w:ascii="Verdana" w:hAnsi="Verdana" w:cs="Arial"/>
                <w:sz w:val="24"/>
                <w:szCs w:val="24"/>
              </w:rPr>
              <w:t xml:space="preserve">The first type of copay card is offered to the </w:t>
            </w:r>
            <w:r w:rsidR="00B17153" w:rsidRPr="00E54537">
              <w:rPr>
                <w:rFonts w:ascii="Verdana" w:hAnsi="Verdana" w:cs="Arial"/>
                <w:sz w:val="24"/>
                <w:szCs w:val="24"/>
              </w:rPr>
              <w:t>commercially insured</w:t>
            </w:r>
            <w:r w:rsidRPr="00E54537">
              <w:rPr>
                <w:rFonts w:ascii="Verdana" w:hAnsi="Verdana" w:cs="Arial"/>
                <w:sz w:val="24"/>
                <w:szCs w:val="24"/>
              </w:rPr>
              <w:t xml:space="preserve"> population</w:t>
            </w:r>
            <w:r w:rsidR="004429A7" w:rsidRPr="00E54537">
              <w:rPr>
                <w:rFonts w:ascii="Verdana" w:hAnsi="Verdana" w:cs="Arial"/>
                <w:sz w:val="24"/>
                <w:szCs w:val="24"/>
              </w:rPr>
              <w:t xml:space="preserve">. </w:t>
            </w:r>
            <w:r w:rsidRPr="00E54537">
              <w:rPr>
                <w:rFonts w:ascii="Verdana" w:hAnsi="Verdana" w:cs="Arial"/>
                <w:sz w:val="24"/>
                <w:szCs w:val="24"/>
              </w:rPr>
              <w:t>These copay cards may be used regardless of a patient’s financial status and do not require any form of eligibility or qualification to obtain assistance</w:t>
            </w:r>
            <w:r w:rsidR="004429A7" w:rsidRPr="00E54537">
              <w:rPr>
                <w:rFonts w:ascii="Verdana" w:hAnsi="Verdana" w:cs="Arial"/>
                <w:sz w:val="24"/>
                <w:szCs w:val="24"/>
              </w:rPr>
              <w:t xml:space="preserve">. </w:t>
            </w:r>
          </w:p>
          <w:p w14:paraId="366F5785" w14:textId="23DD95A3" w:rsidR="005917F0" w:rsidRPr="00F25ECD" w:rsidRDefault="005917F0" w:rsidP="006F1547">
            <w:pPr>
              <w:pStyle w:val="ListParagraph"/>
              <w:numPr>
                <w:ilvl w:val="0"/>
                <w:numId w:val="21"/>
              </w:numPr>
              <w:spacing w:before="120" w:after="120"/>
              <w:ind w:left="420"/>
              <w:rPr>
                <w:rFonts w:ascii="Verdana" w:hAnsi="Verdana"/>
                <w:sz w:val="24"/>
                <w:szCs w:val="24"/>
              </w:rPr>
            </w:pPr>
            <w:r w:rsidRPr="00F25ECD">
              <w:rPr>
                <w:rFonts w:ascii="Verdana" w:hAnsi="Verdana"/>
                <w:b/>
                <w:sz w:val="24"/>
                <w:szCs w:val="24"/>
              </w:rPr>
              <w:t>N</w:t>
            </w:r>
            <w:r w:rsidR="003A071E" w:rsidRPr="00F25ECD">
              <w:rPr>
                <w:rFonts w:ascii="Verdana" w:hAnsi="Verdana"/>
                <w:b/>
                <w:sz w:val="24"/>
                <w:szCs w:val="24"/>
              </w:rPr>
              <w:t>eeds-b</w:t>
            </w:r>
            <w:r w:rsidRPr="00F25ECD">
              <w:rPr>
                <w:rFonts w:ascii="Verdana" w:hAnsi="Verdana"/>
                <w:b/>
                <w:sz w:val="24"/>
                <w:szCs w:val="24"/>
              </w:rPr>
              <w:t>ased/Patient assistance Program:</w:t>
            </w:r>
            <w:r w:rsidRPr="00F25ECD">
              <w:rPr>
                <w:rFonts w:ascii="Verdana" w:hAnsi="Verdana"/>
                <w:sz w:val="24"/>
                <w:szCs w:val="24"/>
              </w:rPr>
              <w:t xml:space="preserve">  The second type of copay card is offered is a copay assistance program offered by a manufacturer sponsor or independent non-profit to help patients who meet specific financial eligibility criteria. These patients may be uninsured, </w:t>
            </w:r>
            <w:r w:rsidR="004429A7" w:rsidRPr="00F25ECD">
              <w:rPr>
                <w:rFonts w:ascii="Verdana" w:hAnsi="Verdana"/>
                <w:sz w:val="24"/>
                <w:szCs w:val="24"/>
              </w:rPr>
              <w:t>underinsured,</w:t>
            </w:r>
            <w:r w:rsidRPr="00F25ECD">
              <w:rPr>
                <w:rFonts w:ascii="Verdana" w:hAnsi="Verdana"/>
                <w:sz w:val="24"/>
                <w:szCs w:val="24"/>
              </w:rPr>
              <w:t xml:space="preserve"> or may have been denied coverage by their commercial plans.</w:t>
            </w:r>
          </w:p>
          <w:p w14:paraId="687D694C" w14:textId="77777777" w:rsidR="00F25ECD" w:rsidRDefault="00F25ECD" w:rsidP="006F1547">
            <w:pPr>
              <w:pStyle w:val="ListParagraph"/>
              <w:spacing w:before="120" w:after="120"/>
            </w:pPr>
          </w:p>
          <w:p w14:paraId="07E1DA51" w14:textId="06C25301" w:rsidR="00640922" w:rsidRPr="005F2B80" w:rsidRDefault="00640922" w:rsidP="006F1547">
            <w:pPr>
              <w:spacing w:before="120" w:after="120"/>
            </w:pPr>
            <w:r>
              <w:rPr>
                <w:b/>
                <w:bCs/>
              </w:rPr>
              <w:t>Only non-need-based copay cards/manufacturer assistance programs are included in our Specialty Copay Plan Design Strategies.</w:t>
            </w:r>
          </w:p>
        </w:tc>
      </w:tr>
      <w:tr w:rsidR="006F1547" w:rsidRPr="005F2B80" w14:paraId="131E7546" w14:textId="77777777" w:rsidTr="00B4154E">
        <w:tc>
          <w:tcPr>
            <w:tcW w:w="1432" w:type="pct"/>
          </w:tcPr>
          <w:p w14:paraId="3A1C569D" w14:textId="77777777" w:rsidR="00E93042" w:rsidRPr="006F1547" w:rsidRDefault="003C3FFF" w:rsidP="006F1547">
            <w:pPr>
              <w:spacing w:before="120" w:after="120"/>
              <w:rPr>
                <w:b/>
                <w:bCs/>
              </w:rPr>
            </w:pPr>
            <w:r w:rsidRPr="006F1547">
              <w:rPr>
                <w:b/>
                <w:bCs/>
              </w:rPr>
              <w:t>Where would I find definitions for terms in this document?</w:t>
            </w:r>
          </w:p>
          <w:p w14:paraId="6C338F70" w14:textId="77777777" w:rsidR="00F25ECD" w:rsidRPr="006F1547" w:rsidRDefault="00F25ECD" w:rsidP="006F1547">
            <w:pPr>
              <w:spacing w:before="120" w:after="120"/>
              <w:rPr>
                <w:b/>
                <w:bCs/>
              </w:rPr>
            </w:pPr>
          </w:p>
        </w:tc>
        <w:tc>
          <w:tcPr>
            <w:tcW w:w="3568" w:type="pct"/>
          </w:tcPr>
          <w:p w14:paraId="1112A3B1" w14:textId="4795B741" w:rsidR="003C3FFF" w:rsidRPr="005F2B80" w:rsidRDefault="00F24566" w:rsidP="006F1547">
            <w:pPr>
              <w:spacing w:before="120" w:after="120"/>
            </w:pPr>
            <w:r>
              <w:t xml:space="preserve">Refer to </w:t>
            </w:r>
            <w:hyperlink r:id="rId19" w:anchor="!/view?docid=c1f1028b-e42c-4b4f-a4cf-cc0b42c91606" w:history="1">
              <w:r w:rsidR="00803657">
                <w:rPr>
                  <w:rStyle w:val="Hyperlink"/>
                </w:rPr>
                <w:t>Customer Care Abbreviations</w:t>
              </w:r>
              <w:r w:rsidR="00AA1A16">
                <w:rPr>
                  <w:rStyle w:val="Hyperlink"/>
                </w:rPr>
                <w:t>,</w:t>
              </w:r>
              <w:r w:rsidR="00803657">
                <w:rPr>
                  <w:rStyle w:val="Hyperlink"/>
                </w:rPr>
                <w:t xml:space="preserve"> Definitions</w:t>
              </w:r>
              <w:r w:rsidR="00AA1A16">
                <w:rPr>
                  <w:rStyle w:val="Hyperlink"/>
                </w:rPr>
                <w:t>,</w:t>
              </w:r>
              <w:r w:rsidR="00803657">
                <w:rPr>
                  <w:rStyle w:val="Hyperlink"/>
                </w:rPr>
                <w:t xml:space="preserve"> and Terms Index (017428)</w:t>
              </w:r>
            </w:hyperlink>
            <w:r w:rsidR="003A071E">
              <w:t>.</w:t>
            </w:r>
          </w:p>
        </w:tc>
      </w:tr>
      <w:tr w:rsidR="006F1547" w:rsidRPr="005F2B80" w14:paraId="2DA0EC4E" w14:textId="77777777" w:rsidTr="00B4154E">
        <w:tc>
          <w:tcPr>
            <w:tcW w:w="1432" w:type="pct"/>
          </w:tcPr>
          <w:p w14:paraId="1285CC35" w14:textId="77777777" w:rsidR="00F9328A" w:rsidRPr="006F1547" w:rsidRDefault="00F9328A" w:rsidP="006F1547">
            <w:pPr>
              <w:spacing w:before="120" w:after="120"/>
              <w:rPr>
                <w:b/>
                <w:bCs/>
              </w:rPr>
            </w:pPr>
            <w:r w:rsidRPr="006F1547">
              <w:rPr>
                <w:b/>
                <w:bCs/>
              </w:rPr>
              <w:t>How do clients sign up for the program?</w:t>
            </w:r>
          </w:p>
        </w:tc>
        <w:tc>
          <w:tcPr>
            <w:tcW w:w="3568" w:type="pct"/>
          </w:tcPr>
          <w:p w14:paraId="0BC8B3A8" w14:textId="08725A98" w:rsidR="00E93042" w:rsidRPr="005F2B80" w:rsidRDefault="007B54A5" w:rsidP="006F1547">
            <w:pPr>
              <w:spacing w:before="120" w:after="120"/>
            </w:pPr>
            <w:r w:rsidRPr="005F2B80">
              <w:t xml:space="preserve">Clients work with their </w:t>
            </w:r>
            <w:r w:rsidR="00C3204A" w:rsidRPr="005F2B80">
              <w:t>S</w:t>
            </w:r>
            <w:r w:rsidRPr="005F2B80">
              <w:t>ales/</w:t>
            </w:r>
            <w:r w:rsidR="00C3204A" w:rsidRPr="005F2B80">
              <w:t>A</w:t>
            </w:r>
            <w:r w:rsidRPr="005F2B80">
              <w:t xml:space="preserve">ccount </w:t>
            </w:r>
            <w:r w:rsidR="00C3204A" w:rsidRPr="005F2B80">
              <w:t>E</w:t>
            </w:r>
            <w:r w:rsidRPr="005F2B80">
              <w:t xml:space="preserve">xecutive contact </w:t>
            </w:r>
            <w:r w:rsidR="0008261B" w:rsidRPr="005F2B80">
              <w:t>to</w:t>
            </w:r>
            <w:r w:rsidRPr="005F2B80">
              <w:t xml:space="preserve"> enroll in the program.</w:t>
            </w:r>
          </w:p>
        </w:tc>
      </w:tr>
      <w:tr w:rsidR="006F1547" w:rsidRPr="005F2B80" w14:paraId="005D4DD5" w14:textId="77777777" w:rsidTr="00B4154E">
        <w:tc>
          <w:tcPr>
            <w:tcW w:w="1432" w:type="pct"/>
          </w:tcPr>
          <w:p w14:paraId="11962FA0" w14:textId="77777777" w:rsidR="00F9328A" w:rsidRPr="006F1547" w:rsidRDefault="00F9328A" w:rsidP="006F1547">
            <w:pPr>
              <w:spacing w:before="120" w:after="120"/>
              <w:rPr>
                <w:b/>
                <w:bCs/>
              </w:rPr>
            </w:pPr>
            <w:r w:rsidRPr="006F1547">
              <w:rPr>
                <w:b/>
                <w:bCs/>
              </w:rPr>
              <w:t>When viewing the CIF, what indicates the client is participating in this program?</w:t>
            </w:r>
          </w:p>
        </w:tc>
        <w:tc>
          <w:tcPr>
            <w:tcW w:w="3568" w:type="pct"/>
          </w:tcPr>
          <w:p w14:paraId="49ADC4F2" w14:textId="260A2AE6" w:rsidR="00E54537" w:rsidRDefault="007B54A5" w:rsidP="006F1547">
            <w:pPr>
              <w:spacing w:before="120" w:after="120"/>
            </w:pPr>
            <w:r w:rsidRPr="005F2B80">
              <w:t>Adjusted deductible/</w:t>
            </w:r>
            <w:r w:rsidR="00C3204A" w:rsidRPr="005F2B80">
              <w:t>M</w:t>
            </w:r>
            <w:r w:rsidRPr="005F2B80">
              <w:t xml:space="preserve">aximum </w:t>
            </w:r>
            <w:r w:rsidR="00C3204A" w:rsidRPr="005F2B80">
              <w:t>O</w:t>
            </w:r>
            <w:r w:rsidRPr="005F2B80">
              <w:t xml:space="preserve">ut of </w:t>
            </w:r>
            <w:r w:rsidR="00C3204A" w:rsidRPr="005F2B80">
              <w:t>P</w:t>
            </w:r>
            <w:r w:rsidRPr="005F2B80">
              <w:t>ocket</w:t>
            </w:r>
            <w:r w:rsidR="00C3204A" w:rsidRPr="005F2B80">
              <w:t xml:space="preserve"> (MOOP)</w:t>
            </w:r>
            <w:r w:rsidRPr="005F2B80">
              <w:t xml:space="preserve"> details </w:t>
            </w:r>
            <w:r w:rsidR="00D60058">
              <w:t>are</w:t>
            </w:r>
            <w:r w:rsidRPr="005F2B80">
              <w:t xml:space="preserve"> visible within the manufacturer offset section of </w:t>
            </w:r>
            <w:r w:rsidR="000D013B">
              <w:t>Compass.</w:t>
            </w:r>
          </w:p>
          <w:p w14:paraId="2A695E1E" w14:textId="77777777" w:rsidR="00F25ECD" w:rsidRDefault="00F25ECD" w:rsidP="006F1547">
            <w:pPr>
              <w:spacing w:before="120" w:after="120"/>
              <w:rPr>
                <w:b/>
              </w:rPr>
            </w:pPr>
          </w:p>
          <w:p w14:paraId="3B427A5E" w14:textId="55A405DD" w:rsidR="00F25ECD" w:rsidRPr="005F2B80" w:rsidRDefault="00E97B7D" w:rsidP="006F1547">
            <w:pPr>
              <w:spacing w:before="120" w:after="120"/>
            </w:pPr>
            <w:r w:rsidRPr="005F2B80">
              <w:rPr>
                <w:b/>
              </w:rPr>
              <w:t>Note:</w:t>
            </w:r>
            <w:r w:rsidRPr="005F2B80">
              <w:t xml:space="preserve"> </w:t>
            </w:r>
            <w:r w:rsidR="00B35AFC" w:rsidRPr="005F2B80">
              <w:t xml:space="preserve">The </w:t>
            </w:r>
            <w:r w:rsidR="00A67B9D" w:rsidRPr="005F2B80">
              <w:t xml:space="preserve">CIF </w:t>
            </w:r>
            <w:r w:rsidR="00D60058">
              <w:t>is</w:t>
            </w:r>
            <w:r w:rsidR="00A67B9D" w:rsidRPr="005F2B80">
              <w:t xml:space="preserve"> updated individually within the Plan Design Highlights section under the SpecialtyRX section advising the client participates</w:t>
            </w:r>
            <w:r w:rsidR="00BE406E">
              <w:t xml:space="preserve"> and the </w:t>
            </w:r>
            <w:r w:rsidR="00BE406E" w:rsidRPr="00BE406E">
              <w:t>CVS Specialty Copay Card program applies</w:t>
            </w:r>
            <w:r w:rsidR="00A67B9D" w:rsidRPr="005F2B80">
              <w:t>.</w:t>
            </w:r>
          </w:p>
        </w:tc>
      </w:tr>
      <w:tr w:rsidR="006F1547" w:rsidRPr="005F2B80" w14:paraId="741391D6" w14:textId="77777777" w:rsidTr="00B4154E">
        <w:tc>
          <w:tcPr>
            <w:tcW w:w="1432" w:type="pct"/>
          </w:tcPr>
          <w:p w14:paraId="167F8427" w14:textId="77777777" w:rsidR="00F9328A" w:rsidRPr="006F1547" w:rsidRDefault="00F9328A" w:rsidP="006F1547">
            <w:pPr>
              <w:spacing w:before="120" w:after="120"/>
              <w:rPr>
                <w:b/>
                <w:bCs/>
              </w:rPr>
            </w:pPr>
            <w:r w:rsidRPr="006F1547">
              <w:rPr>
                <w:b/>
                <w:bCs/>
              </w:rPr>
              <w:t>How do the members of the client participate?</w:t>
            </w:r>
          </w:p>
        </w:tc>
        <w:tc>
          <w:tcPr>
            <w:tcW w:w="3568" w:type="pct"/>
          </w:tcPr>
          <w:p w14:paraId="7C2DBBF1" w14:textId="1081D38B" w:rsidR="00E93042" w:rsidRDefault="00AA35A6" w:rsidP="006F1547">
            <w:pPr>
              <w:spacing w:before="120" w:after="120"/>
            </w:pPr>
            <w:r w:rsidRPr="002814B4">
              <w:rPr>
                <w:b/>
                <w:bCs/>
              </w:rPr>
              <w:t>For</w:t>
            </w:r>
            <w:r>
              <w:t xml:space="preserve"> </w:t>
            </w:r>
            <w:r>
              <w:rPr>
                <w:b/>
                <w:bCs/>
              </w:rPr>
              <w:t>True Accumulation:</w:t>
            </w:r>
            <w:r w:rsidR="002814B4">
              <w:rPr>
                <w:b/>
                <w:bCs/>
              </w:rPr>
              <w:t xml:space="preserve"> </w:t>
            </w:r>
            <w:r w:rsidR="007B54A5" w:rsidRPr="005F2B80">
              <w:t>Once a client is enrolled, the accumulator automatically track</w:t>
            </w:r>
            <w:r w:rsidR="00E97B7D" w:rsidRPr="005F2B80">
              <w:t>s</w:t>
            </w:r>
            <w:r w:rsidR="007B54A5" w:rsidRPr="005F2B80">
              <w:t xml:space="preserve"> the true member </w:t>
            </w:r>
            <w:r w:rsidR="006E3C6F">
              <w:t xml:space="preserve">DED and </w:t>
            </w:r>
            <w:r w:rsidR="007B54A5" w:rsidRPr="005F2B80">
              <w:t>out-of-pocket</w:t>
            </w:r>
            <w:r w:rsidR="006E3C6F">
              <w:t xml:space="preserve"> costs</w:t>
            </w:r>
            <w:r w:rsidR="007B54A5" w:rsidRPr="005F2B80">
              <w:t>.</w:t>
            </w:r>
            <w:r>
              <w:t xml:space="preserve"> Members do not have the choice to participate or not participate, but they can choose to utilize or not utilize available manufacturer assistance/copay card at the pharmacy. </w:t>
            </w:r>
          </w:p>
          <w:p w14:paraId="019014C6" w14:textId="77777777" w:rsidR="001A655C" w:rsidRDefault="001A655C" w:rsidP="006F1547">
            <w:pPr>
              <w:spacing w:before="120" w:after="120"/>
            </w:pPr>
          </w:p>
          <w:p w14:paraId="0F79AC1A" w14:textId="5F9D3052" w:rsidR="009F3410" w:rsidRPr="00C36892" w:rsidRDefault="001A655C" w:rsidP="006F1547">
            <w:pPr>
              <w:spacing w:before="120" w:after="120"/>
            </w:pPr>
            <w:r w:rsidRPr="002814B4">
              <w:rPr>
                <w:b/>
                <w:bCs/>
              </w:rPr>
              <w:t>For t</w:t>
            </w:r>
            <w:r>
              <w:rPr>
                <w:b/>
                <w:bCs/>
              </w:rPr>
              <w:t>he PrudentRx solution:</w:t>
            </w:r>
            <w:r w:rsidR="002814B4">
              <w:rPr>
                <w:b/>
                <w:bCs/>
              </w:rPr>
              <w:t xml:space="preserve"> </w:t>
            </w:r>
            <w:r w:rsidR="009F3410" w:rsidRPr="00C36892">
              <w:t xml:space="preserve">Enrollment in the PrudentRx solution is an easy two-step process: </w:t>
            </w:r>
          </w:p>
          <w:p w14:paraId="49CC0F74" w14:textId="77777777" w:rsidR="009F3410" w:rsidRPr="00C36892" w:rsidRDefault="009F3410" w:rsidP="006F1547">
            <w:pPr>
              <w:spacing w:before="120" w:after="120"/>
            </w:pPr>
          </w:p>
          <w:p w14:paraId="3479A859" w14:textId="77777777" w:rsidR="009F3410" w:rsidRPr="00C87B9A" w:rsidRDefault="007F5EEE" w:rsidP="006F1547">
            <w:pPr>
              <w:spacing w:before="120" w:after="120"/>
              <w:ind w:left="720"/>
            </w:pPr>
            <w:r w:rsidRPr="00C87B9A">
              <w:t>1.</w:t>
            </w:r>
            <w:r w:rsidR="00C87B9A" w:rsidRPr="00C87B9A">
              <w:t xml:space="preserve"> </w:t>
            </w:r>
            <w:r w:rsidR="009F3410" w:rsidRPr="00C87B9A">
              <w:t xml:space="preserve">The first step of the enrollment process is complete, and the member information is on file with PrudentRx. </w:t>
            </w:r>
          </w:p>
          <w:p w14:paraId="3A3C4057" w14:textId="31CE26E4" w:rsidR="009F3410" w:rsidRPr="00C87B9A" w:rsidRDefault="007F5EEE" w:rsidP="006F1547">
            <w:pPr>
              <w:spacing w:before="120" w:after="120"/>
              <w:ind w:left="720"/>
            </w:pPr>
            <w:r w:rsidRPr="00C87B9A">
              <w:t xml:space="preserve">2. </w:t>
            </w:r>
            <w:r w:rsidR="00C87B9A" w:rsidRPr="00C87B9A">
              <w:t xml:space="preserve"> </w:t>
            </w:r>
            <w:r w:rsidR="009F3410" w:rsidRPr="00C87B9A">
              <w:t xml:space="preserve">The member will need to call PrudentRx at </w:t>
            </w:r>
            <w:r w:rsidR="00682487">
              <w:t>1-800-578-4403</w:t>
            </w:r>
            <w:r w:rsidR="009F3410" w:rsidRPr="00C87B9A">
              <w:t xml:space="preserve"> within the first </w:t>
            </w:r>
            <w:r w:rsidR="00F24566" w:rsidRPr="00C87B9A">
              <w:t>5 days</w:t>
            </w:r>
            <w:r w:rsidR="009F3410" w:rsidRPr="00C87B9A">
              <w:t xml:space="preserve"> after receiving the letter to register for any copay assistance available from drug manufacturers </w:t>
            </w:r>
          </w:p>
          <w:p w14:paraId="347D1390" w14:textId="77777777" w:rsidR="009F3410" w:rsidRPr="00C36892" w:rsidRDefault="009F3410" w:rsidP="006F1547">
            <w:pPr>
              <w:spacing w:before="120" w:after="120"/>
            </w:pPr>
          </w:p>
          <w:p w14:paraId="2A9449F7" w14:textId="77777777" w:rsidR="00F25ECD" w:rsidRDefault="009F3410" w:rsidP="006F1547">
            <w:pPr>
              <w:spacing w:before="120" w:after="120"/>
            </w:pPr>
            <w:r w:rsidRPr="00C36892">
              <w:t>It is essential for the member to speak with a PrudentRx Member Advocate to complete step two and become fully enrolled to avoid being opted out of the program. Even if the member currently has a copay card or takes a medication that does not have a copay card available, they will still need to speak with a PrudentRx Member Advocate. A PrudentRx Member Advocate will also attempt to reach the member by phone to confirm their enrollment.</w:t>
            </w:r>
          </w:p>
          <w:p w14:paraId="47A52E8E" w14:textId="77777777" w:rsidR="00300956" w:rsidRDefault="00300956" w:rsidP="006F1547">
            <w:pPr>
              <w:spacing w:before="120" w:after="120"/>
            </w:pPr>
          </w:p>
          <w:p w14:paraId="48FEDA90" w14:textId="262FD4E2" w:rsidR="00300956" w:rsidRPr="005F2B80" w:rsidRDefault="00300956" w:rsidP="00F24566">
            <w:pPr>
              <w:spacing w:before="120" w:after="120"/>
            </w:pPr>
            <w:r w:rsidRPr="00300956">
              <w:t>Any information regarding enrollment in or registration by PrudentRx should be directed to PrudentRx at 1-800-578-4403.</w:t>
            </w:r>
          </w:p>
        </w:tc>
      </w:tr>
      <w:tr w:rsidR="006F1547" w:rsidRPr="005F2B80" w14:paraId="7DAC01EC" w14:textId="77777777" w:rsidTr="00B4154E">
        <w:tc>
          <w:tcPr>
            <w:tcW w:w="1432" w:type="pct"/>
          </w:tcPr>
          <w:p w14:paraId="700A1573" w14:textId="61A08F62" w:rsidR="00AD4CAD" w:rsidRPr="006F1547" w:rsidRDefault="00F9328A" w:rsidP="00F24566">
            <w:pPr>
              <w:spacing w:before="120" w:after="120"/>
              <w:rPr>
                <w:b/>
                <w:bCs/>
              </w:rPr>
            </w:pPr>
            <w:r w:rsidRPr="006F1547">
              <w:rPr>
                <w:b/>
                <w:bCs/>
              </w:rPr>
              <w:t xml:space="preserve">Will </w:t>
            </w:r>
            <w:r w:rsidR="00B17153" w:rsidRPr="006F1547">
              <w:rPr>
                <w:b/>
                <w:bCs/>
              </w:rPr>
              <w:t>all</w:t>
            </w:r>
            <w:r w:rsidRPr="006F1547">
              <w:rPr>
                <w:b/>
                <w:bCs/>
              </w:rPr>
              <w:t xml:space="preserve"> the members for the participating client be enrolled?</w:t>
            </w:r>
          </w:p>
        </w:tc>
        <w:tc>
          <w:tcPr>
            <w:tcW w:w="3568" w:type="pct"/>
          </w:tcPr>
          <w:p w14:paraId="066F7A1B" w14:textId="36E869A6" w:rsidR="004F42EC" w:rsidRPr="005F2B80" w:rsidRDefault="004F42EC" w:rsidP="006F1547">
            <w:pPr>
              <w:spacing w:before="120" w:after="120"/>
            </w:pPr>
            <w:r>
              <w:t>Many clients may choose to implement either program at a Carrier level, but some may choose to do so only for specific Plans (Accounts and/or Groups</w:t>
            </w:r>
            <w:r w:rsidR="00D06D0C">
              <w:t>)</w:t>
            </w:r>
            <w:r w:rsidR="00D06D0C" w:rsidRPr="005F2B80">
              <w:t>.</w:t>
            </w:r>
          </w:p>
        </w:tc>
      </w:tr>
      <w:tr w:rsidR="006F1547" w:rsidRPr="005F2B80" w14:paraId="39DCBD8B" w14:textId="77777777" w:rsidTr="00B4154E">
        <w:tc>
          <w:tcPr>
            <w:tcW w:w="1432" w:type="pct"/>
          </w:tcPr>
          <w:p w14:paraId="4AD2A9B4" w14:textId="77777777" w:rsidR="00F86BD4" w:rsidRPr="006F1547" w:rsidRDefault="005917F0" w:rsidP="006F1547">
            <w:pPr>
              <w:spacing w:before="120" w:after="120"/>
              <w:rPr>
                <w:b/>
                <w:bCs/>
              </w:rPr>
            </w:pPr>
            <w:r w:rsidRPr="006F1547">
              <w:rPr>
                <w:b/>
                <w:bCs/>
              </w:rPr>
              <w:t>How do members typically enroll in a copay card program?</w:t>
            </w:r>
          </w:p>
        </w:tc>
        <w:tc>
          <w:tcPr>
            <w:tcW w:w="3568" w:type="pct"/>
          </w:tcPr>
          <w:p w14:paraId="4370373F" w14:textId="77777777" w:rsidR="00F25ECD" w:rsidRDefault="00B17153" w:rsidP="006F1547">
            <w:pPr>
              <w:spacing w:before="120" w:after="120"/>
            </w:pPr>
            <w:r w:rsidRPr="005F2B80">
              <w:rPr>
                <w:rFonts w:cs="Arial"/>
              </w:rPr>
              <w:t>The</w:t>
            </w:r>
            <w:r w:rsidR="005917F0" w:rsidRPr="005F2B80">
              <w:rPr>
                <w:rFonts w:cs="Arial"/>
              </w:rPr>
              <w:t xml:space="preserve"> member must enroll directly with the copay card program. While the CVS Specialty Pharmacy assist</w:t>
            </w:r>
            <w:r w:rsidR="00D60058">
              <w:rPr>
                <w:rFonts w:cs="Arial"/>
              </w:rPr>
              <w:t>s</w:t>
            </w:r>
            <w:r w:rsidR="005917F0" w:rsidRPr="005F2B80">
              <w:rPr>
                <w:rFonts w:cs="Arial"/>
              </w:rPr>
              <w:t xml:space="preserve"> members with </w:t>
            </w:r>
            <w:r w:rsidR="0038193C" w:rsidRPr="005F2B80">
              <w:rPr>
                <w:rFonts w:cs="Arial"/>
              </w:rPr>
              <w:t>enrollment</w:t>
            </w:r>
            <w:r w:rsidR="005917F0" w:rsidRPr="005F2B80">
              <w:rPr>
                <w:rFonts w:cs="Arial"/>
              </w:rPr>
              <w:t xml:space="preserve">, the enrollment process can vary by copay </w:t>
            </w:r>
            <w:r w:rsidRPr="005F2B80">
              <w:rPr>
                <w:rFonts w:cs="Arial"/>
              </w:rPr>
              <w:t>card,</w:t>
            </w:r>
            <w:r w:rsidR="005917F0" w:rsidRPr="005F2B80">
              <w:rPr>
                <w:rFonts w:cs="Arial"/>
              </w:rPr>
              <w:t xml:space="preserve"> but members can often enroll online</w:t>
            </w:r>
            <w:r w:rsidR="003A071E">
              <w:rPr>
                <w:rFonts w:cs="Arial"/>
              </w:rPr>
              <w:t>.</w:t>
            </w:r>
            <w:r w:rsidR="00E54537" w:rsidRPr="005F2B80">
              <w:t xml:space="preserve"> </w:t>
            </w:r>
            <w:r w:rsidR="004F42EC">
              <w:t>If the plan includes the PrudentRx solution, a PrudentRx Member Advocate will assist members in enrolling in available manufacturer assistance for their PRx-eligible medication and will ensure th</w:t>
            </w:r>
            <w:r w:rsidR="009778A8">
              <w:t xml:space="preserve">at information is on file with the pharmacy. </w:t>
            </w:r>
          </w:p>
          <w:p w14:paraId="089C2C23" w14:textId="77777777" w:rsidR="00B6462B" w:rsidRDefault="00B6462B" w:rsidP="006F1547">
            <w:pPr>
              <w:spacing w:before="120" w:after="120"/>
            </w:pPr>
          </w:p>
          <w:p w14:paraId="3F1C4054" w14:textId="7A792D38" w:rsidR="00B6462B" w:rsidRPr="005F2B80" w:rsidRDefault="00B6462B" w:rsidP="00F24566">
            <w:pPr>
              <w:spacing w:before="120" w:after="120"/>
            </w:pPr>
            <w:r w:rsidRPr="00B6462B">
              <w:t>Any information regarding enrollment in or registration by PrudentRx should be directed to PrudentRx at 1-800-578-4403.</w:t>
            </w:r>
          </w:p>
        </w:tc>
      </w:tr>
      <w:tr w:rsidR="006F1547" w:rsidRPr="005F2B80" w14:paraId="77E8F6EE" w14:textId="77777777" w:rsidTr="00B4154E">
        <w:tc>
          <w:tcPr>
            <w:tcW w:w="1432" w:type="pct"/>
          </w:tcPr>
          <w:p w14:paraId="5D9C0014" w14:textId="590147EE" w:rsidR="00F25ECD" w:rsidRPr="006F1547" w:rsidRDefault="00A14541" w:rsidP="00F24566">
            <w:pPr>
              <w:spacing w:before="120" w:after="120"/>
              <w:rPr>
                <w:b/>
                <w:bCs/>
              </w:rPr>
            </w:pPr>
            <w:r w:rsidRPr="006F1547">
              <w:rPr>
                <w:b/>
                <w:bCs/>
              </w:rPr>
              <w:t>Are there special qualifications</w:t>
            </w:r>
            <w:r w:rsidR="00F9328A" w:rsidRPr="006F1547">
              <w:rPr>
                <w:b/>
                <w:bCs/>
              </w:rPr>
              <w:t xml:space="preserve"> for each member to participate within the client group</w:t>
            </w:r>
            <w:r w:rsidR="009778A8" w:rsidRPr="006F1547">
              <w:rPr>
                <w:b/>
                <w:bCs/>
              </w:rPr>
              <w:t xml:space="preserve"> for True Accumulation</w:t>
            </w:r>
            <w:r w:rsidR="00F9328A" w:rsidRPr="006F1547">
              <w:rPr>
                <w:b/>
                <w:bCs/>
              </w:rPr>
              <w:t>?</w:t>
            </w:r>
          </w:p>
        </w:tc>
        <w:tc>
          <w:tcPr>
            <w:tcW w:w="3568" w:type="pct"/>
          </w:tcPr>
          <w:p w14:paraId="44BBE910" w14:textId="77777777" w:rsidR="00F9328A" w:rsidRPr="005F2B80" w:rsidRDefault="007B54A5" w:rsidP="006F1547">
            <w:pPr>
              <w:spacing w:before="120" w:after="120"/>
            </w:pPr>
            <w:r w:rsidRPr="005F2B80">
              <w:t>No</w:t>
            </w:r>
            <w:r w:rsidR="003A071E">
              <w:t>.</w:t>
            </w:r>
          </w:p>
        </w:tc>
      </w:tr>
      <w:tr w:rsidR="006F1547" w:rsidRPr="005F2B80" w14:paraId="77B045DA" w14:textId="77777777" w:rsidTr="00B4154E">
        <w:trPr>
          <w:trHeight w:val="413"/>
        </w:trPr>
        <w:tc>
          <w:tcPr>
            <w:tcW w:w="1432" w:type="pct"/>
          </w:tcPr>
          <w:p w14:paraId="63354C77" w14:textId="0BCDCC30" w:rsidR="00F25ECD" w:rsidRPr="006F1547" w:rsidRDefault="005917F0" w:rsidP="00F24566">
            <w:pPr>
              <w:spacing w:before="120" w:after="120"/>
              <w:rPr>
                <w:b/>
                <w:bCs/>
              </w:rPr>
            </w:pPr>
            <w:r w:rsidRPr="006F1547">
              <w:rPr>
                <w:b/>
                <w:bCs/>
              </w:rPr>
              <w:t>Can members using a Medicare Part D or Medicaid Plan use a copay card?</w:t>
            </w:r>
          </w:p>
        </w:tc>
        <w:tc>
          <w:tcPr>
            <w:tcW w:w="3568" w:type="pct"/>
          </w:tcPr>
          <w:p w14:paraId="0EC35C15" w14:textId="77777777" w:rsidR="005917F0" w:rsidRPr="005F2B80" w:rsidRDefault="005917F0" w:rsidP="006F1547">
            <w:pPr>
              <w:spacing w:before="120" w:after="120"/>
            </w:pPr>
            <w:r w:rsidRPr="005F2B80">
              <w:rPr>
                <w:rFonts w:cs="Arial"/>
              </w:rPr>
              <w:t>No. Federal law prohibits Medicare Part D, Medicaid beneficiaries and certain other federally funded plans from using these incentives.</w:t>
            </w:r>
          </w:p>
        </w:tc>
      </w:tr>
      <w:tr w:rsidR="006F1547" w:rsidRPr="005F2B80" w14:paraId="7E37179C" w14:textId="77777777" w:rsidTr="00B4154E">
        <w:trPr>
          <w:trHeight w:val="413"/>
        </w:trPr>
        <w:tc>
          <w:tcPr>
            <w:tcW w:w="1432" w:type="pct"/>
          </w:tcPr>
          <w:p w14:paraId="4074AD30" w14:textId="77777777" w:rsidR="00443F62" w:rsidRPr="006F1547" w:rsidRDefault="00443F62" w:rsidP="006F1547">
            <w:pPr>
              <w:spacing w:before="120" w:after="120"/>
              <w:rPr>
                <w:rFonts w:cs="Arial"/>
                <w:b/>
                <w:bCs/>
              </w:rPr>
            </w:pPr>
            <w:r w:rsidRPr="006F1547">
              <w:rPr>
                <w:rFonts w:cs="Arial"/>
                <w:b/>
                <w:bCs/>
              </w:rPr>
              <w:t xml:space="preserve">How can you tell if a member’s plan sponsor has enrolled in the </w:t>
            </w:r>
            <w:r w:rsidR="00FC6DD8" w:rsidRPr="006F1547">
              <w:rPr>
                <w:rFonts w:cs="Arial"/>
                <w:b/>
                <w:bCs/>
              </w:rPr>
              <w:t>True Accumulation</w:t>
            </w:r>
            <w:r w:rsidRPr="006F1547">
              <w:rPr>
                <w:rFonts w:cs="Arial"/>
                <w:b/>
                <w:bCs/>
              </w:rPr>
              <w:t xml:space="preserve"> program?</w:t>
            </w:r>
          </w:p>
          <w:p w14:paraId="5724E0FB" w14:textId="77777777" w:rsidR="00443F62" w:rsidRPr="006F1547" w:rsidRDefault="00443F62" w:rsidP="006F1547">
            <w:pPr>
              <w:spacing w:before="120" w:after="120"/>
              <w:rPr>
                <w:b/>
                <w:bCs/>
              </w:rPr>
            </w:pPr>
          </w:p>
        </w:tc>
        <w:tc>
          <w:tcPr>
            <w:tcW w:w="3568" w:type="pct"/>
          </w:tcPr>
          <w:p w14:paraId="3CD7CF28" w14:textId="77777777" w:rsidR="006E3C6F" w:rsidRDefault="006E3C6F" w:rsidP="006F1547">
            <w:pPr>
              <w:spacing w:before="120" w:after="120"/>
              <w:rPr>
                <w:rFonts w:cs="Arial"/>
                <w:bCs/>
              </w:rPr>
            </w:pPr>
            <w:bookmarkStart w:id="24" w:name="OLE_LINK5"/>
            <w:r>
              <w:rPr>
                <w:rFonts w:cs="Arial"/>
                <w:bCs/>
              </w:rPr>
              <w:t xml:space="preserve">Within the Client Programs and Offerings section of </w:t>
            </w:r>
            <w:r w:rsidR="000D013B">
              <w:rPr>
                <w:rFonts w:cs="Arial"/>
                <w:bCs/>
              </w:rPr>
              <w:t>Compass</w:t>
            </w:r>
            <w:r>
              <w:rPr>
                <w:rFonts w:cs="Arial"/>
                <w:bCs/>
              </w:rPr>
              <w:t>, it indicate</w:t>
            </w:r>
            <w:r w:rsidR="00D60058">
              <w:rPr>
                <w:rFonts w:cs="Arial"/>
                <w:bCs/>
              </w:rPr>
              <w:t>s</w:t>
            </w:r>
            <w:r>
              <w:rPr>
                <w:rFonts w:cs="Arial"/>
                <w:bCs/>
              </w:rPr>
              <w:t xml:space="preserve"> which Specialty Copay </w:t>
            </w:r>
            <w:r w:rsidR="00FC6DD8">
              <w:rPr>
                <w:rFonts w:cs="Arial"/>
                <w:bCs/>
              </w:rPr>
              <w:t>Plan Design Strategy</w:t>
            </w:r>
            <w:r>
              <w:rPr>
                <w:rFonts w:cs="Arial"/>
                <w:bCs/>
              </w:rPr>
              <w:t xml:space="preserve"> the client is enrolled in. </w:t>
            </w:r>
          </w:p>
          <w:bookmarkEnd w:id="24"/>
          <w:p w14:paraId="3E33006E" w14:textId="77777777" w:rsidR="00F878F5" w:rsidRDefault="00F878F5" w:rsidP="006F1547">
            <w:pPr>
              <w:spacing w:before="120" w:after="120"/>
              <w:rPr>
                <w:rFonts w:cs="Arial"/>
                <w:bCs/>
              </w:rPr>
            </w:pPr>
          </w:p>
          <w:p w14:paraId="45A46011" w14:textId="77777777" w:rsidR="00F25ECD" w:rsidRDefault="00443F62" w:rsidP="006F1547">
            <w:pPr>
              <w:spacing w:before="120" w:after="120"/>
              <w:rPr>
                <w:rFonts w:cs="Arial"/>
                <w:bCs/>
              </w:rPr>
            </w:pPr>
            <w:r w:rsidRPr="005F2B80">
              <w:rPr>
                <w:rFonts w:cs="Arial"/>
                <w:bCs/>
              </w:rPr>
              <w:t xml:space="preserve">If a member has used a copay card, the value of the copay card used </w:t>
            </w:r>
            <w:r w:rsidR="00D60058">
              <w:rPr>
                <w:rFonts w:cs="Arial"/>
                <w:bCs/>
              </w:rPr>
              <w:t>is</w:t>
            </w:r>
            <w:r w:rsidRPr="005F2B80">
              <w:rPr>
                <w:rFonts w:cs="Arial"/>
                <w:bCs/>
              </w:rPr>
              <w:t xml:space="preserve"> visible in </w:t>
            </w:r>
            <w:r w:rsidR="00170566">
              <w:rPr>
                <w:rFonts w:cs="Arial"/>
                <w:bCs/>
              </w:rPr>
              <w:t>Compass</w:t>
            </w:r>
            <w:r w:rsidRPr="005F2B80">
              <w:rPr>
                <w:rFonts w:cs="Arial"/>
                <w:bCs/>
              </w:rPr>
              <w:t xml:space="preserve">. </w:t>
            </w:r>
          </w:p>
          <w:p w14:paraId="4E06396D" w14:textId="77777777" w:rsidR="007D72F3" w:rsidRDefault="00443F62" w:rsidP="006F1547">
            <w:pPr>
              <w:spacing w:before="120" w:after="120"/>
              <w:rPr>
                <w:rFonts w:cs="Arial"/>
                <w:bCs/>
              </w:rPr>
            </w:pPr>
            <w:r w:rsidRPr="005F2B80">
              <w:rPr>
                <w:rFonts w:cs="Arial"/>
                <w:bCs/>
              </w:rPr>
              <w:t xml:space="preserve"> </w:t>
            </w:r>
          </w:p>
          <w:p w14:paraId="2D38FC62" w14:textId="57E858AC" w:rsidR="00F25ECD" w:rsidRPr="005F2B80" w:rsidRDefault="00443F62" w:rsidP="006F1547">
            <w:pPr>
              <w:spacing w:before="120" w:after="120"/>
              <w:rPr>
                <w:rFonts w:cs="Arial"/>
              </w:rPr>
            </w:pPr>
            <w:r w:rsidRPr="005F2B80">
              <w:rPr>
                <w:rFonts w:cs="Arial"/>
                <w:bCs/>
              </w:rPr>
              <w:t>Both applications have been updated to display any manufacturer discount applied to a claim, along with the Final Deductible amount applied and Final Out of Pocket amount applied.</w:t>
            </w:r>
          </w:p>
        </w:tc>
      </w:tr>
      <w:tr w:rsidR="006F1547" w:rsidRPr="005F2B80" w14:paraId="020C168C" w14:textId="77777777" w:rsidTr="00B4154E">
        <w:trPr>
          <w:trHeight w:val="413"/>
        </w:trPr>
        <w:tc>
          <w:tcPr>
            <w:tcW w:w="1432" w:type="pct"/>
          </w:tcPr>
          <w:p w14:paraId="2291BDF9" w14:textId="77777777" w:rsidR="00DF5868" w:rsidRPr="006F1547" w:rsidRDefault="005917F0" w:rsidP="006F1547">
            <w:pPr>
              <w:spacing w:before="120" w:after="120"/>
              <w:rPr>
                <w:b/>
                <w:bCs/>
              </w:rPr>
            </w:pPr>
            <w:r w:rsidRPr="006F1547">
              <w:rPr>
                <w:b/>
                <w:bCs/>
              </w:rPr>
              <w:t>What happens once a member is enrolled in a copay card program?</w:t>
            </w:r>
          </w:p>
        </w:tc>
        <w:tc>
          <w:tcPr>
            <w:tcW w:w="3568" w:type="pct"/>
          </w:tcPr>
          <w:p w14:paraId="2DCBE48F" w14:textId="079EB21A" w:rsidR="00F25ECD" w:rsidRPr="005F2B80" w:rsidRDefault="005917F0" w:rsidP="006F1547">
            <w:pPr>
              <w:spacing w:before="120" w:after="120"/>
            </w:pPr>
            <w:r w:rsidRPr="005F2B80">
              <w:rPr>
                <w:rFonts w:cs="Arial"/>
              </w:rPr>
              <w:t>The member continue</w:t>
            </w:r>
            <w:r w:rsidR="00D60058">
              <w:rPr>
                <w:rFonts w:cs="Arial"/>
              </w:rPr>
              <w:t>s</w:t>
            </w:r>
            <w:r w:rsidRPr="005F2B80">
              <w:rPr>
                <w:rFonts w:cs="Arial"/>
              </w:rPr>
              <w:t xml:space="preserve"> to fill prescriptions as usual. The pharmacy enter</w:t>
            </w:r>
            <w:r w:rsidR="00DF5868">
              <w:rPr>
                <w:rFonts w:cs="Arial"/>
              </w:rPr>
              <w:t>s</w:t>
            </w:r>
            <w:r w:rsidRPr="005F2B80">
              <w:rPr>
                <w:rFonts w:cs="Arial"/>
              </w:rPr>
              <w:t xml:space="preserve"> the copay assistance details when submitting the claim and the copay assistance </w:t>
            </w:r>
            <w:r w:rsidR="00DF5868">
              <w:rPr>
                <w:rFonts w:cs="Arial"/>
              </w:rPr>
              <w:t>is</w:t>
            </w:r>
            <w:r w:rsidRPr="005F2B80">
              <w:rPr>
                <w:rFonts w:cs="Arial"/>
              </w:rPr>
              <w:t xml:space="preserve"> applied by the pharmacy</w:t>
            </w:r>
            <w:r w:rsidR="003A071E">
              <w:rPr>
                <w:rFonts w:cs="Arial"/>
              </w:rPr>
              <w:t>.</w:t>
            </w:r>
          </w:p>
        </w:tc>
      </w:tr>
      <w:tr w:rsidR="006F1547" w:rsidRPr="005F2B80" w14:paraId="2D1CD915" w14:textId="77777777" w:rsidTr="00B4154E">
        <w:trPr>
          <w:trHeight w:val="413"/>
        </w:trPr>
        <w:tc>
          <w:tcPr>
            <w:tcW w:w="1432" w:type="pct"/>
          </w:tcPr>
          <w:p w14:paraId="24C9AF1C" w14:textId="77777777" w:rsidR="00443F62" w:rsidRPr="006F1547" w:rsidRDefault="00443F62" w:rsidP="006F1547">
            <w:pPr>
              <w:spacing w:before="120" w:after="120"/>
              <w:rPr>
                <w:b/>
                <w:bCs/>
              </w:rPr>
            </w:pPr>
            <w:r w:rsidRPr="006F1547">
              <w:rPr>
                <w:rFonts w:cs="Arial"/>
                <w:b/>
                <w:bCs/>
              </w:rPr>
              <w:t>What is the duration of copay card programs?</w:t>
            </w:r>
          </w:p>
        </w:tc>
        <w:tc>
          <w:tcPr>
            <w:tcW w:w="3568" w:type="pct"/>
          </w:tcPr>
          <w:p w14:paraId="4EBFBF5B" w14:textId="6E234D55" w:rsidR="00F25ECD" w:rsidRPr="005F2B80" w:rsidRDefault="00443F62" w:rsidP="006F1547">
            <w:pPr>
              <w:spacing w:before="120" w:after="120"/>
            </w:pPr>
            <w:r w:rsidRPr="005F2B80">
              <w:rPr>
                <w:rFonts w:cs="Arial"/>
                <w:bCs/>
              </w:rPr>
              <w:t>The duration of copay card programs varies by drug. The expiration depends on the parameters outlined by the third-party sponsor providing the copay card.</w:t>
            </w:r>
          </w:p>
        </w:tc>
      </w:tr>
      <w:tr w:rsidR="006F1547" w:rsidRPr="005F2B80" w14:paraId="379014E5" w14:textId="77777777" w:rsidTr="00B4154E">
        <w:trPr>
          <w:trHeight w:val="413"/>
        </w:trPr>
        <w:tc>
          <w:tcPr>
            <w:tcW w:w="1432" w:type="pct"/>
          </w:tcPr>
          <w:p w14:paraId="46C0B7FF" w14:textId="77777777" w:rsidR="00443F62" w:rsidRPr="006F1547" w:rsidRDefault="00443F62" w:rsidP="006F1547">
            <w:pPr>
              <w:spacing w:before="120" w:after="120"/>
              <w:rPr>
                <w:b/>
                <w:bCs/>
              </w:rPr>
            </w:pPr>
            <w:r w:rsidRPr="006F1547">
              <w:rPr>
                <w:rFonts w:cs="Arial"/>
                <w:b/>
                <w:bCs/>
              </w:rPr>
              <w:t>What prescription drugs are offered with copay cards?</w:t>
            </w:r>
          </w:p>
        </w:tc>
        <w:tc>
          <w:tcPr>
            <w:tcW w:w="3568" w:type="pct"/>
          </w:tcPr>
          <w:p w14:paraId="6D1AC8A3" w14:textId="423BD30C" w:rsidR="00F25ECD" w:rsidRPr="005F2B80" w:rsidRDefault="00443F62" w:rsidP="006F1547">
            <w:pPr>
              <w:spacing w:before="120" w:after="120"/>
            </w:pPr>
            <w:r w:rsidRPr="005F2B80">
              <w:rPr>
                <w:rFonts w:cs="Arial"/>
                <w:bCs/>
              </w:rPr>
              <w:t xml:space="preserve">Most copay cards are designed for more expensive specialty prescription drugs. CVS Specialty </w:t>
            </w:r>
            <w:r w:rsidR="006E3C6F">
              <w:rPr>
                <w:rFonts w:cs="Arial"/>
                <w:bCs/>
              </w:rPr>
              <w:t xml:space="preserve">or PrudentRx </w:t>
            </w:r>
            <w:r w:rsidR="00170B51">
              <w:rPr>
                <w:rFonts w:cs="Arial"/>
                <w:bCs/>
              </w:rPr>
              <w:t>can</w:t>
            </w:r>
            <w:r w:rsidRPr="005F2B80">
              <w:rPr>
                <w:rFonts w:cs="Arial"/>
                <w:bCs/>
              </w:rPr>
              <w:t xml:space="preserve"> tell you if your medication has a copay card program</w:t>
            </w:r>
            <w:r w:rsidR="006F1547">
              <w:rPr>
                <w:rFonts w:cs="Arial"/>
                <w:bCs/>
              </w:rPr>
              <w:t>.</w:t>
            </w:r>
          </w:p>
        </w:tc>
      </w:tr>
      <w:tr w:rsidR="006F1547" w:rsidRPr="005F2B80" w14:paraId="320DF479" w14:textId="77777777" w:rsidTr="00B4154E">
        <w:trPr>
          <w:trHeight w:val="413"/>
        </w:trPr>
        <w:tc>
          <w:tcPr>
            <w:tcW w:w="1432" w:type="pct"/>
          </w:tcPr>
          <w:p w14:paraId="2D7E5C73" w14:textId="77777777" w:rsidR="005917F0" w:rsidRPr="006F1547" w:rsidRDefault="00F9328A" w:rsidP="006F1547">
            <w:pPr>
              <w:spacing w:before="120" w:after="120"/>
              <w:rPr>
                <w:b/>
                <w:bCs/>
              </w:rPr>
            </w:pPr>
            <w:r w:rsidRPr="006F1547">
              <w:rPr>
                <w:b/>
                <w:bCs/>
              </w:rPr>
              <w:t>How are the funds received?</w:t>
            </w:r>
          </w:p>
        </w:tc>
        <w:tc>
          <w:tcPr>
            <w:tcW w:w="3568" w:type="pct"/>
          </w:tcPr>
          <w:p w14:paraId="10D40D46" w14:textId="020B46F5" w:rsidR="00F25ECD" w:rsidRPr="005F2B80" w:rsidRDefault="007B54A5" w:rsidP="006F1547">
            <w:pPr>
              <w:spacing w:before="120" w:after="120"/>
            </w:pPr>
            <w:r w:rsidRPr="005F2B80">
              <w:t xml:space="preserve">Manufacturer copay cards are billed by the specialty pharmacy as a type of </w:t>
            </w:r>
            <w:r w:rsidR="00A67B9D" w:rsidRPr="005F2B80">
              <w:t>COB</w:t>
            </w:r>
            <w:r w:rsidRPr="005F2B80">
              <w:t xml:space="preserve">/secondary claim. Any funding obtained via a manufacturer copay card </w:t>
            </w:r>
            <w:r w:rsidR="00C3204A" w:rsidRPr="005F2B80">
              <w:t>is</w:t>
            </w:r>
            <w:r w:rsidRPr="005F2B80">
              <w:t xml:space="preserve"> automatically applied/used to </w:t>
            </w:r>
            <w:r w:rsidR="0091467F" w:rsidRPr="005F2B80">
              <w:t>offset</w:t>
            </w:r>
            <w:r w:rsidRPr="005F2B80">
              <w:t xml:space="preserve"> the member’s copay/cost share.</w:t>
            </w:r>
          </w:p>
        </w:tc>
      </w:tr>
      <w:tr w:rsidR="006F1547" w:rsidRPr="005F2B80" w14:paraId="2E633C22" w14:textId="77777777" w:rsidTr="00B4154E">
        <w:tc>
          <w:tcPr>
            <w:tcW w:w="1432" w:type="pct"/>
          </w:tcPr>
          <w:p w14:paraId="5C6888B7" w14:textId="77777777" w:rsidR="00F9328A" w:rsidRPr="006F1547" w:rsidRDefault="00F9328A" w:rsidP="006F1547">
            <w:pPr>
              <w:spacing w:before="120" w:after="120"/>
              <w:rPr>
                <w:b/>
                <w:bCs/>
              </w:rPr>
            </w:pPr>
            <w:r w:rsidRPr="006F1547">
              <w:rPr>
                <w:b/>
                <w:bCs/>
              </w:rPr>
              <w:t>What if the incorrect amount was applied to the members account?</w:t>
            </w:r>
          </w:p>
        </w:tc>
        <w:tc>
          <w:tcPr>
            <w:tcW w:w="3568" w:type="pct"/>
          </w:tcPr>
          <w:p w14:paraId="2A7039B9" w14:textId="4B62CB04" w:rsidR="00F25ECD" w:rsidRPr="005F2B80" w:rsidRDefault="007B54A5" w:rsidP="006F1547">
            <w:pPr>
              <w:spacing w:before="120" w:after="120"/>
            </w:pPr>
            <w:r w:rsidRPr="005F2B80">
              <w:t xml:space="preserve">The amount applied to the </w:t>
            </w:r>
            <w:r w:rsidR="00893D63" w:rsidRPr="005F2B80">
              <w:t>members’</w:t>
            </w:r>
            <w:r w:rsidRPr="005F2B80">
              <w:t xml:space="preserve"> account </w:t>
            </w:r>
            <w:r w:rsidR="00C3204A" w:rsidRPr="005F2B80">
              <w:t>is</w:t>
            </w:r>
            <w:r w:rsidRPr="005F2B80">
              <w:t xml:space="preserve"> directly tied to the amount of assistance obtained from a </w:t>
            </w:r>
            <w:r w:rsidR="0091467F" w:rsidRPr="005F2B80">
              <w:t>manufacturer’s</w:t>
            </w:r>
            <w:r w:rsidRPr="005F2B80">
              <w:t xml:space="preserve"> copay card. Incorrect amounts will not be applied.</w:t>
            </w:r>
          </w:p>
        </w:tc>
      </w:tr>
      <w:tr w:rsidR="006F1547" w:rsidRPr="005F2B80" w14:paraId="7AF930D2" w14:textId="77777777" w:rsidTr="00B4154E">
        <w:tc>
          <w:tcPr>
            <w:tcW w:w="1432" w:type="pct"/>
          </w:tcPr>
          <w:p w14:paraId="3006BA98" w14:textId="77777777" w:rsidR="00E93042" w:rsidRPr="006F1547" w:rsidRDefault="00F9328A" w:rsidP="006F1547">
            <w:pPr>
              <w:spacing w:before="120" w:after="120"/>
              <w:rPr>
                <w:b/>
                <w:bCs/>
              </w:rPr>
            </w:pPr>
            <w:r w:rsidRPr="006F1547">
              <w:rPr>
                <w:b/>
                <w:bCs/>
              </w:rPr>
              <w:t xml:space="preserve">Can the amount be recalled after being applied to the </w:t>
            </w:r>
            <w:r w:rsidR="00A230E5" w:rsidRPr="006F1547">
              <w:rPr>
                <w:b/>
                <w:bCs/>
              </w:rPr>
              <w:t>member’s</w:t>
            </w:r>
            <w:r w:rsidRPr="006F1547">
              <w:rPr>
                <w:b/>
                <w:bCs/>
              </w:rPr>
              <w:t xml:space="preserve"> account?</w:t>
            </w:r>
          </w:p>
          <w:p w14:paraId="0D3135AF" w14:textId="77777777" w:rsidR="00F25ECD" w:rsidRPr="006F1547" w:rsidRDefault="00F25ECD" w:rsidP="006F1547">
            <w:pPr>
              <w:spacing w:before="120" w:after="120"/>
              <w:rPr>
                <w:b/>
                <w:bCs/>
              </w:rPr>
            </w:pPr>
          </w:p>
        </w:tc>
        <w:tc>
          <w:tcPr>
            <w:tcW w:w="3568" w:type="pct"/>
          </w:tcPr>
          <w:p w14:paraId="33E53399" w14:textId="77777777" w:rsidR="00F9328A" w:rsidRPr="005F2B80" w:rsidRDefault="007B54A5" w:rsidP="006F1547">
            <w:pPr>
              <w:spacing w:before="120" w:after="120"/>
            </w:pPr>
            <w:r w:rsidRPr="005F2B80">
              <w:t>No</w:t>
            </w:r>
            <w:r w:rsidR="00C500E4">
              <w:t>.</w:t>
            </w:r>
          </w:p>
        </w:tc>
      </w:tr>
      <w:tr w:rsidR="006F1547" w:rsidRPr="005F2B80" w14:paraId="72F8EC8B" w14:textId="77777777" w:rsidTr="00B4154E">
        <w:tc>
          <w:tcPr>
            <w:tcW w:w="1432" w:type="pct"/>
          </w:tcPr>
          <w:p w14:paraId="44D2E9FD" w14:textId="7460DDAF" w:rsidR="005917F0" w:rsidRPr="006F1547" w:rsidRDefault="005917F0" w:rsidP="006F1547">
            <w:pPr>
              <w:spacing w:before="120" w:after="120"/>
              <w:rPr>
                <w:rFonts w:cs="Arial"/>
                <w:b/>
                <w:bCs/>
              </w:rPr>
            </w:pPr>
            <w:r w:rsidRPr="006F1547">
              <w:rPr>
                <w:rFonts w:cs="Arial"/>
                <w:b/>
                <w:bCs/>
              </w:rPr>
              <w:t xml:space="preserve">Can a copay card still be used if the member’s plan sponsor has elected to enroll in </w:t>
            </w:r>
            <w:r w:rsidR="00FC6DD8" w:rsidRPr="006F1547">
              <w:rPr>
                <w:rFonts w:cs="Arial"/>
                <w:b/>
                <w:bCs/>
              </w:rPr>
              <w:t xml:space="preserve">a </w:t>
            </w:r>
            <w:r w:rsidRPr="006F1547">
              <w:rPr>
                <w:rFonts w:cs="Arial"/>
                <w:b/>
                <w:bCs/>
              </w:rPr>
              <w:t xml:space="preserve">CVS Specialty Copay </w:t>
            </w:r>
            <w:r w:rsidR="00FC6DD8" w:rsidRPr="006F1547">
              <w:rPr>
                <w:rFonts w:cs="Arial"/>
                <w:b/>
                <w:bCs/>
              </w:rPr>
              <w:t>Plan Design Strategy</w:t>
            </w:r>
            <w:r w:rsidRPr="006F1547">
              <w:rPr>
                <w:rFonts w:cs="Arial"/>
                <w:b/>
                <w:bCs/>
              </w:rPr>
              <w:t xml:space="preserve"> and updated their accumulator</w:t>
            </w:r>
            <w:r w:rsidR="004429A7" w:rsidRPr="006F1547">
              <w:rPr>
                <w:rFonts w:cs="Arial"/>
                <w:b/>
                <w:bCs/>
              </w:rPr>
              <w:t xml:space="preserve">? </w:t>
            </w:r>
          </w:p>
          <w:p w14:paraId="6A6778EE" w14:textId="77777777" w:rsidR="005917F0" w:rsidRPr="006F1547" w:rsidRDefault="005917F0" w:rsidP="006F1547">
            <w:pPr>
              <w:spacing w:before="120" w:after="120"/>
              <w:rPr>
                <w:b/>
                <w:bCs/>
              </w:rPr>
            </w:pPr>
          </w:p>
        </w:tc>
        <w:tc>
          <w:tcPr>
            <w:tcW w:w="3568" w:type="pct"/>
          </w:tcPr>
          <w:p w14:paraId="1E97437D" w14:textId="3C40C956" w:rsidR="005917F0" w:rsidRDefault="005917F0" w:rsidP="006F1547">
            <w:pPr>
              <w:spacing w:before="120" w:after="120"/>
              <w:rPr>
                <w:rFonts w:cs="Arial"/>
                <w:bCs/>
              </w:rPr>
            </w:pPr>
            <w:r w:rsidRPr="005F2B80">
              <w:rPr>
                <w:rFonts w:cs="Arial"/>
                <w:bCs/>
              </w:rPr>
              <w:t xml:space="preserve">Yes. The member may continue to use copay cards to help reduce </w:t>
            </w:r>
            <w:r w:rsidR="00A67B9D" w:rsidRPr="005F2B80">
              <w:rPr>
                <w:rFonts w:cs="Arial"/>
                <w:bCs/>
              </w:rPr>
              <w:t>O</w:t>
            </w:r>
            <w:r w:rsidRPr="005F2B80">
              <w:rPr>
                <w:rFonts w:cs="Arial"/>
                <w:bCs/>
              </w:rPr>
              <w:t xml:space="preserve">ut of </w:t>
            </w:r>
            <w:r w:rsidR="00A67B9D" w:rsidRPr="005F2B80">
              <w:rPr>
                <w:rFonts w:cs="Arial"/>
                <w:bCs/>
              </w:rPr>
              <w:t>P</w:t>
            </w:r>
            <w:r w:rsidRPr="005F2B80">
              <w:rPr>
                <w:rFonts w:cs="Arial"/>
                <w:bCs/>
              </w:rPr>
              <w:t>ocket expenses</w:t>
            </w:r>
            <w:r w:rsidR="0091467F" w:rsidRPr="005F2B80">
              <w:rPr>
                <w:rFonts w:cs="Arial"/>
                <w:bCs/>
              </w:rPr>
              <w:t>. However</w:t>
            </w:r>
            <w:r w:rsidRPr="005F2B80">
              <w:rPr>
                <w:rFonts w:cs="Arial"/>
                <w:bCs/>
              </w:rPr>
              <w:t xml:space="preserve">, any amount of support obtained from the copay card will no longer be applied towards the member’s pharmacy only or integrated pharmacy and medical </w:t>
            </w:r>
            <w:r w:rsidR="00A67B9D" w:rsidRPr="005F2B80">
              <w:rPr>
                <w:rFonts w:cs="Arial"/>
                <w:bCs/>
              </w:rPr>
              <w:t>O</w:t>
            </w:r>
            <w:r w:rsidRPr="005F2B80">
              <w:rPr>
                <w:rFonts w:cs="Arial"/>
                <w:bCs/>
              </w:rPr>
              <w:t>ut</w:t>
            </w:r>
            <w:r w:rsidR="00A67B9D" w:rsidRPr="005F2B80">
              <w:rPr>
                <w:rFonts w:cs="Arial"/>
                <w:bCs/>
              </w:rPr>
              <w:t>-</w:t>
            </w:r>
            <w:r w:rsidRPr="005F2B80">
              <w:rPr>
                <w:rFonts w:cs="Arial"/>
                <w:bCs/>
              </w:rPr>
              <w:t>of</w:t>
            </w:r>
            <w:r w:rsidR="00A67B9D" w:rsidRPr="005F2B80">
              <w:rPr>
                <w:rFonts w:cs="Arial"/>
                <w:bCs/>
              </w:rPr>
              <w:t>-P</w:t>
            </w:r>
            <w:r w:rsidRPr="005F2B80">
              <w:rPr>
                <w:rFonts w:cs="Arial"/>
                <w:bCs/>
              </w:rPr>
              <w:t>ocket/deductible.</w:t>
            </w:r>
          </w:p>
          <w:p w14:paraId="2C04E402" w14:textId="77777777" w:rsidR="00F25ECD" w:rsidRPr="005F2B80" w:rsidRDefault="00F25ECD" w:rsidP="006F1547">
            <w:pPr>
              <w:spacing w:before="120" w:after="120"/>
              <w:rPr>
                <w:rFonts w:cs="Arial"/>
                <w:bCs/>
              </w:rPr>
            </w:pPr>
          </w:p>
          <w:p w14:paraId="52ABF326" w14:textId="77777777" w:rsidR="005917F0" w:rsidRDefault="005917F0" w:rsidP="006F1547">
            <w:pPr>
              <w:spacing w:before="120" w:after="120"/>
              <w:rPr>
                <w:rFonts w:cs="Arial"/>
                <w:bCs/>
              </w:rPr>
            </w:pPr>
            <w:r w:rsidRPr="005F2B80">
              <w:rPr>
                <w:rFonts w:cs="Arial"/>
                <w:bCs/>
              </w:rPr>
              <w:t xml:space="preserve">As an example, if a member’s benefit design requires a $100 specialty copay and uses a manufacturer copay card of $95 whereas the true out-of-pocket cost for the member is $5, the only amount counted towards any accumulator would be the true </w:t>
            </w:r>
            <w:r w:rsidR="00A67B9D" w:rsidRPr="005F2B80">
              <w:rPr>
                <w:rFonts w:cs="Arial"/>
                <w:bCs/>
              </w:rPr>
              <w:t>O</w:t>
            </w:r>
            <w:r w:rsidRPr="005F2B80">
              <w:rPr>
                <w:rFonts w:cs="Arial"/>
                <w:bCs/>
              </w:rPr>
              <w:t>ut-of-</w:t>
            </w:r>
            <w:r w:rsidR="00A67B9D" w:rsidRPr="005F2B80">
              <w:rPr>
                <w:rFonts w:cs="Arial"/>
                <w:bCs/>
              </w:rPr>
              <w:t>P</w:t>
            </w:r>
            <w:r w:rsidRPr="005F2B80">
              <w:rPr>
                <w:rFonts w:cs="Arial"/>
                <w:bCs/>
              </w:rPr>
              <w:t>ocket cost of $5 the member paid.</w:t>
            </w:r>
          </w:p>
          <w:p w14:paraId="299BCB27" w14:textId="77777777" w:rsidR="00F25ECD" w:rsidRPr="005F2B80" w:rsidRDefault="00F25ECD" w:rsidP="006F1547">
            <w:pPr>
              <w:spacing w:before="120" w:after="120"/>
              <w:rPr>
                <w:rFonts w:cs="Arial"/>
                <w:bCs/>
              </w:rPr>
            </w:pPr>
          </w:p>
          <w:p w14:paraId="5A4A645B" w14:textId="43257E22" w:rsidR="00F25ECD" w:rsidRPr="005F2B80" w:rsidRDefault="00170566" w:rsidP="006F1547">
            <w:pPr>
              <w:spacing w:before="120" w:after="120"/>
            </w:pPr>
            <w:r>
              <w:rPr>
                <w:rFonts w:cs="Arial"/>
                <w:bCs/>
              </w:rPr>
              <w:t>Compass has</w:t>
            </w:r>
            <w:r w:rsidR="005917F0" w:rsidRPr="005F2B80">
              <w:rPr>
                <w:rFonts w:cs="Arial"/>
                <w:bCs/>
              </w:rPr>
              <w:t xml:space="preserve"> been updated to display any manufacturer discount applied to a claim, along with the Final Deductible amount applied and Final Out of Pocket amount applied</w:t>
            </w:r>
            <w:r w:rsidR="003A071E">
              <w:rPr>
                <w:rFonts w:cs="Arial"/>
                <w:bCs/>
              </w:rPr>
              <w:t>.</w:t>
            </w:r>
          </w:p>
        </w:tc>
      </w:tr>
      <w:tr w:rsidR="006F1547" w:rsidRPr="005F2B80" w14:paraId="5435558C" w14:textId="77777777" w:rsidTr="00B4154E">
        <w:tc>
          <w:tcPr>
            <w:tcW w:w="1432" w:type="pct"/>
          </w:tcPr>
          <w:p w14:paraId="52978981" w14:textId="77777777" w:rsidR="00443F62" w:rsidRPr="006F1547" w:rsidRDefault="00443F62" w:rsidP="006F1547">
            <w:pPr>
              <w:spacing w:before="120" w:after="120"/>
              <w:rPr>
                <w:rFonts w:cs="Arial"/>
                <w:b/>
                <w:bCs/>
              </w:rPr>
            </w:pPr>
            <w:r w:rsidRPr="006F1547">
              <w:rPr>
                <w:rFonts w:cs="Arial"/>
                <w:b/>
                <w:bCs/>
              </w:rPr>
              <w:t>Why will copay card support no longer be contributed towards a member’s accumulator (out-of-pocket/ deductible)?</w:t>
            </w:r>
          </w:p>
          <w:p w14:paraId="1A830131" w14:textId="77777777" w:rsidR="00443F62" w:rsidRPr="006F1547" w:rsidRDefault="00443F62" w:rsidP="006F1547">
            <w:pPr>
              <w:spacing w:before="120" w:after="120"/>
              <w:rPr>
                <w:b/>
                <w:bCs/>
              </w:rPr>
            </w:pPr>
          </w:p>
        </w:tc>
        <w:tc>
          <w:tcPr>
            <w:tcW w:w="3568" w:type="pct"/>
          </w:tcPr>
          <w:p w14:paraId="35603D86" w14:textId="7B3EDCCA" w:rsidR="00DF5868" w:rsidRDefault="00443F62" w:rsidP="006F1547">
            <w:pPr>
              <w:spacing w:before="120" w:after="120"/>
              <w:rPr>
                <w:rFonts w:cs="Arial"/>
                <w:bCs/>
              </w:rPr>
            </w:pPr>
            <w:r w:rsidRPr="005F2B80">
              <w:rPr>
                <w:rFonts w:cs="Arial"/>
                <w:bCs/>
              </w:rPr>
              <w:t xml:space="preserve">Deductibles are established as a means of cost sharing with your plan sponsor while an </w:t>
            </w:r>
            <w:r w:rsidR="00A67B9D" w:rsidRPr="005F2B80">
              <w:rPr>
                <w:rFonts w:cs="Arial"/>
                <w:bCs/>
              </w:rPr>
              <w:t>O</w:t>
            </w:r>
            <w:r w:rsidRPr="005F2B80">
              <w:rPr>
                <w:rFonts w:cs="Arial"/>
                <w:bCs/>
              </w:rPr>
              <w:t>ut-of-</w:t>
            </w:r>
            <w:r w:rsidR="00A67B9D" w:rsidRPr="005F2B80">
              <w:rPr>
                <w:rFonts w:cs="Arial"/>
                <w:bCs/>
              </w:rPr>
              <w:t>P</w:t>
            </w:r>
            <w:r w:rsidRPr="005F2B80">
              <w:rPr>
                <w:rFonts w:cs="Arial"/>
                <w:bCs/>
              </w:rPr>
              <w:t>ocket maximum is the most you will pay during a policy period</w:t>
            </w:r>
            <w:r w:rsidR="004429A7" w:rsidRPr="005F2B80">
              <w:rPr>
                <w:rFonts w:cs="Arial"/>
                <w:bCs/>
              </w:rPr>
              <w:t xml:space="preserve">. </w:t>
            </w:r>
          </w:p>
          <w:p w14:paraId="4825029D" w14:textId="77777777" w:rsidR="00F878F5" w:rsidRDefault="00F878F5" w:rsidP="006F1547">
            <w:pPr>
              <w:spacing w:before="120" w:after="120"/>
              <w:rPr>
                <w:rFonts w:cs="Arial"/>
                <w:bCs/>
              </w:rPr>
            </w:pPr>
          </w:p>
          <w:p w14:paraId="4EE21F12" w14:textId="77777777" w:rsidR="00F25ECD" w:rsidRDefault="00443F62" w:rsidP="006F1547">
            <w:pPr>
              <w:spacing w:before="120" w:after="120"/>
              <w:rPr>
                <w:rFonts w:cs="Arial"/>
                <w:bCs/>
              </w:rPr>
            </w:pPr>
            <w:r w:rsidRPr="005F2B80">
              <w:rPr>
                <w:rFonts w:cs="Arial"/>
                <w:bCs/>
              </w:rPr>
              <w:t xml:space="preserve">Assistance obtained through a copay card is provided by the copay card sponsor and does not reflect any actual out-of-pocket cost the member pays. Given that deductibles and </w:t>
            </w:r>
            <w:r w:rsidR="00A67B9D" w:rsidRPr="005F2B80">
              <w:rPr>
                <w:rFonts w:cs="Arial"/>
                <w:bCs/>
              </w:rPr>
              <w:t>O</w:t>
            </w:r>
            <w:r w:rsidRPr="005F2B80">
              <w:rPr>
                <w:rFonts w:cs="Arial"/>
                <w:bCs/>
              </w:rPr>
              <w:t>ut-of-</w:t>
            </w:r>
            <w:r w:rsidR="00A67B9D" w:rsidRPr="005F2B80">
              <w:rPr>
                <w:rFonts w:cs="Arial"/>
                <w:bCs/>
              </w:rPr>
              <w:t>P</w:t>
            </w:r>
            <w:r w:rsidRPr="005F2B80">
              <w:rPr>
                <w:rFonts w:cs="Arial"/>
                <w:bCs/>
              </w:rPr>
              <w:t>ocket maximums are intended to capture true member costs only and not third-party assistance</w:t>
            </w:r>
            <w:r w:rsidR="00FC6DD8">
              <w:rPr>
                <w:rFonts w:cs="Arial"/>
                <w:bCs/>
              </w:rPr>
              <w:t>, unless otherwise required by law,</w:t>
            </w:r>
            <w:r w:rsidRPr="005F2B80">
              <w:rPr>
                <w:rFonts w:cs="Arial"/>
                <w:bCs/>
              </w:rPr>
              <w:t xml:space="preserve"> through a copay card (not including monthly premium payments), the update to accumulators was made. </w:t>
            </w:r>
          </w:p>
          <w:p w14:paraId="53CECDCE" w14:textId="77777777" w:rsidR="00443F62" w:rsidRPr="005F2B80" w:rsidRDefault="00443F62" w:rsidP="006F1547">
            <w:pPr>
              <w:spacing w:before="120" w:after="120"/>
              <w:rPr>
                <w:rFonts w:cs="Arial"/>
                <w:bCs/>
              </w:rPr>
            </w:pPr>
            <w:r w:rsidRPr="005F2B80">
              <w:rPr>
                <w:rFonts w:cs="Arial"/>
                <w:bCs/>
              </w:rPr>
              <w:t xml:space="preserve">   </w:t>
            </w:r>
          </w:p>
          <w:p w14:paraId="3FBA30A0" w14:textId="77777777" w:rsidR="00E93042" w:rsidRDefault="00170566" w:rsidP="006F1547">
            <w:pPr>
              <w:spacing w:before="120" w:after="120"/>
              <w:rPr>
                <w:rFonts w:cs="Arial"/>
                <w:bCs/>
              </w:rPr>
            </w:pPr>
            <w:r>
              <w:rPr>
                <w:rFonts w:cs="Arial"/>
                <w:bCs/>
              </w:rPr>
              <w:t>Compass has</w:t>
            </w:r>
            <w:r w:rsidR="00443F62" w:rsidRPr="005F2B80">
              <w:rPr>
                <w:rFonts w:cs="Arial"/>
                <w:bCs/>
              </w:rPr>
              <w:t xml:space="preserve"> been updated to display true patient out-of-pocket costs along with any manufacturer discount applied to a claim, along with the Final Deductible amount applied and Final Out</w:t>
            </w:r>
            <w:r w:rsidR="00A67B9D" w:rsidRPr="005F2B80">
              <w:rPr>
                <w:rFonts w:cs="Arial"/>
                <w:bCs/>
              </w:rPr>
              <w:t>-</w:t>
            </w:r>
            <w:r w:rsidR="00443F62" w:rsidRPr="005F2B80">
              <w:rPr>
                <w:rFonts w:cs="Arial"/>
                <w:bCs/>
              </w:rPr>
              <w:t>of</w:t>
            </w:r>
            <w:r w:rsidR="00A67B9D" w:rsidRPr="005F2B80">
              <w:rPr>
                <w:rFonts w:cs="Arial"/>
                <w:bCs/>
              </w:rPr>
              <w:t>-</w:t>
            </w:r>
            <w:r w:rsidR="00443F62" w:rsidRPr="005F2B80">
              <w:rPr>
                <w:rFonts w:cs="Arial"/>
                <w:bCs/>
              </w:rPr>
              <w:t>Pocket amount applied</w:t>
            </w:r>
            <w:r w:rsidR="003A071E">
              <w:rPr>
                <w:rFonts w:cs="Arial"/>
                <w:bCs/>
              </w:rPr>
              <w:t>.</w:t>
            </w:r>
          </w:p>
          <w:p w14:paraId="64E84D54" w14:textId="77777777" w:rsidR="00FC5183" w:rsidRDefault="00FC5183" w:rsidP="006F1547">
            <w:pPr>
              <w:spacing w:before="120" w:after="120"/>
              <w:rPr>
                <w:rFonts w:cs="Arial"/>
                <w:bCs/>
              </w:rPr>
            </w:pPr>
          </w:p>
          <w:p w14:paraId="3EEB7C3D" w14:textId="77777777" w:rsidR="00C87B9A" w:rsidRDefault="002D12C6" w:rsidP="006F1547">
            <w:pPr>
              <w:spacing w:before="120" w:after="120"/>
              <w:rPr>
                <w:rFonts w:cs="Arial"/>
                <w:b/>
                <w:color w:val="FF0000"/>
              </w:rPr>
            </w:pPr>
            <w:r w:rsidRPr="009D0264">
              <w:rPr>
                <w:rFonts w:cs="Arial"/>
                <w:b/>
                <w:color w:val="FF0000"/>
              </w:rPr>
              <w:t xml:space="preserve">IF A MEMBER ASKS ABOUT </w:t>
            </w:r>
            <w:r w:rsidR="001C2628" w:rsidRPr="009D0264">
              <w:rPr>
                <w:rFonts w:cs="Arial"/>
                <w:b/>
                <w:color w:val="FF0000"/>
              </w:rPr>
              <w:t xml:space="preserve">COPAY ACCUMULATOR RULINGS: </w:t>
            </w:r>
            <w:r w:rsidR="00C87B9A">
              <w:rPr>
                <w:rFonts w:cs="Arial"/>
                <w:b/>
                <w:color w:val="FF0000"/>
              </w:rPr>
              <w:t xml:space="preserve"> </w:t>
            </w:r>
            <w:r w:rsidR="009D0264" w:rsidRPr="009D0264">
              <w:rPr>
                <w:rFonts w:cs="Arial"/>
                <w:b/>
                <w:color w:val="FF0000"/>
              </w:rPr>
              <w:t xml:space="preserve">We do </w:t>
            </w:r>
            <w:r w:rsidR="009D0264" w:rsidRPr="00C87B9A">
              <w:rPr>
                <w:rFonts w:cs="Arial"/>
                <w:b/>
                <w:color w:val="FF0000"/>
              </w:rPr>
              <w:t>not</w:t>
            </w:r>
            <w:r w:rsidR="009D0264" w:rsidRPr="009D0264">
              <w:rPr>
                <w:rFonts w:cs="Arial"/>
                <w:b/>
                <w:color w:val="FF0000"/>
              </w:rPr>
              <w:t xml:space="preserve"> provide or offer legal counsel. </w:t>
            </w:r>
          </w:p>
          <w:p w14:paraId="78A7B0C4" w14:textId="0B50E329" w:rsidR="00F25ECD" w:rsidRPr="005F2B80" w:rsidRDefault="009D0264" w:rsidP="006F1547">
            <w:pPr>
              <w:spacing w:before="120" w:after="120"/>
            </w:pPr>
            <w:r w:rsidRPr="009D0264">
              <w:rPr>
                <w:rFonts w:cs="Arial"/>
                <w:bCs/>
              </w:rPr>
              <w:t xml:space="preserve">The expectation should be set </w:t>
            </w:r>
            <w:r>
              <w:rPr>
                <w:rFonts w:cs="Arial"/>
                <w:bCs/>
              </w:rPr>
              <w:t xml:space="preserve">that it is the Plan’s </w:t>
            </w:r>
            <w:r w:rsidRPr="009D0264">
              <w:rPr>
                <w:rFonts w:cs="Arial"/>
                <w:bCs/>
              </w:rPr>
              <w:t>responsibility to review, analyze, and interpret the activity related to</w:t>
            </w:r>
            <w:r>
              <w:rPr>
                <w:rFonts w:cs="Arial"/>
                <w:bCs/>
              </w:rPr>
              <w:t xml:space="preserve"> legislation or rulings that may impact how they </w:t>
            </w:r>
            <w:r w:rsidR="0038193C">
              <w:rPr>
                <w:rFonts w:cs="Arial"/>
                <w:bCs/>
              </w:rPr>
              <w:t>set up</w:t>
            </w:r>
            <w:r>
              <w:rPr>
                <w:rFonts w:cs="Arial"/>
                <w:bCs/>
              </w:rPr>
              <w:t xml:space="preserve"> their plan design. </w:t>
            </w:r>
            <w:r w:rsidRPr="009D0264">
              <w:rPr>
                <w:rFonts w:cs="Arial"/>
                <w:bCs/>
              </w:rPr>
              <w:t xml:space="preserve">Following their own legal review, the plan must decide how they choose to handle treatment of manufacturer assistance. </w:t>
            </w:r>
            <w:r>
              <w:rPr>
                <w:rFonts w:cs="Arial"/>
                <w:bCs/>
              </w:rPr>
              <w:t xml:space="preserve">Caremark then works to execute that intent. However, </w:t>
            </w:r>
            <w:r w:rsidR="001C2628" w:rsidRPr="001C2628">
              <w:rPr>
                <w:rFonts w:cs="Arial"/>
                <w:bCs/>
              </w:rPr>
              <w:t>review the updated </w:t>
            </w:r>
            <w:hyperlink r:id="rId20" w:tgtFrame="_blank" w:tooltip="https://protect-usb.mimecast.com/s/efRiC5AoEXi6Y8vQ7JxIz9LNL?domain=cvshealth.highspot.com" w:history="1">
              <w:r w:rsidR="001C2628" w:rsidRPr="001C2628">
                <w:rPr>
                  <w:rStyle w:val="Hyperlink"/>
                  <w:rFonts w:cs="Arial"/>
                  <w:bCs/>
                </w:rPr>
                <w:t>Talk Track – Copay Accumulator Ruling (Updated January 22, 2024) INTERNAL USE ONLY</w:t>
              </w:r>
            </w:hyperlink>
            <w:r w:rsidR="001C2628" w:rsidRPr="001C2628">
              <w:rPr>
                <w:rFonts w:cs="Arial"/>
                <w:bCs/>
              </w:rPr>
              <w:t xml:space="preserve"> to leverage in conversations with clients </w:t>
            </w:r>
            <w:r w:rsidR="009F215F">
              <w:rPr>
                <w:rFonts w:cs="Arial"/>
                <w:bCs/>
              </w:rPr>
              <w:t xml:space="preserve">or members </w:t>
            </w:r>
            <w:r w:rsidR="001C2628" w:rsidRPr="001C2628">
              <w:rPr>
                <w:rFonts w:cs="Arial"/>
                <w:bCs/>
              </w:rPr>
              <w:t>around the HHS ruling. </w:t>
            </w:r>
            <w:r w:rsidR="001C2628" w:rsidRPr="00C87B9A">
              <w:rPr>
                <w:rFonts w:cs="Arial"/>
                <w:bCs/>
              </w:rPr>
              <w:t xml:space="preserve">We are continuing to offer the copay accumulator program because there is no federal law preventing it and currently no clear direction from the department of Health and Human Services with respect to what is and what </w:t>
            </w:r>
            <w:r w:rsidR="006122F1" w:rsidRPr="00C87B9A">
              <w:rPr>
                <w:rFonts w:cs="Arial"/>
                <w:bCs/>
              </w:rPr>
              <w:t>is not</w:t>
            </w:r>
            <w:r w:rsidR="001C2628" w:rsidRPr="00C87B9A">
              <w:rPr>
                <w:rFonts w:cs="Arial"/>
                <w:bCs/>
              </w:rPr>
              <w:t xml:space="preserve"> allowed. HHS has only advised that they are not taking </w:t>
            </w:r>
            <w:r w:rsidR="0038193C" w:rsidRPr="00C87B9A">
              <w:rPr>
                <w:rFonts w:cs="Arial"/>
                <w:bCs/>
              </w:rPr>
              <w:t>enforcement</w:t>
            </w:r>
            <w:r w:rsidR="001C2628" w:rsidRPr="00C87B9A">
              <w:rPr>
                <w:rFonts w:cs="Arial"/>
                <w:bCs/>
              </w:rPr>
              <w:t xml:space="preserve"> action with respect to how plans and issuers use copay accumulator programs.</w:t>
            </w:r>
            <w:r w:rsidR="009F215F">
              <w:rPr>
                <w:rFonts w:cs="Arial"/>
                <w:bCs/>
              </w:rPr>
              <w:t xml:space="preserve"> </w:t>
            </w:r>
          </w:p>
        </w:tc>
      </w:tr>
      <w:tr w:rsidR="006F1547" w:rsidRPr="005F2B80" w14:paraId="569E4710" w14:textId="77777777" w:rsidTr="00B4154E">
        <w:tc>
          <w:tcPr>
            <w:tcW w:w="1432" w:type="pct"/>
          </w:tcPr>
          <w:p w14:paraId="6878786F" w14:textId="3BBB71D0" w:rsidR="000F6C07" w:rsidRPr="006F1547" w:rsidRDefault="00F9328A" w:rsidP="00F24566">
            <w:pPr>
              <w:spacing w:before="120" w:after="120"/>
              <w:rPr>
                <w:b/>
                <w:bCs/>
              </w:rPr>
            </w:pPr>
            <w:r w:rsidRPr="006F1547">
              <w:rPr>
                <w:b/>
                <w:bCs/>
              </w:rPr>
              <w:t xml:space="preserve">What is the </w:t>
            </w:r>
            <w:r w:rsidR="00795F19" w:rsidRPr="006F1547">
              <w:rPr>
                <w:b/>
                <w:bCs/>
              </w:rPr>
              <w:t xml:space="preserve">Specialty </w:t>
            </w:r>
            <w:r w:rsidRPr="006F1547">
              <w:rPr>
                <w:b/>
                <w:bCs/>
              </w:rPr>
              <w:t>Customer Care area that will support Copay Card</w:t>
            </w:r>
            <w:r w:rsidR="00FC6DD8" w:rsidRPr="006F1547">
              <w:rPr>
                <w:b/>
                <w:bCs/>
              </w:rPr>
              <w:t>s</w:t>
            </w:r>
            <w:r w:rsidRPr="006F1547">
              <w:rPr>
                <w:b/>
                <w:bCs/>
              </w:rPr>
              <w:t>?</w:t>
            </w:r>
          </w:p>
        </w:tc>
        <w:tc>
          <w:tcPr>
            <w:tcW w:w="3568" w:type="pct"/>
          </w:tcPr>
          <w:p w14:paraId="70B12325" w14:textId="574295A0" w:rsidR="00F9328A" w:rsidRPr="005F2B80" w:rsidRDefault="000704DA" w:rsidP="006F1547">
            <w:pPr>
              <w:spacing w:before="120" w:after="120"/>
            </w:pPr>
            <w:r>
              <w:t xml:space="preserve">Specialty </w:t>
            </w:r>
            <w:r w:rsidR="007B54A5" w:rsidRPr="005F2B80">
              <w:t>Benefit Verification/Billing</w:t>
            </w:r>
            <w:r w:rsidR="00C500E4">
              <w:t>.</w:t>
            </w:r>
          </w:p>
        </w:tc>
      </w:tr>
      <w:tr w:rsidR="006F1547" w:rsidRPr="005F2B80" w14:paraId="41BB6949" w14:textId="77777777" w:rsidTr="00B4154E">
        <w:tc>
          <w:tcPr>
            <w:tcW w:w="1432" w:type="pct"/>
          </w:tcPr>
          <w:p w14:paraId="11191E23" w14:textId="77777777" w:rsidR="00E51BDC" w:rsidRPr="006F1547" w:rsidRDefault="00E51BDC" w:rsidP="006F1547">
            <w:pPr>
              <w:spacing w:before="120" w:after="120"/>
              <w:rPr>
                <w:b/>
                <w:bCs/>
              </w:rPr>
            </w:pPr>
            <w:r w:rsidRPr="006F1547">
              <w:rPr>
                <w:b/>
                <w:bCs/>
              </w:rPr>
              <w:t>Why didn’t my deductible amount decrease?</w:t>
            </w:r>
          </w:p>
        </w:tc>
        <w:tc>
          <w:tcPr>
            <w:tcW w:w="3568" w:type="pct"/>
          </w:tcPr>
          <w:p w14:paraId="0BA5D8B8" w14:textId="77777777" w:rsidR="007F7F5C" w:rsidRDefault="00E51BDC" w:rsidP="006F1547">
            <w:pPr>
              <w:spacing w:before="120" w:after="120"/>
              <w:rPr>
                <w:rFonts w:cs="Arial"/>
              </w:rPr>
            </w:pPr>
            <w:r w:rsidRPr="005F2B80">
              <w:rPr>
                <w:rFonts w:cs="Arial"/>
              </w:rPr>
              <w:t xml:space="preserve">Your insurance received an update that now </w:t>
            </w:r>
            <w:r w:rsidR="009A6333" w:rsidRPr="005F2B80">
              <w:rPr>
                <w:rFonts w:cs="Arial"/>
              </w:rPr>
              <w:t>can</w:t>
            </w:r>
            <w:r w:rsidRPr="005F2B80">
              <w:rPr>
                <w:rFonts w:cs="Arial"/>
              </w:rPr>
              <w:t xml:space="preserve"> recognize non needs based copay card program payments and reflect those as insurance payments instead of deductible or </w:t>
            </w:r>
            <w:r w:rsidR="00A67B9D" w:rsidRPr="005F2B80">
              <w:rPr>
                <w:rFonts w:cs="Arial"/>
              </w:rPr>
              <w:t>O</w:t>
            </w:r>
            <w:r w:rsidRPr="005F2B80">
              <w:rPr>
                <w:rFonts w:cs="Arial"/>
              </w:rPr>
              <w:t>ut</w:t>
            </w:r>
            <w:r w:rsidR="00A67B9D" w:rsidRPr="005F2B80">
              <w:rPr>
                <w:rFonts w:cs="Arial"/>
              </w:rPr>
              <w:t>-</w:t>
            </w:r>
            <w:r w:rsidRPr="005F2B80">
              <w:rPr>
                <w:rFonts w:cs="Arial"/>
              </w:rPr>
              <w:t>of</w:t>
            </w:r>
            <w:r w:rsidR="00A67B9D" w:rsidRPr="005F2B80">
              <w:rPr>
                <w:rFonts w:cs="Arial"/>
              </w:rPr>
              <w:t>-P</w:t>
            </w:r>
            <w:r w:rsidRPr="005F2B80">
              <w:rPr>
                <w:rFonts w:cs="Arial"/>
              </w:rPr>
              <w:t>ocket patient payments.</w:t>
            </w:r>
          </w:p>
          <w:p w14:paraId="7477C091" w14:textId="77777777" w:rsidR="00BE7D0B" w:rsidRPr="005F2B80" w:rsidRDefault="00E51BDC" w:rsidP="006F1547">
            <w:pPr>
              <w:spacing w:before="120" w:after="120"/>
              <w:rPr>
                <w:rFonts w:cs="Arial"/>
              </w:rPr>
            </w:pPr>
            <w:r w:rsidRPr="005F2B80">
              <w:rPr>
                <w:rFonts w:cs="Arial"/>
              </w:rPr>
              <w:t xml:space="preserve">  </w:t>
            </w:r>
          </w:p>
          <w:p w14:paraId="34C9EDFA" w14:textId="06A5BADD" w:rsidR="000F6C07" w:rsidRPr="005F2B80" w:rsidRDefault="00E51BDC" w:rsidP="006F1547">
            <w:pPr>
              <w:spacing w:before="120" w:after="120"/>
            </w:pPr>
            <w:r w:rsidRPr="005F2B80">
              <w:rPr>
                <w:rFonts w:cs="Arial"/>
              </w:rPr>
              <w:t xml:space="preserve">This was done because the amounts that are applied to an insurance deductible and/or maximum </w:t>
            </w:r>
            <w:r w:rsidR="00A67B9D" w:rsidRPr="005F2B80">
              <w:rPr>
                <w:rFonts w:cs="Arial"/>
              </w:rPr>
              <w:t>O</w:t>
            </w:r>
            <w:r w:rsidRPr="005F2B80">
              <w:rPr>
                <w:rFonts w:cs="Arial"/>
              </w:rPr>
              <w:t>ut</w:t>
            </w:r>
            <w:r w:rsidR="00A67B9D" w:rsidRPr="005F2B80">
              <w:rPr>
                <w:rFonts w:cs="Arial"/>
              </w:rPr>
              <w:t>-</w:t>
            </w:r>
            <w:r w:rsidRPr="005F2B80">
              <w:rPr>
                <w:rFonts w:cs="Arial"/>
              </w:rPr>
              <w:t>of</w:t>
            </w:r>
            <w:r w:rsidR="00A67B9D" w:rsidRPr="005F2B80">
              <w:rPr>
                <w:rFonts w:cs="Arial"/>
              </w:rPr>
              <w:t>-P</w:t>
            </w:r>
            <w:r w:rsidRPr="005F2B80">
              <w:rPr>
                <w:rFonts w:cs="Arial"/>
              </w:rPr>
              <w:t>ocket is supposed to be reflective of amounts paid by the insured directly</w:t>
            </w:r>
            <w:r w:rsidR="003A071E">
              <w:rPr>
                <w:rFonts w:cs="Arial"/>
              </w:rPr>
              <w:t>.</w:t>
            </w:r>
          </w:p>
        </w:tc>
      </w:tr>
      <w:tr w:rsidR="006F1547" w:rsidRPr="005F2B80" w14:paraId="5EAC524E" w14:textId="77777777" w:rsidTr="00B4154E">
        <w:tc>
          <w:tcPr>
            <w:tcW w:w="1432" w:type="pct"/>
          </w:tcPr>
          <w:p w14:paraId="4DC2EAB6" w14:textId="77777777" w:rsidR="00E51BDC" w:rsidRPr="006F1547" w:rsidRDefault="00E51BDC" w:rsidP="006F1547">
            <w:pPr>
              <w:spacing w:before="120" w:after="120"/>
              <w:rPr>
                <w:rFonts w:cs="Arial"/>
                <w:b/>
                <w:bCs/>
              </w:rPr>
            </w:pPr>
            <w:r w:rsidRPr="006F1547">
              <w:rPr>
                <w:rFonts w:cs="Arial"/>
                <w:b/>
                <w:bCs/>
              </w:rPr>
              <w:t>Is this change to my benefit plan retroactive?</w:t>
            </w:r>
          </w:p>
          <w:p w14:paraId="49B3361D" w14:textId="77777777" w:rsidR="00E51BDC" w:rsidRPr="006F1547" w:rsidRDefault="00E51BDC" w:rsidP="006F1547">
            <w:pPr>
              <w:spacing w:before="120" w:after="120"/>
              <w:rPr>
                <w:b/>
                <w:bCs/>
              </w:rPr>
            </w:pPr>
          </w:p>
        </w:tc>
        <w:tc>
          <w:tcPr>
            <w:tcW w:w="3568" w:type="pct"/>
          </w:tcPr>
          <w:p w14:paraId="7B2FC2E2" w14:textId="1EFE54ED" w:rsidR="00BE7D0B" w:rsidRDefault="00E51BDC" w:rsidP="006F1547">
            <w:pPr>
              <w:spacing w:before="120" w:after="120"/>
              <w:rPr>
                <w:rFonts w:cs="Arial"/>
              </w:rPr>
            </w:pPr>
            <w:r w:rsidRPr="005F2B80">
              <w:rPr>
                <w:rFonts w:cs="Arial"/>
              </w:rPr>
              <w:t xml:space="preserve">No. Once your insurance is updated with the ability to recognize assistance program payments and reflect those as insurance payments instead of deductible or </w:t>
            </w:r>
            <w:r w:rsidR="00A67B9D" w:rsidRPr="005F2B80">
              <w:rPr>
                <w:rFonts w:cs="Arial"/>
              </w:rPr>
              <w:t>O</w:t>
            </w:r>
            <w:r w:rsidRPr="005F2B80">
              <w:rPr>
                <w:rFonts w:cs="Arial"/>
              </w:rPr>
              <w:t>ut</w:t>
            </w:r>
            <w:r w:rsidR="00A67B9D" w:rsidRPr="005F2B80">
              <w:rPr>
                <w:rFonts w:cs="Arial"/>
              </w:rPr>
              <w:t>-</w:t>
            </w:r>
            <w:r w:rsidRPr="005F2B80">
              <w:rPr>
                <w:rFonts w:cs="Arial"/>
              </w:rPr>
              <w:t>of</w:t>
            </w:r>
            <w:r w:rsidR="00A67B9D" w:rsidRPr="005F2B80">
              <w:rPr>
                <w:rFonts w:cs="Arial"/>
              </w:rPr>
              <w:t>-P</w:t>
            </w:r>
            <w:r w:rsidRPr="005F2B80">
              <w:rPr>
                <w:rFonts w:cs="Arial"/>
              </w:rPr>
              <w:t>ocket patient payments, the change will take effect on a go forward basis</w:t>
            </w:r>
            <w:r w:rsidR="004429A7" w:rsidRPr="005F2B80">
              <w:rPr>
                <w:rFonts w:cs="Arial"/>
              </w:rPr>
              <w:t xml:space="preserve">. </w:t>
            </w:r>
          </w:p>
          <w:p w14:paraId="72545BD3" w14:textId="77777777" w:rsidR="000F6C07" w:rsidRPr="005F2B80" w:rsidRDefault="000F6C07" w:rsidP="006F1547">
            <w:pPr>
              <w:spacing w:before="120" w:after="120"/>
              <w:rPr>
                <w:rFonts w:cs="Arial"/>
              </w:rPr>
            </w:pPr>
          </w:p>
          <w:p w14:paraId="0664A8CC" w14:textId="1E0CDB1F" w:rsidR="000F6C07" w:rsidRPr="005F2B80" w:rsidRDefault="00E51BDC" w:rsidP="006F1547">
            <w:pPr>
              <w:spacing w:before="120" w:after="120"/>
              <w:rPr>
                <w:rFonts w:cs="Arial"/>
              </w:rPr>
            </w:pPr>
            <w:r w:rsidRPr="005F2B80">
              <w:rPr>
                <w:rFonts w:cs="Arial"/>
              </w:rPr>
              <w:t>Any previous deductible or out of pocket patient payments will not be adjusted</w:t>
            </w:r>
            <w:r w:rsidR="003A071E">
              <w:rPr>
                <w:rFonts w:cs="Arial"/>
              </w:rPr>
              <w:t>.</w:t>
            </w:r>
          </w:p>
        </w:tc>
      </w:tr>
      <w:tr w:rsidR="006F1547" w:rsidRPr="005F2B80" w14:paraId="0AB9C5B4" w14:textId="77777777" w:rsidTr="00B4154E">
        <w:tc>
          <w:tcPr>
            <w:tcW w:w="1432" w:type="pct"/>
          </w:tcPr>
          <w:p w14:paraId="13DE5D05" w14:textId="77777777" w:rsidR="00E51BDC" w:rsidRPr="006F1547" w:rsidRDefault="00E51BDC" w:rsidP="006F1547">
            <w:pPr>
              <w:spacing w:before="120" w:after="120"/>
              <w:rPr>
                <w:rFonts w:cs="Arial"/>
                <w:b/>
                <w:bCs/>
              </w:rPr>
            </w:pPr>
            <w:r w:rsidRPr="006F1547">
              <w:rPr>
                <w:rFonts w:cs="Arial"/>
                <w:b/>
                <w:bCs/>
              </w:rPr>
              <w:t>Do all specialty members use a non-</w:t>
            </w:r>
            <w:r w:rsidR="0008261B" w:rsidRPr="006F1547">
              <w:rPr>
                <w:rFonts w:cs="Arial"/>
                <w:b/>
                <w:bCs/>
              </w:rPr>
              <w:t>needs-based</w:t>
            </w:r>
            <w:r w:rsidRPr="006F1547">
              <w:rPr>
                <w:rFonts w:cs="Arial"/>
                <w:b/>
                <w:bCs/>
              </w:rPr>
              <w:t xml:space="preserve"> copay card?</w:t>
            </w:r>
          </w:p>
        </w:tc>
        <w:tc>
          <w:tcPr>
            <w:tcW w:w="3568" w:type="pct"/>
          </w:tcPr>
          <w:p w14:paraId="54A344C2" w14:textId="6E3EF1A0" w:rsidR="00BE7D0B" w:rsidRDefault="00E51BDC" w:rsidP="006F1547">
            <w:pPr>
              <w:spacing w:before="120" w:after="120"/>
              <w:rPr>
                <w:rFonts w:cs="Arial"/>
              </w:rPr>
            </w:pPr>
            <w:r w:rsidRPr="005F2B80">
              <w:rPr>
                <w:rFonts w:cs="Arial"/>
              </w:rPr>
              <w:t>No. In many instances, members do not use a copay card</w:t>
            </w:r>
            <w:r w:rsidR="004429A7" w:rsidRPr="005F2B80">
              <w:rPr>
                <w:rFonts w:cs="Arial"/>
              </w:rPr>
              <w:t xml:space="preserve">. </w:t>
            </w:r>
          </w:p>
          <w:p w14:paraId="1691AC4F" w14:textId="77777777" w:rsidR="000F6C07" w:rsidRPr="005F2B80" w:rsidRDefault="000F6C07" w:rsidP="006F1547">
            <w:pPr>
              <w:spacing w:before="120" w:after="120"/>
              <w:rPr>
                <w:rFonts w:cs="Arial"/>
              </w:rPr>
            </w:pPr>
          </w:p>
          <w:p w14:paraId="2EF867FB" w14:textId="5DE5E661" w:rsidR="000F6C07" w:rsidRPr="005F2B80" w:rsidRDefault="00E51BDC" w:rsidP="006F1547">
            <w:pPr>
              <w:spacing w:before="120" w:after="120"/>
              <w:rPr>
                <w:rFonts w:cs="Arial"/>
              </w:rPr>
            </w:pPr>
            <w:r w:rsidRPr="005F2B80">
              <w:rPr>
                <w:rFonts w:cs="Arial"/>
              </w:rPr>
              <w:t xml:space="preserve">If a copay card is used </w:t>
            </w:r>
            <w:r w:rsidR="009A6333" w:rsidRPr="005F2B80">
              <w:rPr>
                <w:rFonts w:cs="Arial"/>
              </w:rPr>
              <w:t>to</w:t>
            </w:r>
            <w:r w:rsidRPr="005F2B80">
              <w:rPr>
                <w:rFonts w:cs="Arial"/>
              </w:rPr>
              <w:t xml:space="preserve"> </w:t>
            </w:r>
            <w:r w:rsidR="0091467F" w:rsidRPr="005F2B80">
              <w:rPr>
                <w:rFonts w:cs="Arial"/>
              </w:rPr>
              <w:t>offset</w:t>
            </w:r>
            <w:r w:rsidRPr="005F2B80">
              <w:rPr>
                <w:rFonts w:cs="Arial"/>
              </w:rPr>
              <w:t xml:space="preserve"> any cost share, the value of the copay card will </w:t>
            </w:r>
            <w:r w:rsidRPr="005F2B80">
              <w:rPr>
                <w:rFonts w:cs="Arial"/>
                <w:b/>
              </w:rPr>
              <w:t xml:space="preserve">not </w:t>
            </w:r>
            <w:r w:rsidRPr="005F2B80">
              <w:rPr>
                <w:rFonts w:cs="Arial"/>
              </w:rPr>
              <w:t xml:space="preserve">be added to your deductible or </w:t>
            </w:r>
            <w:r w:rsidR="00A67B9D" w:rsidRPr="005F2B80">
              <w:rPr>
                <w:rFonts w:cs="Arial"/>
              </w:rPr>
              <w:t>O</w:t>
            </w:r>
            <w:r w:rsidRPr="005F2B80">
              <w:rPr>
                <w:rFonts w:cs="Arial"/>
              </w:rPr>
              <w:t>ut</w:t>
            </w:r>
            <w:r w:rsidR="00A67B9D" w:rsidRPr="005F2B80">
              <w:rPr>
                <w:rFonts w:cs="Arial"/>
              </w:rPr>
              <w:t>-</w:t>
            </w:r>
            <w:r w:rsidRPr="005F2B80">
              <w:rPr>
                <w:rFonts w:cs="Arial"/>
              </w:rPr>
              <w:t>of</w:t>
            </w:r>
            <w:r w:rsidR="00A67B9D" w:rsidRPr="005F2B80">
              <w:rPr>
                <w:rFonts w:cs="Arial"/>
              </w:rPr>
              <w:t>-P</w:t>
            </w:r>
            <w:r w:rsidRPr="005F2B80">
              <w:rPr>
                <w:rFonts w:cs="Arial"/>
              </w:rPr>
              <w:t>ocket maximum</w:t>
            </w:r>
            <w:r w:rsidR="003A071E">
              <w:rPr>
                <w:rFonts w:cs="Arial"/>
              </w:rPr>
              <w:t>.</w:t>
            </w:r>
          </w:p>
        </w:tc>
      </w:tr>
      <w:tr w:rsidR="006F1547" w:rsidRPr="005F2B80" w14:paraId="36483E1E" w14:textId="77777777" w:rsidTr="00B4154E">
        <w:trPr>
          <w:trHeight w:val="1241"/>
        </w:trPr>
        <w:tc>
          <w:tcPr>
            <w:tcW w:w="1432" w:type="pct"/>
          </w:tcPr>
          <w:p w14:paraId="13E242BD" w14:textId="77777777" w:rsidR="00443F62" w:rsidRPr="006F1547" w:rsidRDefault="00443F62" w:rsidP="006F1547">
            <w:pPr>
              <w:spacing w:before="120" w:after="120"/>
              <w:rPr>
                <w:rFonts w:cs="Arial"/>
                <w:b/>
                <w:bCs/>
              </w:rPr>
            </w:pPr>
            <w:r w:rsidRPr="006F1547">
              <w:rPr>
                <w:rFonts w:cs="Arial"/>
                <w:b/>
                <w:bCs/>
              </w:rPr>
              <w:t>Are members required to use a copay card?</w:t>
            </w:r>
          </w:p>
          <w:p w14:paraId="6A2716E9" w14:textId="77777777" w:rsidR="00F86BD4" w:rsidRPr="006F1547" w:rsidRDefault="00F86BD4" w:rsidP="006F1547">
            <w:pPr>
              <w:spacing w:before="120" w:after="120"/>
              <w:rPr>
                <w:rFonts w:cs="Arial"/>
                <w:b/>
                <w:bCs/>
              </w:rPr>
            </w:pPr>
          </w:p>
        </w:tc>
        <w:tc>
          <w:tcPr>
            <w:tcW w:w="3568" w:type="pct"/>
          </w:tcPr>
          <w:p w14:paraId="78A6E912" w14:textId="78B3C364" w:rsidR="00443F62" w:rsidRPr="005F2B80" w:rsidRDefault="00443F62" w:rsidP="006F1547">
            <w:pPr>
              <w:spacing w:before="120" w:after="120"/>
              <w:rPr>
                <w:rFonts w:cs="Arial"/>
              </w:rPr>
            </w:pPr>
            <w:r w:rsidRPr="005F2B80">
              <w:rPr>
                <w:rFonts w:cs="Arial"/>
                <w:bCs/>
              </w:rPr>
              <w:t xml:space="preserve">No. Members are not required to participate in a copay card program. </w:t>
            </w:r>
            <w:r w:rsidR="00893D63" w:rsidRPr="005F2B80">
              <w:rPr>
                <w:rFonts w:cs="Arial"/>
                <w:bCs/>
              </w:rPr>
              <w:t>If,</w:t>
            </w:r>
            <w:r w:rsidRPr="005F2B80">
              <w:rPr>
                <w:rFonts w:cs="Arial"/>
                <w:bCs/>
              </w:rPr>
              <w:t xml:space="preserve"> </w:t>
            </w:r>
            <w:r w:rsidR="00893D63" w:rsidRPr="005F2B80">
              <w:rPr>
                <w:rFonts w:cs="Arial"/>
                <w:bCs/>
              </w:rPr>
              <w:t>however,</w:t>
            </w:r>
            <w:r w:rsidRPr="005F2B80">
              <w:rPr>
                <w:rFonts w:cs="Arial"/>
                <w:bCs/>
              </w:rPr>
              <w:t xml:space="preserve"> a client is enrolled in </w:t>
            </w:r>
            <w:r w:rsidR="00FC6DD8">
              <w:rPr>
                <w:rFonts w:cs="Arial"/>
                <w:bCs/>
              </w:rPr>
              <w:t>a</w:t>
            </w:r>
            <w:r w:rsidR="00FC6DD8" w:rsidRPr="005F2B80">
              <w:rPr>
                <w:rFonts w:cs="Arial"/>
                <w:bCs/>
              </w:rPr>
              <w:t xml:space="preserve"> </w:t>
            </w:r>
            <w:r w:rsidR="00FC6DD8">
              <w:rPr>
                <w:rFonts w:cs="Arial"/>
                <w:bCs/>
              </w:rPr>
              <w:t xml:space="preserve">Specialty </w:t>
            </w:r>
            <w:r w:rsidRPr="005F2B80">
              <w:rPr>
                <w:rFonts w:cs="Arial"/>
                <w:bCs/>
              </w:rPr>
              <w:t>Copay Plan Design</w:t>
            </w:r>
            <w:r w:rsidR="00FC6DD8">
              <w:rPr>
                <w:rFonts w:cs="Arial"/>
                <w:bCs/>
              </w:rPr>
              <w:t xml:space="preserve"> Strategy</w:t>
            </w:r>
            <w:r w:rsidRPr="005F2B80">
              <w:rPr>
                <w:rFonts w:cs="Arial"/>
                <w:bCs/>
              </w:rPr>
              <w:t xml:space="preserve">, enrollment in a copay card program to help offset </w:t>
            </w:r>
            <w:r w:rsidR="00A67B9D" w:rsidRPr="005F2B80">
              <w:rPr>
                <w:rFonts w:cs="Arial"/>
                <w:bCs/>
              </w:rPr>
              <w:t>O</w:t>
            </w:r>
            <w:r w:rsidRPr="005F2B80">
              <w:rPr>
                <w:rFonts w:cs="Arial"/>
                <w:bCs/>
              </w:rPr>
              <w:t>ut-of-</w:t>
            </w:r>
            <w:r w:rsidR="00A67B9D" w:rsidRPr="005F2B80">
              <w:rPr>
                <w:rFonts w:cs="Arial"/>
                <w:bCs/>
              </w:rPr>
              <w:t>P</w:t>
            </w:r>
            <w:r w:rsidRPr="005F2B80">
              <w:rPr>
                <w:rFonts w:cs="Arial"/>
                <w:bCs/>
              </w:rPr>
              <w:t>ocket costs is strongly recommended and should be encouraged. Members should be directed toward the appropriate copay card enrollment process.</w:t>
            </w:r>
          </w:p>
        </w:tc>
      </w:tr>
      <w:tr w:rsidR="006F1547" w:rsidRPr="005F2B80" w14:paraId="7BAB8623" w14:textId="77777777" w:rsidTr="00B4154E">
        <w:trPr>
          <w:trHeight w:val="1241"/>
        </w:trPr>
        <w:tc>
          <w:tcPr>
            <w:tcW w:w="1432" w:type="pct"/>
          </w:tcPr>
          <w:p w14:paraId="0C83D201" w14:textId="77777777" w:rsidR="007A5FB3" w:rsidRPr="006F1547" w:rsidRDefault="007A5FB3" w:rsidP="006F1547">
            <w:pPr>
              <w:spacing w:before="120" w:after="120"/>
              <w:rPr>
                <w:rFonts w:cs="Arial"/>
                <w:b/>
                <w:bCs/>
              </w:rPr>
            </w:pPr>
            <w:r w:rsidRPr="006F1547">
              <w:rPr>
                <w:rFonts w:cs="Arial"/>
                <w:b/>
                <w:bCs/>
              </w:rPr>
              <w:t>Who can I speak with about the copay card program I am currently using?</w:t>
            </w:r>
          </w:p>
        </w:tc>
        <w:tc>
          <w:tcPr>
            <w:tcW w:w="3568" w:type="pct"/>
          </w:tcPr>
          <w:p w14:paraId="381C2051" w14:textId="49A0A2FC" w:rsidR="007A5FB3" w:rsidRDefault="007A5FB3" w:rsidP="006F1547">
            <w:pPr>
              <w:pStyle w:val="ListParagraph"/>
              <w:spacing w:before="120" w:after="120"/>
              <w:ind w:left="0"/>
              <w:rPr>
                <w:rFonts w:ascii="Verdana" w:hAnsi="Verdana" w:cs="Arial"/>
                <w:sz w:val="24"/>
                <w:szCs w:val="24"/>
              </w:rPr>
            </w:pPr>
            <w:r w:rsidRPr="005F2B80">
              <w:rPr>
                <w:rFonts w:ascii="Verdana" w:hAnsi="Verdana" w:cs="Arial"/>
                <w:sz w:val="24"/>
                <w:szCs w:val="24"/>
              </w:rPr>
              <w:t>The CVS Specialty Pharmacy can answer questions you have on the copay card</w:t>
            </w:r>
            <w:r w:rsidR="004429A7" w:rsidRPr="005F2B80">
              <w:rPr>
                <w:rFonts w:ascii="Verdana" w:hAnsi="Verdana" w:cs="Arial"/>
                <w:sz w:val="24"/>
                <w:szCs w:val="24"/>
              </w:rPr>
              <w:t xml:space="preserve">. </w:t>
            </w:r>
          </w:p>
          <w:p w14:paraId="2A10A6DB" w14:textId="77777777" w:rsidR="007A5FB3" w:rsidRDefault="007A5FB3" w:rsidP="006F1547">
            <w:pPr>
              <w:pStyle w:val="ListParagraph"/>
              <w:spacing w:before="120" w:after="120"/>
              <w:ind w:left="0"/>
              <w:rPr>
                <w:rFonts w:ascii="Verdana" w:hAnsi="Verdana" w:cs="Arial"/>
                <w:sz w:val="24"/>
                <w:szCs w:val="24"/>
              </w:rPr>
            </w:pPr>
          </w:p>
          <w:p w14:paraId="5BDDFAD2" w14:textId="210A0A3D" w:rsidR="007A5FB3" w:rsidRDefault="007A5FB3" w:rsidP="006F1547">
            <w:pPr>
              <w:pStyle w:val="ListParagraph"/>
              <w:spacing w:before="120" w:after="120"/>
              <w:ind w:left="0"/>
              <w:rPr>
                <w:rFonts w:ascii="Verdana" w:hAnsi="Verdana"/>
                <w:sz w:val="24"/>
                <w:szCs w:val="24"/>
              </w:rPr>
            </w:pPr>
            <w:r w:rsidRPr="0081412E">
              <w:rPr>
                <w:rFonts w:ascii="Verdana" w:hAnsi="Verdana" w:cs="Arial"/>
                <w:b/>
                <w:bCs/>
                <w:sz w:val="24"/>
                <w:szCs w:val="24"/>
              </w:rPr>
              <w:t>C</w:t>
            </w:r>
            <w:r w:rsidRPr="0081412E">
              <w:rPr>
                <w:rFonts w:ascii="Verdana" w:hAnsi="Verdana"/>
                <w:b/>
                <w:bCs/>
                <w:sz w:val="24"/>
                <w:szCs w:val="24"/>
              </w:rPr>
              <w:t>CR:</w:t>
            </w:r>
            <w:r w:rsidRPr="0081412E">
              <w:rPr>
                <w:rFonts w:ascii="Verdana" w:hAnsi="Verdana"/>
                <w:sz w:val="24"/>
                <w:szCs w:val="24"/>
              </w:rPr>
              <w:t xml:space="preserve"> </w:t>
            </w:r>
            <w:hyperlink r:id="rId21" w:anchor="!/view?docid=18c64566-0ebb-4760-96fe-04da06185de0" w:history="1">
              <w:r w:rsidR="0038193C" w:rsidRPr="0038193C">
                <w:rPr>
                  <w:rStyle w:val="Hyperlink"/>
                  <w:rFonts w:ascii="Verdana" w:hAnsi="Verdana"/>
                  <w:sz w:val="24"/>
                  <w:szCs w:val="24"/>
                </w:rPr>
                <w:t>Warm Transfer (066076)</w:t>
              </w:r>
            </w:hyperlink>
            <w:r w:rsidRPr="0081412E">
              <w:rPr>
                <w:rFonts w:ascii="Verdana" w:hAnsi="Verdana" w:cs="Arial"/>
                <w:sz w:val="24"/>
                <w:szCs w:val="24"/>
              </w:rPr>
              <w:t xml:space="preserve"> </w:t>
            </w:r>
            <w:r w:rsidRPr="0081412E">
              <w:rPr>
                <w:rFonts w:ascii="Verdana" w:hAnsi="Verdana"/>
                <w:sz w:val="24"/>
                <w:szCs w:val="24"/>
              </w:rPr>
              <w:t>the caller</w:t>
            </w:r>
            <w:r>
              <w:rPr>
                <w:rFonts w:ascii="Verdana" w:hAnsi="Verdana"/>
                <w:sz w:val="24"/>
                <w:szCs w:val="24"/>
              </w:rPr>
              <w:t xml:space="preserve"> to Specialty pharmacy</w:t>
            </w:r>
            <w:r w:rsidRPr="0081412E">
              <w:rPr>
                <w:rFonts w:ascii="Verdana" w:hAnsi="Verdana"/>
                <w:sz w:val="24"/>
                <w:szCs w:val="24"/>
              </w:rPr>
              <w:t xml:space="preserve">.  </w:t>
            </w:r>
          </w:p>
          <w:p w14:paraId="6DEC2D44" w14:textId="77777777" w:rsidR="007A5FB3" w:rsidRDefault="007A5FB3" w:rsidP="006F1547">
            <w:pPr>
              <w:pStyle w:val="ListParagraph"/>
              <w:spacing w:before="120" w:after="120"/>
              <w:ind w:left="0"/>
              <w:rPr>
                <w:rFonts w:ascii="Verdana" w:hAnsi="Verdana" w:cs="Arial"/>
                <w:sz w:val="24"/>
                <w:szCs w:val="24"/>
              </w:rPr>
            </w:pPr>
          </w:p>
          <w:p w14:paraId="189187E3" w14:textId="77777777" w:rsidR="007A5FB3" w:rsidRPr="007A5FB3" w:rsidRDefault="007A5FB3" w:rsidP="006F1547">
            <w:pPr>
              <w:spacing w:before="120" w:after="120"/>
              <w:ind w:left="360"/>
            </w:pPr>
            <w:bookmarkStart w:id="25" w:name="OLE_LINK1"/>
            <w:r>
              <w:rPr>
                <w:noProof/>
              </w:rPr>
              <w:drawing>
                <wp:inline distT="0" distB="0" distL="0" distR="0" wp14:anchorId="42DE1025" wp14:editId="5C1E3248">
                  <wp:extent cx="238158" cy="209579"/>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Pr="007A5FB3">
              <w:t>Let me get you over to our Specialty pharmacy, who will direct you to your correct therapy for further assistance.</w:t>
            </w:r>
            <w:bookmarkEnd w:id="25"/>
          </w:p>
          <w:p w14:paraId="2216BE72" w14:textId="77777777" w:rsidR="007A5FB3" w:rsidRDefault="007A5FB3" w:rsidP="006F1547">
            <w:pPr>
              <w:spacing w:before="120" w:after="120"/>
              <w:rPr>
                <w:b/>
                <w:bCs/>
              </w:rPr>
            </w:pPr>
          </w:p>
          <w:p w14:paraId="35EDB7A8" w14:textId="19377930" w:rsidR="007A5FB3" w:rsidRPr="005F2B80" w:rsidRDefault="007A5FB3" w:rsidP="006F1547">
            <w:pPr>
              <w:spacing w:before="120" w:after="120"/>
              <w:rPr>
                <w:rFonts w:cs="Arial"/>
              </w:rPr>
            </w:pPr>
            <w:r>
              <w:rPr>
                <w:b/>
                <w:bCs/>
              </w:rPr>
              <w:t xml:space="preserve">Note: </w:t>
            </w:r>
            <w:r>
              <w:t xml:space="preserve">Some clients may include non-CVS Specialty pharmacies in their Exclusive Specialty network or a client who has implemented the PrudentRx solution may have members continuing to fill their Limited Distribution no access drugs (LDDs) at non-CVS Specialty dispensing pharmacies, but those medications </w:t>
            </w:r>
            <w:r>
              <w:rPr>
                <w:b/>
                <w:bCs/>
              </w:rPr>
              <w:t xml:space="preserve">are </w:t>
            </w:r>
            <w:r>
              <w:t xml:space="preserve">included in the program. The member should be directed back to the dispensing pharmacy accordingly or, where appropriate, to a PrudentRx member advocate at </w:t>
            </w:r>
            <w:r w:rsidRPr="00611640">
              <w:rPr>
                <w:rFonts w:cs="Arial"/>
                <w:b/>
              </w:rPr>
              <w:t>1-800-578-4403</w:t>
            </w:r>
            <w:r w:rsidRPr="00611640">
              <w:rPr>
                <w:rFonts w:cs="Arial"/>
              </w:rPr>
              <w:t xml:space="preserve"> </w:t>
            </w:r>
            <w:r>
              <w:t xml:space="preserve">for further assistance. </w:t>
            </w:r>
          </w:p>
        </w:tc>
      </w:tr>
      <w:tr w:rsidR="006F1547" w:rsidRPr="005F2B80" w14:paraId="78CAB875" w14:textId="77777777" w:rsidTr="00B4154E">
        <w:trPr>
          <w:trHeight w:val="1241"/>
        </w:trPr>
        <w:tc>
          <w:tcPr>
            <w:tcW w:w="1432" w:type="pct"/>
          </w:tcPr>
          <w:p w14:paraId="7E45F24F" w14:textId="77777777" w:rsidR="007A5FB3" w:rsidRPr="006F1547" w:rsidRDefault="007A5FB3" w:rsidP="006F1547">
            <w:pPr>
              <w:spacing w:before="120" w:after="120"/>
              <w:rPr>
                <w:rFonts w:cs="Arial"/>
                <w:b/>
                <w:bCs/>
              </w:rPr>
            </w:pPr>
            <w:r w:rsidRPr="006F1547">
              <w:rPr>
                <w:rFonts w:cs="Arial"/>
                <w:b/>
                <w:bCs/>
              </w:rPr>
              <w:t xml:space="preserve">Is the needs-based foundation/ patient assistance program copay card included as part of this change? </w:t>
            </w:r>
          </w:p>
        </w:tc>
        <w:tc>
          <w:tcPr>
            <w:tcW w:w="3568" w:type="pct"/>
          </w:tcPr>
          <w:p w14:paraId="5C6DBBCE" w14:textId="194D3AD2" w:rsidR="007A5FB3" w:rsidRPr="007A5FB3" w:rsidRDefault="004429A7" w:rsidP="006F1547">
            <w:pPr>
              <w:pStyle w:val="ListParagraph"/>
              <w:spacing w:before="120" w:after="120"/>
              <w:ind w:left="0"/>
              <w:rPr>
                <w:rFonts w:ascii="Verdana" w:hAnsi="Verdana" w:cs="Arial"/>
                <w:sz w:val="24"/>
                <w:szCs w:val="24"/>
              </w:rPr>
            </w:pPr>
            <w:r w:rsidRPr="007A5FB3">
              <w:rPr>
                <w:rFonts w:ascii="Verdana" w:hAnsi="Verdana" w:cs="Arial"/>
                <w:sz w:val="24"/>
                <w:szCs w:val="24"/>
              </w:rPr>
              <w:t xml:space="preserve">No. </w:t>
            </w:r>
            <w:r w:rsidR="007A5FB3" w:rsidRPr="007A5FB3">
              <w:rPr>
                <w:rFonts w:ascii="Verdana" w:hAnsi="Verdana" w:cs="Arial"/>
                <w:sz w:val="24"/>
                <w:szCs w:val="24"/>
              </w:rPr>
              <w:t xml:space="preserve">The benefit change applies only to </w:t>
            </w:r>
            <w:r w:rsidR="007A5FB3" w:rsidRPr="007A5FB3">
              <w:rPr>
                <w:rFonts w:ascii="Verdana" w:hAnsi="Verdana" w:cs="Arial"/>
                <w:b/>
                <w:sz w:val="24"/>
                <w:szCs w:val="24"/>
              </w:rPr>
              <w:t>non-needs-based</w:t>
            </w:r>
            <w:r w:rsidR="007A5FB3" w:rsidRPr="007A5FB3">
              <w:rPr>
                <w:rFonts w:ascii="Verdana" w:hAnsi="Verdana" w:cs="Arial"/>
                <w:sz w:val="24"/>
                <w:szCs w:val="24"/>
              </w:rPr>
              <w:t xml:space="preserve"> copay card programs. The </w:t>
            </w:r>
            <w:r w:rsidR="007A5FB3" w:rsidRPr="007A5FB3">
              <w:rPr>
                <w:rFonts w:ascii="Verdana" w:hAnsi="Verdana" w:cs="Arial"/>
                <w:b/>
                <w:sz w:val="24"/>
                <w:szCs w:val="24"/>
              </w:rPr>
              <w:t>needs-based</w:t>
            </w:r>
            <w:r w:rsidR="007A5FB3" w:rsidRPr="007A5FB3">
              <w:rPr>
                <w:rFonts w:ascii="Verdana" w:hAnsi="Verdana" w:cs="Arial"/>
                <w:sz w:val="24"/>
                <w:szCs w:val="24"/>
              </w:rPr>
              <w:t xml:space="preserve"> foundation/patient assistance programs are not included as part of the benefit change.</w:t>
            </w:r>
          </w:p>
        </w:tc>
      </w:tr>
      <w:tr w:rsidR="006F1547" w:rsidRPr="005F2B80" w14:paraId="74A7145F" w14:textId="77777777" w:rsidTr="00B4154E">
        <w:trPr>
          <w:trHeight w:val="1241"/>
        </w:trPr>
        <w:tc>
          <w:tcPr>
            <w:tcW w:w="1432" w:type="pct"/>
          </w:tcPr>
          <w:p w14:paraId="14134C8E" w14:textId="77777777" w:rsidR="007A5FB3" w:rsidRPr="006F1547" w:rsidRDefault="007A5FB3" w:rsidP="006F1547">
            <w:pPr>
              <w:spacing w:before="120" w:after="120"/>
              <w:rPr>
                <w:rFonts w:cs="Arial"/>
                <w:b/>
                <w:bCs/>
              </w:rPr>
            </w:pPr>
            <w:r w:rsidRPr="006F1547">
              <w:rPr>
                <w:rFonts w:cs="Arial"/>
                <w:b/>
                <w:bCs/>
              </w:rPr>
              <w:t xml:space="preserve">Can you tell me how much was contributed towards my deductible/ maximum out of pocket for my last prescription? </w:t>
            </w:r>
          </w:p>
          <w:p w14:paraId="436C945D" w14:textId="77777777" w:rsidR="007A5FB3" w:rsidRPr="006F1547" w:rsidRDefault="007A5FB3" w:rsidP="006F1547">
            <w:pPr>
              <w:spacing w:before="120" w:after="120"/>
              <w:rPr>
                <w:rFonts w:cs="Arial"/>
                <w:b/>
                <w:bCs/>
              </w:rPr>
            </w:pPr>
          </w:p>
        </w:tc>
        <w:tc>
          <w:tcPr>
            <w:tcW w:w="3568" w:type="pct"/>
          </w:tcPr>
          <w:p w14:paraId="37849724" w14:textId="77777777" w:rsidR="007A5FB3" w:rsidRPr="005F2B80" w:rsidRDefault="007A5FB3" w:rsidP="006F1547">
            <w:pPr>
              <w:spacing w:before="120" w:after="120"/>
              <w:rPr>
                <w:rFonts w:cs="Arial"/>
              </w:rPr>
            </w:pPr>
            <w:r w:rsidRPr="005F2B80">
              <w:rPr>
                <w:rFonts w:cs="Arial"/>
              </w:rPr>
              <w:t xml:space="preserve">Yes. Accumulator updates are now visible within </w:t>
            </w:r>
            <w:r>
              <w:rPr>
                <w:rFonts w:cs="Arial"/>
              </w:rPr>
              <w:t>Compass</w:t>
            </w:r>
            <w:r w:rsidRPr="005F2B80">
              <w:rPr>
                <w:rFonts w:cs="Arial"/>
              </w:rPr>
              <w:t>. For clients enrolled in the program and have changed their benefit, the manufacturer offset (</w:t>
            </w:r>
            <w:r w:rsidRPr="00F26E92">
              <w:rPr>
                <w:rFonts w:cs="Arial"/>
                <w:b/>
                <w:bCs/>
              </w:rPr>
              <w:t>Example:</w:t>
            </w:r>
            <w:r>
              <w:rPr>
                <w:rFonts w:cs="Arial"/>
              </w:rPr>
              <w:t xml:space="preserve">  C</w:t>
            </w:r>
            <w:r w:rsidRPr="005F2B80">
              <w:rPr>
                <w:rFonts w:cs="Arial"/>
              </w:rPr>
              <w:t xml:space="preserve">opay card support) is populated and the final amount of Deductible/Maximum Out-of-Pocket (MOOP) contribution will be listed. </w:t>
            </w:r>
          </w:p>
        </w:tc>
      </w:tr>
      <w:tr w:rsidR="006F1547" w:rsidRPr="005F2B80" w14:paraId="096E6EF2" w14:textId="77777777" w:rsidTr="00B4154E">
        <w:tc>
          <w:tcPr>
            <w:tcW w:w="1432" w:type="pct"/>
          </w:tcPr>
          <w:p w14:paraId="48C5679D" w14:textId="77777777" w:rsidR="007A5FB3" w:rsidRPr="006F1547" w:rsidRDefault="007A5FB3" w:rsidP="006F1547">
            <w:pPr>
              <w:spacing w:before="120" w:after="120"/>
              <w:rPr>
                <w:rFonts w:cs="Arial"/>
                <w:b/>
                <w:bCs/>
              </w:rPr>
            </w:pPr>
            <w:r w:rsidRPr="006F1547">
              <w:rPr>
                <w:rFonts w:cs="Arial"/>
                <w:b/>
                <w:bCs/>
              </w:rPr>
              <w:t>Can a member opt out of this program or can an exception can be made to have their copay card apply to their accumulators again?</w:t>
            </w:r>
          </w:p>
          <w:p w14:paraId="5824C97A" w14:textId="77777777" w:rsidR="007A5FB3" w:rsidRPr="006F1547" w:rsidRDefault="007A5FB3" w:rsidP="006F1547">
            <w:pPr>
              <w:spacing w:before="120" w:after="120"/>
              <w:rPr>
                <w:rFonts w:cs="Arial"/>
                <w:b/>
                <w:bCs/>
              </w:rPr>
            </w:pPr>
            <w:r w:rsidRPr="006F1547">
              <w:rPr>
                <w:rFonts w:cs="Arial"/>
                <w:b/>
                <w:bCs/>
              </w:rPr>
              <w:t xml:space="preserve"> </w:t>
            </w:r>
          </w:p>
        </w:tc>
        <w:tc>
          <w:tcPr>
            <w:tcW w:w="3568" w:type="pct"/>
          </w:tcPr>
          <w:p w14:paraId="688FC33F" w14:textId="2297A5B4" w:rsidR="007A5FB3" w:rsidRPr="00AF361E" w:rsidRDefault="007A5FB3" w:rsidP="006F1547">
            <w:pPr>
              <w:spacing w:before="120" w:after="120"/>
              <w:rPr>
                <w:rFonts w:cs="Arial"/>
              </w:rPr>
            </w:pPr>
            <w:r w:rsidRPr="002814B4">
              <w:rPr>
                <w:rFonts w:cs="Arial"/>
                <w:b/>
              </w:rPr>
              <w:t>For True Accumulations:</w:t>
            </w:r>
            <w:r w:rsidRPr="00B17153">
              <w:rPr>
                <w:rFonts w:cs="Arial"/>
                <w:bCs/>
              </w:rPr>
              <w:t xml:space="preserve"> </w:t>
            </w:r>
            <w:r w:rsidRPr="00AF361E">
              <w:rPr>
                <w:rFonts w:cs="Arial"/>
              </w:rPr>
              <w:t xml:space="preserve">A member can choose </w:t>
            </w:r>
            <w:r w:rsidR="00977772" w:rsidRPr="00AF361E">
              <w:rPr>
                <w:rFonts w:cs="Arial"/>
              </w:rPr>
              <w:t>not to</w:t>
            </w:r>
            <w:r w:rsidRPr="00AF361E">
              <w:rPr>
                <w:rFonts w:cs="Arial"/>
              </w:rPr>
              <w:t xml:space="preserve"> utilize assistance. This way, every penny the member pays gets applied to their accumulation. </w:t>
            </w:r>
          </w:p>
          <w:p w14:paraId="6E42307C" w14:textId="77777777" w:rsidR="007A5FB3" w:rsidRDefault="007A5FB3" w:rsidP="006F1547">
            <w:pPr>
              <w:spacing w:before="120" w:after="120"/>
              <w:rPr>
                <w:rFonts w:cs="Arial"/>
                <w:b/>
                <w:bCs/>
              </w:rPr>
            </w:pPr>
          </w:p>
          <w:p w14:paraId="7C4AF4C3" w14:textId="77777777" w:rsidR="007A5FB3" w:rsidRDefault="007A5FB3" w:rsidP="006F1547">
            <w:pPr>
              <w:spacing w:before="120" w:after="120"/>
              <w:rPr>
                <w:rFonts w:cs="Arial"/>
                <w:b/>
                <w:bCs/>
              </w:rPr>
            </w:pPr>
            <w:r w:rsidRPr="00B17153">
              <w:rPr>
                <w:rFonts w:cs="Arial"/>
                <w:b/>
                <w:bCs/>
              </w:rPr>
              <w:t>OR</w:t>
            </w:r>
          </w:p>
          <w:p w14:paraId="629CD672" w14:textId="77777777" w:rsidR="007A5FB3" w:rsidRPr="00B17153" w:rsidRDefault="007A5FB3" w:rsidP="006F1547">
            <w:pPr>
              <w:spacing w:before="120" w:after="120"/>
              <w:rPr>
                <w:rFonts w:cs="Arial"/>
                <w:b/>
                <w:bCs/>
              </w:rPr>
            </w:pPr>
          </w:p>
          <w:p w14:paraId="35DBCC20" w14:textId="77777777" w:rsidR="007A5FB3" w:rsidRDefault="007A5FB3" w:rsidP="006F1547">
            <w:pPr>
              <w:pStyle w:val="ListParagraph"/>
              <w:spacing w:before="120" w:after="120"/>
              <w:ind w:left="0"/>
              <w:rPr>
                <w:rFonts w:ascii="Verdana" w:hAnsi="Verdana" w:cs="Arial"/>
                <w:sz w:val="24"/>
                <w:szCs w:val="24"/>
              </w:rPr>
            </w:pPr>
            <w:r w:rsidRPr="00AF361E">
              <w:rPr>
                <w:rFonts w:ascii="Verdana" w:hAnsi="Verdana" w:cs="Arial"/>
                <w:sz w:val="24"/>
                <w:szCs w:val="24"/>
              </w:rPr>
              <w:t xml:space="preserve">A member using the assistance card on an insurance/prescription plan is </w:t>
            </w:r>
            <w:r>
              <w:rPr>
                <w:rFonts w:ascii="Verdana" w:hAnsi="Verdana" w:cs="Arial"/>
                <w:sz w:val="24"/>
                <w:szCs w:val="24"/>
              </w:rPr>
              <w:t>subject to the</w:t>
            </w:r>
            <w:r w:rsidRPr="00AF361E">
              <w:rPr>
                <w:rFonts w:ascii="Verdana" w:hAnsi="Verdana" w:cs="Arial"/>
                <w:sz w:val="24"/>
                <w:szCs w:val="24"/>
              </w:rPr>
              <w:t xml:space="preserve"> program</w:t>
            </w:r>
            <w:r>
              <w:rPr>
                <w:rFonts w:ascii="Verdana" w:hAnsi="Verdana" w:cs="Arial"/>
                <w:sz w:val="24"/>
                <w:szCs w:val="24"/>
              </w:rPr>
              <w:t xml:space="preserve"> plan design</w:t>
            </w:r>
            <w:r w:rsidRPr="00AF361E">
              <w:rPr>
                <w:rFonts w:ascii="Verdana" w:hAnsi="Verdana" w:cs="Arial"/>
                <w:sz w:val="24"/>
                <w:szCs w:val="24"/>
              </w:rPr>
              <w:t>. Members cannot opt out</w:t>
            </w:r>
            <w:r>
              <w:rPr>
                <w:rFonts w:ascii="Verdana" w:hAnsi="Verdana" w:cs="Arial"/>
                <w:sz w:val="24"/>
                <w:szCs w:val="24"/>
              </w:rPr>
              <w:t>;</w:t>
            </w:r>
            <w:r w:rsidRPr="00AF361E">
              <w:rPr>
                <w:rFonts w:ascii="Verdana" w:hAnsi="Verdana" w:cs="Arial"/>
                <w:sz w:val="24"/>
                <w:szCs w:val="24"/>
              </w:rPr>
              <w:t xml:space="preserve"> they have the option to present/advise the pharmacy to use the copay card</w:t>
            </w:r>
            <w:r>
              <w:rPr>
                <w:rFonts w:ascii="Verdana" w:hAnsi="Verdana" w:cs="Arial"/>
                <w:sz w:val="24"/>
                <w:szCs w:val="24"/>
              </w:rPr>
              <w:t>.</w:t>
            </w:r>
          </w:p>
          <w:p w14:paraId="4C32B301" w14:textId="77777777" w:rsidR="007A5FB3" w:rsidRDefault="007A5FB3" w:rsidP="006F1547">
            <w:pPr>
              <w:pStyle w:val="ListParagraph"/>
              <w:spacing w:before="120" w:after="120"/>
              <w:ind w:left="0"/>
              <w:rPr>
                <w:rFonts w:ascii="Verdana" w:hAnsi="Verdana" w:cs="Arial"/>
                <w:sz w:val="24"/>
                <w:szCs w:val="24"/>
              </w:rPr>
            </w:pPr>
          </w:p>
          <w:p w14:paraId="5009FCDD" w14:textId="77777777" w:rsidR="007A5FB3" w:rsidRDefault="007A5FB3" w:rsidP="006F1547">
            <w:pPr>
              <w:pStyle w:val="ListParagraph"/>
              <w:spacing w:before="120" w:after="120"/>
              <w:ind w:left="0"/>
              <w:rPr>
                <w:rFonts w:ascii="Verdana" w:hAnsi="Verdana" w:cs="Arial"/>
                <w:sz w:val="24"/>
                <w:szCs w:val="24"/>
              </w:rPr>
            </w:pPr>
          </w:p>
          <w:p w14:paraId="2A367969" w14:textId="7126E982" w:rsidR="007A5FB3" w:rsidRPr="00C36892" w:rsidRDefault="007A5FB3" w:rsidP="006F1547">
            <w:pPr>
              <w:pStyle w:val="ListParagraph"/>
              <w:spacing w:before="120" w:after="120"/>
              <w:ind w:left="0"/>
              <w:rPr>
                <w:rFonts w:ascii="Verdana" w:hAnsi="Verdana" w:cs="Arial"/>
                <w:sz w:val="24"/>
                <w:szCs w:val="24"/>
              </w:rPr>
            </w:pPr>
            <w:r w:rsidRPr="002814B4">
              <w:rPr>
                <w:rFonts w:ascii="Verdana" w:hAnsi="Verdana" w:cs="Arial"/>
                <w:b/>
                <w:bCs/>
                <w:sz w:val="24"/>
                <w:szCs w:val="24"/>
              </w:rPr>
              <w:t>For the PrudentRx solution:</w:t>
            </w:r>
            <w:r>
              <w:rPr>
                <w:rFonts w:ascii="Verdana" w:hAnsi="Verdana" w:cs="Arial"/>
                <w:b/>
                <w:sz w:val="24"/>
                <w:szCs w:val="24"/>
              </w:rPr>
              <w:t xml:space="preserve"> </w:t>
            </w:r>
            <w:r w:rsidRPr="00C36892">
              <w:rPr>
                <w:rFonts w:ascii="Verdana" w:hAnsi="Verdana" w:cs="Arial"/>
                <w:sz w:val="24"/>
                <w:szCs w:val="24"/>
              </w:rPr>
              <w:t xml:space="preserve">Enrollment in the PrudentRx solution is an easy two-step process: </w:t>
            </w:r>
          </w:p>
          <w:p w14:paraId="06DC83CB" w14:textId="77777777" w:rsidR="007A5FB3" w:rsidRPr="00C36892" w:rsidRDefault="007A5FB3" w:rsidP="006F1547">
            <w:pPr>
              <w:pStyle w:val="ListParagraph"/>
              <w:spacing w:before="120" w:after="120"/>
              <w:rPr>
                <w:rFonts w:ascii="Verdana" w:hAnsi="Verdana" w:cs="Arial"/>
                <w:sz w:val="24"/>
                <w:szCs w:val="24"/>
              </w:rPr>
            </w:pPr>
          </w:p>
          <w:p w14:paraId="54B8C3A2" w14:textId="7CD91291" w:rsidR="007A5FB3" w:rsidRPr="00C36892" w:rsidRDefault="007A5FB3" w:rsidP="006F1547">
            <w:pPr>
              <w:pStyle w:val="ListParagraph"/>
              <w:spacing w:before="120" w:after="120"/>
              <w:rPr>
                <w:rFonts w:ascii="Verdana" w:hAnsi="Verdana" w:cs="Arial"/>
                <w:sz w:val="24"/>
                <w:szCs w:val="24"/>
              </w:rPr>
            </w:pPr>
            <w:r>
              <w:rPr>
                <w:rFonts w:ascii="Verdana" w:hAnsi="Verdana" w:cs="Arial"/>
                <w:b/>
                <w:bCs/>
                <w:sz w:val="24"/>
                <w:szCs w:val="24"/>
              </w:rPr>
              <w:t>1</w:t>
            </w:r>
            <w:r w:rsidRPr="00C36892">
              <w:rPr>
                <w:rFonts w:ascii="Verdana" w:hAnsi="Verdana" w:cs="Arial"/>
                <w:b/>
                <w:bCs/>
                <w:sz w:val="24"/>
                <w:szCs w:val="24"/>
              </w:rPr>
              <w:t>:</w:t>
            </w:r>
            <w:r w:rsidR="002814B4">
              <w:rPr>
                <w:rFonts w:ascii="Verdana" w:hAnsi="Verdana" w:cs="Arial"/>
                <w:sz w:val="24"/>
                <w:szCs w:val="24"/>
              </w:rPr>
              <w:t xml:space="preserve"> </w:t>
            </w:r>
            <w:r w:rsidRPr="00C36892">
              <w:rPr>
                <w:rFonts w:ascii="Verdana" w:hAnsi="Verdana" w:cs="Arial"/>
                <w:sz w:val="24"/>
                <w:szCs w:val="24"/>
              </w:rPr>
              <w:t xml:space="preserve">The first step of the enrollment process is complete, and the member information is on file with PrudentRx. </w:t>
            </w:r>
          </w:p>
          <w:p w14:paraId="4F36033B" w14:textId="7DA2DA43" w:rsidR="007A5FB3" w:rsidRPr="00C36892" w:rsidRDefault="007A5FB3" w:rsidP="006F1547">
            <w:pPr>
              <w:pStyle w:val="ListParagraph"/>
              <w:spacing w:before="120" w:after="120"/>
              <w:rPr>
                <w:rFonts w:ascii="Verdana" w:hAnsi="Verdana" w:cs="Arial"/>
                <w:sz w:val="24"/>
                <w:szCs w:val="24"/>
              </w:rPr>
            </w:pPr>
            <w:r>
              <w:rPr>
                <w:rFonts w:ascii="Verdana" w:hAnsi="Verdana" w:cs="Arial"/>
                <w:b/>
                <w:bCs/>
                <w:sz w:val="24"/>
                <w:szCs w:val="24"/>
              </w:rPr>
              <w:t>2</w:t>
            </w:r>
            <w:r w:rsidRPr="00C36892">
              <w:rPr>
                <w:rFonts w:ascii="Verdana" w:hAnsi="Verdana" w:cs="Arial"/>
                <w:b/>
                <w:bCs/>
                <w:sz w:val="24"/>
                <w:szCs w:val="24"/>
              </w:rPr>
              <w:t>:</w:t>
            </w:r>
            <w:r w:rsidRPr="00C36892">
              <w:rPr>
                <w:rFonts w:ascii="Verdana" w:hAnsi="Verdana" w:cs="Arial"/>
                <w:sz w:val="24"/>
                <w:szCs w:val="24"/>
              </w:rPr>
              <w:t xml:space="preserve"> </w:t>
            </w:r>
            <w:r w:rsidR="002814B4">
              <w:rPr>
                <w:rFonts w:ascii="Verdana" w:hAnsi="Verdana" w:cs="Arial"/>
                <w:sz w:val="24"/>
                <w:szCs w:val="24"/>
              </w:rPr>
              <w:t xml:space="preserve"> </w:t>
            </w:r>
            <w:r w:rsidRPr="00C36892">
              <w:rPr>
                <w:rFonts w:ascii="Verdana" w:hAnsi="Verdana" w:cs="Arial"/>
                <w:sz w:val="24"/>
                <w:szCs w:val="24"/>
              </w:rPr>
              <w:t>The member need</w:t>
            </w:r>
            <w:r>
              <w:rPr>
                <w:rFonts w:ascii="Verdana" w:hAnsi="Verdana" w:cs="Arial"/>
                <w:sz w:val="24"/>
                <w:szCs w:val="24"/>
              </w:rPr>
              <w:t>s</w:t>
            </w:r>
            <w:r w:rsidRPr="00C36892">
              <w:rPr>
                <w:rFonts w:ascii="Verdana" w:hAnsi="Verdana" w:cs="Arial"/>
                <w:sz w:val="24"/>
                <w:szCs w:val="24"/>
              </w:rPr>
              <w:t xml:space="preserve"> to call PrudentRx at </w:t>
            </w:r>
            <w:r w:rsidR="003614AB">
              <w:rPr>
                <w:rFonts w:ascii="Verdana" w:hAnsi="Verdana" w:cs="Arial"/>
                <w:sz w:val="24"/>
                <w:szCs w:val="24"/>
              </w:rPr>
              <w:t>1-800-578-4403</w:t>
            </w:r>
            <w:r w:rsidRPr="00C36892">
              <w:rPr>
                <w:rFonts w:ascii="Verdana" w:hAnsi="Verdana" w:cs="Arial"/>
                <w:sz w:val="24"/>
                <w:szCs w:val="24"/>
              </w:rPr>
              <w:t xml:space="preserve"> within the first </w:t>
            </w:r>
            <w:r w:rsidR="00977772" w:rsidRPr="00C36892">
              <w:rPr>
                <w:rFonts w:ascii="Verdana" w:hAnsi="Verdana" w:cs="Arial"/>
                <w:sz w:val="24"/>
                <w:szCs w:val="24"/>
              </w:rPr>
              <w:t>5 days</w:t>
            </w:r>
            <w:r w:rsidRPr="00C36892">
              <w:rPr>
                <w:rFonts w:ascii="Verdana" w:hAnsi="Verdana" w:cs="Arial"/>
                <w:sz w:val="24"/>
                <w:szCs w:val="24"/>
              </w:rPr>
              <w:t xml:space="preserve"> after receiving the letter to register for any copay assistance available from drug manufacturers </w:t>
            </w:r>
          </w:p>
          <w:p w14:paraId="6626BF0E" w14:textId="77777777" w:rsidR="007A5FB3" w:rsidRPr="00C36892" w:rsidRDefault="007A5FB3" w:rsidP="006F1547">
            <w:pPr>
              <w:pStyle w:val="ListParagraph"/>
              <w:spacing w:before="120" w:after="120"/>
              <w:rPr>
                <w:rFonts w:ascii="Verdana" w:hAnsi="Verdana" w:cs="Arial"/>
                <w:sz w:val="24"/>
                <w:szCs w:val="24"/>
              </w:rPr>
            </w:pPr>
          </w:p>
          <w:p w14:paraId="777C6701" w14:textId="77777777" w:rsidR="007A5FB3" w:rsidRDefault="007A5FB3" w:rsidP="006F1547">
            <w:pPr>
              <w:pStyle w:val="ListParagraph"/>
              <w:spacing w:before="120" w:after="120"/>
              <w:ind w:left="0"/>
              <w:rPr>
                <w:rFonts w:ascii="Verdana" w:hAnsi="Verdana" w:cs="Arial"/>
                <w:color w:val="FF0000"/>
                <w:sz w:val="24"/>
                <w:szCs w:val="24"/>
              </w:rPr>
            </w:pPr>
            <w:r w:rsidRPr="007A5FB3">
              <w:rPr>
                <w:rFonts w:ascii="Verdana" w:hAnsi="Verdana" w:cs="Arial"/>
                <w:b/>
                <w:bCs/>
                <w:color w:val="FF0000"/>
                <w:sz w:val="24"/>
                <w:szCs w:val="24"/>
              </w:rPr>
              <w:t>It is essential for the member to speak with a PrudentRx Member Advocate to complete step two and become fully enrolled to avoid being opted out of the program.</w:t>
            </w:r>
            <w:r w:rsidRPr="007A5FB3">
              <w:rPr>
                <w:rFonts w:ascii="Verdana" w:hAnsi="Verdana" w:cs="Arial"/>
                <w:color w:val="FF0000"/>
                <w:sz w:val="24"/>
                <w:szCs w:val="24"/>
              </w:rPr>
              <w:t xml:space="preserve"> </w:t>
            </w:r>
          </w:p>
          <w:p w14:paraId="7A889948" w14:textId="77777777" w:rsidR="007A5FB3" w:rsidRDefault="007A5FB3" w:rsidP="006F1547">
            <w:pPr>
              <w:pStyle w:val="ListParagraph"/>
              <w:spacing w:before="120" w:after="120"/>
              <w:ind w:left="0"/>
              <w:rPr>
                <w:rFonts w:ascii="Verdana" w:hAnsi="Verdana" w:cs="Arial"/>
                <w:color w:val="FF0000"/>
                <w:sz w:val="24"/>
                <w:szCs w:val="24"/>
              </w:rPr>
            </w:pPr>
          </w:p>
          <w:p w14:paraId="656D4C2D" w14:textId="5CAF6AD7" w:rsidR="007A5FB3" w:rsidRDefault="007A5FB3" w:rsidP="006F1547">
            <w:pPr>
              <w:pStyle w:val="ListParagraph"/>
              <w:spacing w:before="120" w:after="120"/>
              <w:ind w:left="0"/>
              <w:rPr>
                <w:rFonts w:ascii="Verdana" w:hAnsi="Verdana" w:cs="Arial"/>
                <w:sz w:val="24"/>
                <w:szCs w:val="24"/>
              </w:rPr>
            </w:pPr>
            <w:r w:rsidRPr="00C36892">
              <w:rPr>
                <w:rFonts w:ascii="Verdana" w:hAnsi="Verdana" w:cs="Arial"/>
                <w:sz w:val="24"/>
                <w:szCs w:val="24"/>
              </w:rPr>
              <w:t>Even if the member currently has a copay card or takes a medication that does not have a copay card available, they will still need to speak with a PrudentRx Member Advocate. A PrudentRx Member Advocate will also attempt to reach the member by phone to confirm their enrollment</w:t>
            </w:r>
            <w:r w:rsidR="004429A7" w:rsidRPr="00611640">
              <w:rPr>
                <w:rFonts w:ascii="Verdana" w:hAnsi="Verdana" w:cs="Arial"/>
                <w:sz w:val="24"/>
                <w:szCs w:val="24"/>
              </w:rPr>
              <w:t xml:space="preserve">. </w:t>
            </w:r>
          </w:p>
          <w:p w14:paraId="2D103F47" w14:textId="77777777" w:rsidR="007A5FB3" w:rsidRDefault="007A5FB3" w:rsidP="006F1547">
            <w:pPr>
              <w:pStyle w:val="ListParagraph"/>
              <w:spacing w:before="120" w:after="120"/>
              <w:ind w:left="0"/>
              <w:rPr>
                <w:rFonts w:ascii="Verdana" w:hAnsi="Verdana" w:cs="Arial"/>
                <w:sz w:val="24"/>
                <w:szCs w:val="24"/>
              </w:rPr>
            </w:pPr>
          </w:p>
          <w:p w14:paraId="635853F8" w14:textId="0DABA64E" w:rsidR="007A5FB3" w:rsidRDefault="007A5FB3" w:rsidP="006F1547">
            <w:pPr>
              <w:pStyle w:val="ListParagraph"/>
              <w:spacing w:before="120" w:after="120"/>
              <w:ind w:left="0"/>
              <w:rPr>
                <w:rFonts w:ascii="Verdana" w:hAnsi="Verdana" w:cs="Arial"/>
                <w:sz w:val="24"/>
                <w:szCs w:val="24"/>
              </w:rPr>
            </w:pPr>
            <w:r w:rsidRPr="00611640">
              <w:rPr>
                <w:rFonts w:ascii="Verdana" w:hAnsi="Verdana" w:cs="Arial"/>
                <w:sz w:val="24"/>
                <w:szCs w:val="24"/>
              </w:rPr>
              <w:t xml:space="preserve">Some manufacturers require </w:t>
            </w:r>
            <w:r>
              <w:rPr>
                <w:rFonts w:ascii="Verdana" w:hAnsi="Verdana" w:cs="Arial"/>
                <w:sz w:val="24"/>
                <w:szCs w:val="24"/>
              </w:rPr>
              <w:t>members</w:t>
            </w:r>
            <w:r w:rsidRPr="00611640">
              <w:rPr>
                <w:rFonts w:ascii="Verdana" w:hAnsi="Verdana" w:cs="Arial"/>
                <w:sz w:val="24"/>
                <w:szCs w:val="24"/>
              </w:rPr>
              <w:t xml:space="preserve"> to sign up to take advantage of the copay assistance that they provide for their medications in that </w:t>
            </w:r>
            <w:r w:rsidR="00977772" w:rsidRPr="00611640">
              <w:rPr>
                <w:rFonts w:ascii="Verdana" w:hAnsi="Verdana" w:cs="Arial"/>
                <w:sz w:val="24"/>
                <w:szCs w:val="24"/>
              </w:rPr>
              <w:t>case;</w:t>
            </w:r>
            <w:r w:rsidRPr="00611640">
              <w:rPr>
                <w:rFonts w:ascii="Verdana" w:hAnsi="Verdana" w:cs="Arial"/>
                <w:sz w:val="24"/>
                <w:szCs w:val="24"/>
              </w:rPr>
              <w:t xml:space="preserve"> </w:t>
            </w:r>
            <w:r>
              <w:rPr>
                <w:rFonts w:ascii="Verdana" w:hAnsi="Verdana" w:cs="Arial"/>
                <w:sz w:val="24"/>
                <w:szCs w:val="24"/>
              </w:rPr>
              <w:t>members</w:t>
            </w:r>
            <w:r w:rsidRPr="00611640">
              <w:rPr>
                <w:rFonts w:ascii="Verdana" w:hAnsi="Verdana" w:cs="Arial"/>
                <w:sz w:val="24"/>
                <w:szCs w:val="24"/>
              </w:rPr>
              <w:t xml:space="preserve"> must speak to someone at PrudentRx at </w:t>
            </w:r>
            <w:bookmarkStart w:id="26" w:name="OLE_LINK2"/>
            <w:bookmarkStart w:id="27" w:name="OLE_LINK3"/>
            <w:r w:rsidRPr="00611640">
              <w:rPr>
                <w:rFonts w:ascii="Verdana" w:hAnsi="Verdana" w:cs="Arial"/>
                <w:b/>
                <w:sz w:val="24"/>
                <w:szCs w:val="24"/>
              </w:rPr>
              <w:t>1-800-578-4403</w:t>
            </w:r>
            <w:r w:rsidRPr="00611640">
              <w:rPr>
                <w:rFonts w:ascii="Verdana" w:hAnsi="Verdana" w:cs="Arial"/>
                <w:sz w:val="24"/>
                <w:szCs w:val="24"/>
              </w:rPr>
              <w:t xml:space="preserve"> </w:t>
            </w:r>
            <w:bookmarkEnd w:id="26"/>
            <w:bookmarkEnd w:id="27"/>
            <w:r w:rsidRPr="00611640">
              <w:rPr>
                <w:rFonts w:ascii="Verdana" w:hAnsi="Verdana" w:cs="Arial"/>
                <w:sz w:val="24"/>
                <w:szCs w:val="24"/>
              </w:rPr>
              <w:t xml:space="preserve">to provide any additional information needed to enroll in the copay program. </w:t>
            </w:r>
          </w:p>
          <w:p w14:paraId="4E9A2E61" w14:textId="77777777" w:rsidR="007A5FB3" w:rsidRDefault="007A5FB3" w:rsidP="006F1547">
            <w:pPr>
              <w:pStyle w:val="ListParagraph"/>
              <w:spacing w:before="120" w:after="120"/>
              <w:ind w:left="0"/>
              <w:rPr>
                <w:rFonts w:ascii="Verdana" w:hAnsi="Verdana" w:cs="Arial"/>
                <w:sz w:val="24"/>
                <w:szCs w:val="24"/>
              </w:rPr>
            </w:pPr>
          </w:p>
          <w:p w14:paraId="0BF21E8D" w14:textId="77777777" w:rsidR="007A5FB3" w:rsidRDefault="007A5FB3" w:rsidP="006F1547">
            <w:pPr>
              <w:pStyle w:val="ListParagraph"/>
              <w:spacing w:before="120" w:after="120"/>
              <w:ind w:left="0"/>
              <w:rPr>
                <w:rFonts w:ascii="Verdana" w:hAnsi="Verdana" w:cs="Arial"/>
                <w:sz w:val="24"/>
                <w:szCs w:val="24"/>
              </w:rPr>
            </w:pPr>
            <w:r>
              <w:rPr>
                <w:rFonts w:ascii="Verdana" w:hAnsi="Verdana" w:cs="Arial"/>
                <w:sz w:val="24"/>
                <w:szCs w:val="24"/>
              </w:rPr>
              <w:t xml:space="preserve">A trained </w:t>
            </w:r>
            <w:r w:rsidRPr="00611640">
              <w:rPr>
                <w:rFonts w:ascii="Verdana" w:hAnsi="Verdana" w:cs="Arial"/>
                <w:sz w:val="24"/>
                <w:szCs w:val="24"/>
              </w:rPr>
              <w:t xml:space="preserve">PrudentRx </w:t>
            </w:r>
            <w:r>
              <w:rPr>
                <w:rFonts w:ascii="Verdana" w:hAnsi="Verdana" w:cs="Arial"/>
                <w:sz w:val="24"/>
                <w:szCs w:val="24"/>
              </w:rPr>
              <w:t xml:space="preserve">advocate </w:t>
            </w:r>
            <w:r w:rsidRPr="00611640">
              <w:rPr>
                <w:rFonts w:ascii="Verdana" w:hAnsi="Verdana" w:cs="Arial"/>
                <w:sz w:val="24"/>
                <w:szCs w:val="24"/>
              </w:rPr>
              <w:t>contact</w:t>
            </w:r>
            <w:r>
              <w:rPr>
                <w:rFonts w:ascii="Verdana" w:hAnsi="Verdana" w:cs="Arial"/>
                <w:sz w:val="24"/>
                <w:szCs w:val="24"/>
              </w:rPr>
              <w:t>s</w:t>
            </w:r>
            <w:r w:rsidRPr="00611640">
              <w:rPr>
                <w:rFonts w:ascii="Verdana" w:hAnsi="Verdana" w:cs="Arial"/>
                <w:sz w:val="24"/>
                <w:szCs w:val="24"/>
              </w:rPr>
              <w:t xml:space="preserve"> </w:t>
            </w:r>
            <w:r>
              <w:rPr>
                <w:rFonts w:ascii="Verdana" w:hAnsi="Verdana" w:cs="Arial"/>
                <w:sz w:val="24"/>
                <w:szCs w:val="24"/>
              </w:rPr>
              <w:t>members</w:t>
            </w:r>
            <w:r w:rsidRPr="00611640">
              <w:rPr>
                <w:rFonts w:ascii="Verdana" w:hAnsi="Verdana" w:cs="Arial"/>
                <w:sz w:val="24"/>
                <w:szCs w:val="24"/>
              </w:rPr>
              <w:t xml:space="preserve"> if </w:t>
            </w:r>
            <w:r>
              <w:rPr>
                <w:rFonts w:ascii="Verdana" w:hAnsi="Verdana" w:cs="Arial"/>
                <w:sz w:val="24"/>
                <w:szCs w:val="24"/>
              </w:rPr>
              <w:t>they</w:t>
            </w:r>
            <w:r w:rsidRPr="00611640">
              <w:rPr>
                <w:rFonts w:ascii="Verdana" w:hAnsi="Verdana" w:cs="Arial"/>
                <w:sz w:val="24"/>
                <w:szCs w:val="24"/>
              </w:rPr>
              <w:t xml:space="preserve"> are required to enroll in the copay assistance for any medication that </w:t>
            </w:r>
            <w:r>
              <w:rPr>
                <w:rFonts w:ascii="Verdana" w:hAnsi="Verdana" w:cs="Arial"/>
                <w:sz w:val="24"/>
                <w:szCs w:val="24"/>
              </w:rPr>
              <w:t>they</w:t>
            </w:r>
            <w:r w:rsidRPr="00611640">
              <w:rPr>
                <w:rFonts w:ascii="Verdana" w:hAnsi="Verdana" w:cs="Arial"/>
                <w:sz w:val="24"/>
                <w:szCs w:val="24"/>
              </w:rPr>
              <w:t xml:space="preserve"> take. </w:t>
            </w:r>
          </w:p>
          <w:p w14:paraId="155A5AF7" w14:textId="77777777" w:rsidR="003D6B4B" w:rsidRDefault="003D6B4B" w:rsidP="006F1547">
            <w:pPr>
              <w:pStyle w:val="ListParagraph"/>
              <w:spacing w:before="120" w:after="120"/>
              <w:ind w:left="0"/>
              <w:rPr>
                <w:rFonts w:ascii="Verdana" w:hAnsi="Verdana" w:cs="Arial"/>
                <w:sz w:val="24"/>
                <w:szCs w:val="24"/>
              </w:rPr>
            </w:pPr>
          </w:p>
          <w:p w14:paraId="50E0C2B0" w14:textId="25554FEC" w:rsidR="003D6B4B" w:rsidRDefault="0039593A" w:rsidP="006F1547">
            <w:pPr>
              <w:pStyle w:val="ListParagraph"/>
              <w:spacing w:before="120" w:after="120"/>
              <w:ind w:left="0"/>
              <w:rPr>
                <w:rFonts w:ascii="Verdana" w:hAnsi="Verdana" w:cs="Arial"/>
                <w:sz w:val="24"/>
                <w:szCs w:val="24"/>
              </w:rPr>
            </w:pPr>
            <w:r w:rsidRPr="0039593A">
              <w:rPr>
                <w:rFonts w:ascii="Verdana" w:hAnsi="Verdana" w:cs="Arial"/>
                <w:sz w:val="24"/>
                <w:szCs w:val="24"/>
              </w:rPr>
              <w:t>Any information regarding enrollment in or registration by PrudentRx should be directed to PrudentRx at 1-800-578-4403.</w:t>
            </w:r>
          </w:p>
          <w:p w14:paraId="628ABC7F" w14:textId="77777777" w:rsidR="007A5FB3" w:rsidRDefault="007A5FB3" w:rsidP="006F1547">
            <w:pPr>
              <w:pStyle w:val="ListParagraph"/>
              <w:spacing w:before="120" w:after="120"/>
              <w:ind w:left="0"/>
              <w:rPr>
                <w:rFonts w:ascii="Verdana" w:hAnsi="Verdana" w:cs="Arial"/>
                <w:sz w:val="24"/>
                <w:szCs w:val="24"/>
              </w:rPr>
            </w:pPr>
          </w:p>
          <w:p w14:paraId="7F6E3398" w14:textId="77777777" w:rsidR="007A5FB3" w:rsidRDefault="007A5FB3" w:rsidP="006F1547">
            <w:pPr>
              <w:pStyle w:val="ListParagraph"/>
              <w:spacing w:before="120" w:after="120"/>
              <w:ind w:left="0"/>
              <w:rPr>
                <w:rFonts w:ascii="Verdana" w:hAnsi="Verdana" w:cs="Arial"/>
                <w:sz w:val="24"/>
                <w:szCs w:val="24"/>
              </w:rPr>
            </w:pPr>
            <w:r w:rsidRPr="00C36892">
              <w:rPr>
                <w:rFonts w:ascii="Verdana" w:hAnsi="Verdana" w:cs="Arial"/>
                <w:sz w:val="24"/>
                <w:szCs w:val="24"/>
              </w:rPr>
              <w:t>For clients that implement the PrudentRx solution, members will be encouraged to remain enrolled in the PrudentRx program. Members who elect to opt out of the program will be responsible for the full 30 percent coinsurance even after the deductible has been satisfied. Clients cannot choose to allow members who opt out to receive a different cost share; members who opt out are responsible for the member cost share under the elected coverage plan.</w:t>
            </w:r>
          </w:p>
          <w:p w14:paraId="41BE37CB" w14:textId="77777777" w:rsidR="007A5FB3" w:rsidRPr="00C36892" w:rsidRDefault="007A5FB3" w:rsidP="006F1547">
            <w:pPr>
              <w:pStyle w:val="ListParagraph"/>
              <w:spacing w:before="120" w:after="120"/>
              <w:ind w:left="0"/>
              <w:rPr>
                <w:rFonts w:ascii="Verdana" w:hAnsi="Verdana" w:cs="Arial"/>
                <w:sz w:val="24"/>
                <w:szCs w:val="24"/>
              </w:rPr>
            </w:pPr>
          </w:p>
          <w:p w14:paraId="396F3E0A" w14:textId="77777777" w:rsidR="007A5FB3" w:rsidRDefault="007A5FB3" w:rsidP="006F1547">
            <w:pPr>
              <w:pStyle w:val="ListParagraph"/>
              <w:spacing w:before="120" w:after="120"/>
              <w:ind w:left="0"/>
              <w:rPr>
                <w:rFonts w:ascii="Verdana" w:hAnsi="Verdana" w:cs="Arial"/>
                <w:sz w:val="24"/>
                <w:szCs w:val="24"/>
              </w:rPr>
            </w:pPr>
            <w:r w:rsidRPr="00C36892">
              <w:rPr>
                <w:rFonts w:ascii="Verdana" w:hAnsi="Verdana" w:cs="Arial"/>
                <w:sz w:val="24"/>
                <w:szCs w:val="24"/>
              </w:rPr>
              <w:t>If a drug is listed as a non-EHB, member payments toward the 30 percent coinsurance will not count toward the ACA MOOP unless otherwise required by law and the member will be responsible for the 30 percent coinsurance for non-EHB drugs even after the MOOP is met.</w:t>
            </w:r>
          </w:p>
          <w:p w14:paraId="7BABD08F" w14:textId="77777777" w:rsidR="007A5FB3" w:rsidRPr="00C36892" w:rsidRDefault="007A5FB3" w:rsidP="006F1547">
            <w:pPr>
              <w:pStyle w:val="ListParagraph"/>
              <w:spacing w:before="120" w:after="120"/>
              <w:ind w:left="0"/>
              <w:rPr>
                <w:rFonts w:ascii="Verdana" w:hAnsi="Verdana" w:cs="Arial"/>
                <w:sz w:val="24"/>
                <w:szCs w:val="24"/>
              </w:rPr>
            </w:pPr>
          </w:p>
          <w:p w14:paraId="538AA87C" w14:textId="0BFDC675" w:rsidR="007A5FB3" w:rsidRPr="005F2B80" w:rsidRDefault="007A5FB3" w:rsidP="006F1547">
            <w:pPr>
              <w:pStyle w:val="ListParagraph"/>
              <w:spacing w:before="120" w:after="120"/>
              <w:ind w:left="0"/>
              <w:rPr>
                <w:rFonts w:cs="Arial"/>
              </w:rPr>
            </w:pPr>
            <w:r w:rsidRPr="00C36892">
              <w:rPr>
                <w:rFonts w:ascii="Verdana" w:hAnsi="Verdana" w:cs="Arial"/>
                <w:sz w:val="24"/>
                <w:szCs w:val="24"/>
              </w:rPr>
              <w:t>If a drug is listed as non-EHB, payments made by members enrolled in HDHPs with HSAs will count toward the annual deductible limit set forth by the Plan. However, member payments will not count toward the ACA MOOP unless otherwise required by law. Less than one percent of members opt out of the program</w:t>
            </w:r>
            <w:r>
              <w:rPr>
                <w:rFonts w:ascii="Verdana" w:hAnsi="Verdana" w:cs="Arial"/>
                <w:sz w:val="24"/>
                <w:szCs w:val="24"/>
              </w:rPr>
              <w:t>.</w:t>
            </w:r>
          </w:p>
        </w:tc>
      </w:tr>
      <w:tr w:rsidR="006F1547" w:rsidRPr="005F2B80" w14:paraId="0CD8D43F" w14:textId="77777777" w:rsidTr="00B4154E">
        <w:tc>
          <w:tcPr>
            <w:tcW w:w="1432" w:type="pct"/>
          </w:tcPr>
          <w:p w14:paraId="6CA301D8" w14:textId="77777777" w:rsidR="007A5FB3" w:rsidRPr="006F1547" w:rsidRDefault="007A5FB3" w:rsidP="006F1547">
            <w:pPr>
              <w:spacing w:before="120" w:after="120"/>
              <w:rPr>
                <w:rFonts w:cs="Arial"/>
                <w:b/>
                <w:bCs/>
              </w:rPr>
            </w:pPr>
            <w:r w:rsidRPr="006F1547">
              <w:rPr>
                <w:rFonts w:cs="Arial"/>
                <w:b/>
                <w:bCs/>
              </w:rPr>
              <w:t>Could I possibly exhaust the manufacturer assistance available and potentially must pay more out of pocket on a future fill?</w:t>
            </w:r>
          </w:p>
        </w:tc>
        <w:tc>
          <w:tcPr>
            <w:tcW w:w="3568" w:type="pct"/>
          </w:tcPr>
          <w:p w14:paraId="448AA3B2" w14:textId="51F8D3F3" w:rsidR="007A5FB3" w:rsidRDefault="007A5FB3" w:rsidP="006F1547">
            <w:pPr>
              <w:spacing w:before="120" w:after="120"/>
              <w:rPr>
                <w:rFonts w:cs="Arial"/>
              </w:rPr>
            </w:pPr>
            <w:r>
              <w:rPr>
                <w:rFonts w:cs="Arial"/>
              </w:rPr>
              <w:t xml:space="preserve">Any amount received from a non-needs-based manufacturer program does not accumulate toward your Deductible or OOP. Depending on the </w:t>
            </w:r>
            <w:r w:rsidR="00977772">
              <w:rPr>
                <w:rFonts w:cs="Arial"/>
              </w:rPr>
              <w:t>manufacturer’s</w:t>
            </w:r>
            <w:r>
              <w:rPr>
                <w:rFonts w:cs="Arial"/>
              </w:rPr>
              <w:t xml:space="preserve"> yearly maximum card program amounts, that value could be reached by your claims.</w:t>
            </w:r>
          </w:p>
          <w:p w14:paraId="15B6B09E" w14:textId="77777777" w:rsidR="007A5FB3" w:rsidRDefault="007A5FB3" w:rsidP="006F1547">
            <w:pPr>
              <w:spacing w:before="120" w:after="120"/>
              <w:rPr>
                <w:rFonts w:cs="Arial"/>
              </w:rPr>
            </w:pPr>
            <w:r>
              <w:rPr>
                <w:rFonts w:cs="Arial"/>
              </w:rPr>
              <w:t xml:space="preserve"> </w:t>
            </w:r>
          </w:p>
          <w:p w14:paraId="1D276EF8" w14:textId="21B33406" w:rsidR="007A5FB3" w:rsidRPr="000F6C07" w:rsidRDefault="007A5FB3" w:rsidP="006F1547">
            <w:pPr>
              <w:spacing w:before="120" w:after="120"/>
              <w:rPr>
                <w:rFonts w:cs="Arial"/>
              </w:rPr>
            </w:pPr>
            <w:r>
              <w:rPr>
                <w:rFonts w:cs="Arial"/>
              </w:rPr>
              <w:t xml:space="preserve">At that point, with no other pharmacy or integrated medical claim activity, with no available assistance, you then are responsible for the Deductible and Out of Pocket amounts as defined by the plan you enrolled in. </w:t>
            </w:r>
          </w:p>
        </w:tc>
      </w:tr>
    </w:tbl>
    <w:p w14:paraId="7553388B" w14:textId="77777777" w:rsidR="001B591A" w:rsidRDefault="001B591A" w:rsidP="002814B4">
      <w:pPr>
        <w:spacing w:before="120" w:after="120"/>
        <w:rPr>
          <w:rStyle w:val="Hyperlink"/>
        </w:rPr>
      </w:pPr>
    </w:p>
    <w:p w14:paraId="14AD2D87" w14:textId="77777777" w:rsidR="00A738F3" w:rsidRDefault="00A738F3" w:rsidP="00A738F3">
      <w:pPr>
        <w:jc w:val="right"/>
        <w:rPr>
          <w:rStyle w:val="Hyperlink"/>
        </w:rPr>
      </w:pPr>
      <w:hyperlink w:anchor="_top" w:history="1">
        <w:r w:rsidRPr="00A738F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F14970" w14:paraId="016618F6" w14:textId="77777777" w:rsidTr="00A33A5D">
        <w:tc>
          <w:tcPr>
            <w:tcW w:w="5000" w:type="pct"/>
            <w:shd w:val="clear" w:color="auto" w:fill="BFBFBF" w:themeFill="background1" w:themeFillShade="BF"/>
          </w:tcPr>
          <w:p w14:paraId="52B83F6D" w14:textId="77777777" w:rsidR="00F14970" w:rsidRPr="002F56A1" w:rsidRDefault="00F14970" w:rsidP="00A33A5D">
            <w:pPr>
              <w:pStyle w:val="Heading2"/>
              <w:spacing w:before="120" w:after="120"/>
              <w:rPr>
                <w:rStyle w:val="Hyperlink"/>
                <w:rFonts w:ascii="Verdana" w:hAnsi="Verdana"/>
                <w:i w:val="0"/>
                <w:iCs w:val="0"/>
                <w:color w:val="auto"/>
                <w:u w:val="none"/>
              </w:rPr>
            </w:pPr>
            <w:bookmarkStart w:id="28" w:name="_Toc207786651"/>
            <w:r w:rsidRPr="002F56A1">
              <w:rPr>
                <w:rFonts w:ascii="Verdana" w:hAnsi="Verdana"/>
                <w:i w:val="0"/>
                <w:iCs w:val="0"/>
              </w:rPr>
              <w:t>PrudentRx Specific FAQs</w:t>
            </w:r>
            <w:bookmarkEnd w:id="28"/>
          </w:p>
        </w:tc>
      </w:tr>
    </w:tbl>
    <w:p w14:paraId="44D8391C" w14:textId="77777777" w:rsidR="00F14970" w:rsidRDefault="00F14970" w:rsidP="002814B4">
      <w:pPr>
        <w:spacing w:before="120" w:after="120"/>
        <w:rPr>
          <w:rStyle w:val="Hyperlink"/>
        </w:rPr>
      </w:pPr>
    </w:p>
    <w:p w14:paraId="3613B34D" w14:textId="2EAA33F2" w:rsidR="00217CC7" w:rsidRDefault="00217CC7" w:rsidP="002814B4">
      <w:pPr>
        <w:spacing w:before="120" w:after="120"/>
        <w:rPr>
          <w:rStyle w:val="Hyperlink"/>
          <w:color w:val="auto"/>
          <w:u w:val="none"/>
        </w:rPr>
      </w:pPr>
      <w:r w:rsidRPr="00F16A9D">
        <w:rPr>
          <w:rStyle w:val="Hyperlink"/>
          <w:b/>
          <w:bCs/>
          <w:color w:val="auto"/>
          <w:u w:val="none"/>
        </w:rPr>
        <w:t>N</w:t>
      </w:r>
      <w:r w:rsidR="00F16A9D" w:rsidRPr="00F16A9D">
        <w:rPr>
          <w:rStyle w:val="Hyperlink"/>
          <w:b/>
          <w:bCs/>
          <w:color w:val="auto"/>
          <w:u w:val="none"/>
        </w:rPr>
        <w:t>ote</w:t>
      </w:r>
      <w:r w:rsidRPr="00F16A9D">
        <w:rPr>
          <w:rStyle w:val="Hyperlink"/>
          <w:b/>
          <w:bCs/>
          <w:color w:val="auto"/>
          <w:u w:val="none"/>
        </w:rPr>
        <w:t xml:space="preserve">: </w:t>
      </w:r>
      <w:r w:rsidR="00F16A9D" w:rsidRPr="00F16A9D">
        <w:rPr>
          <w:rStyle w:val="Hyperlink"/>
          <w:color w:val="auto"/>
          <w:u w:val="none"/>
        </w:rPr>
        <w:t>Q</w:t>
      </w:r>
      <w:r w:rsidR="00BD5515" w:rsidRPr="00F16A9D">
        <w:rPr>
          <w:rStyle w:val="Hyperlink"/>
          <w:color w:val="auto"/>
          <w:u w:val="none"/>
        </w:rPr>
        <w:t xml:space="preserve">uestions/concerns that may seem to point to a coding/setup issue or an operational process not followed appropriately at the pharmacy (or with </w:t>
      </w:r>
      <w:r w:rsidR="0046672D" w:rsidRPr="00F16A9D">
        <w:rPr>
          <w:rStyle w:val="Hyperlink"/>
          <w:color w:val="auto"/>
          <w:u w:val="none"/>
        </w:rPr>
        <w:t xml:space="preserve">a PrudentRx Member Advocate), it is best practice to validate if any known issues are indicated on the CIF by the </w:t>
      </w:r>
      <w:r w:rsidR="0046672D" w:rsidRPr="00F16A9D">
        <w:rPr>
          <w:rStyle w:val="Hyperlink"/>
          <w:b/>
          <w:bCs/>
          <w:color w:val="auto"/>
          <w:u w:val="none"/>
        </w:rPr>
        <w:t>Account Team</w:t>
      </w:r>
      <w:r w:rsidR="0046672D" w:rsidRPr="00F16A9D">
        <w:rPr>
          <w:rStyle w:val="Hyperlink"/>
          <w:color w:val="auto"/>
          <w:u w:val="none"/>
        </w:rPr>
        <w:t xml:space="preserve"> or to appropriately route an inquiry to the client </w:t>
      </w:r>
      <w:r w:rsidR="0046672D" w:rsidRPr="00F16A9D">
        <w:rPr>
          <w:rStyle w:val="Hyperlink"/>
          <w:b/>
          <w:bCs/>
          <w:color w:val="auto"/>
          <w:u w:val="none"/>
        </w:rPr>
        <w:t>Account Team</w:t>
      </w:r>
      <w:r w:rsidR="0046672D" w:rsidRPr="00F16A9D">
        <w:rPr>
          <w:rStyle w:val="Hyperlink"/>
          <w:color w:val="auto"/>
          <w:u w:val="none"/>
        </w:rPr>
        <w:t xml:space="preserve"> for review/advisement to determine how best to assist the member further and research accordingly.</w:t>
      </w:r>
      <w:r w:rsidR="0046672D">
        <w:rPr>
          <w:rStyle w:val="Hyperlink"/>
          <w:color w:val="auto"/>
          <w:u w:val="none"/>
        </w:rPr>
        <w:t xml:space="preserve"> </w:t>
      </w:r>
    </w:p>
    <w:p w14:paraId="2CD264E5" w14:textId="77777777" w:rsidR="00BD5515" w:rsidRPr="00217CC7" w:rsidRDefault="00BD5515" w:rsidP="002814B4">
      <w:pPr>
        <w:spacing w:before="120" w:after="120"/>
        <w:rPr>
          <w:rStyle w:val="Hyperlink"/>
          <w:color w:val="auto"/>
          <w:u w:val="none"/>
        </w:rPr>
      </w:pPr>
    </w:p>
    <w:p w14:paraId="195B4CD4" w14:textId="3A7595BB" w:rsidR="002F56A1" w:rsidRDefault="002F56A1" w:rsidP="002814B4">
      <w:pPr>
        <w:spacing w:before="120" w:after="120"/>
        <w:rPr>
          <w:rStyle w:val="Hyperlink"/>
        </w:rPr>
      </w:pPr>
      <w:r w:rsidRPr="002F56A1">
        <w:rPr>
          <w:rStyle w:val="Hyperlink"/>
          <w:color w:val="auto"/>
          <w:u w:val="none"/>
        </w:rPr>
        <w:t>Use as needed</w:t>
      </w:r>
      <w:r>
        <w:rPr>
          <w:rStyle w:val="Hyperlink"/>
          <w:color w:val="auto"/>
          <w:u w:val="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9236"/>
      </w:tblGrid>
      <w:tr w:rsidR="002F56A1" w14:paraId="746AF1F5" w14:textId="77777777" w:rsidTr="00E56F92">
        <w:tc>
          <w:tcPr>
            <w:tcW w:w="143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9F11A4" w14:textId="77777777" w:rsidR="002F56A1" w:rsidRPr="002F56A1" w:rsidRDefault="002F56A1" w:rsidP="002F56A1">
            <w:pPr>
              <w:pStyle w:val="ListParagraph"/>
              <w:spacing w:before="120" w:after="120"/>
              <w:ind w:left="0"/>
              <w:jc w:val="center"/>
              <w:rPr>
                <w:rFonts w:ascii="Verdana" w:hAnsi="Verdana" w:cs="Arial"/>
                <w:b/>
                <w:sz w:val="24"/>
                <w:szCs w:val="24"/>
              </w:rPr>
            </w:pPr>
            <w:r w:rsidRPr="002F56A1">
              <w:rPr>
                <w:rFonts w:ascii="Verdana" w:hAnsi="Verdana" w:cs="Arial"/>
                <w:b/>
                <w:sz w:val="24"/>
                <w:szCs w:val="24"/>
              </w:rPr>
              <w:t>Question</w:t>
            </w:r>
          </w:p>
        </w:tc>
        <w:tc>
          <w:tcPr>
            <w:tcW w:w="35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4BC5D" w14:textId="77777777" w:rsidR="002F56A1" w:rsidRPr="002F56A1" w:rsidRDefault="002F56A1" w:rsidP="002F56A1">
            <w:pPr>
              <w:spacing w:before="120" w:after="120"/>
              <w:jc w:val="center"/>
              <w:rPr>
                <w:rFonts w:cs="Arial"/>
                <w:b/>
              </w:rPr>
            </w:pPr>
            <w:r w:rsidRPr="002F56A1">
              <w:rPr>
                <w:rFonts w:cs="Arial"/>
                <w:b/>
              </w:rPr>
              <w:t>Answer</w:t>
            </w:r>
          </w:p>
        </w:tc>
      </w:tr>
      <w:tr w:rsidR="00F14970" w14:paraId="76E0F29F"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45D12A5B" w14:textId="77777777" w:rsidR="00F14970" w:rsidRPr="002814B4" w:rsidRDefault="00F14970" w:rsidP="002814B4">
            <w:pPr>
              <w:spacing w:before="120" w:after="120"/>
              <w:rPr>
                <w:b/>
                <w:bCs/>
              </w:rPr>
            </w:pPr>
            <w:r w:rsidRPr="002814B4">
              <w:rPr>
                <w:b/>
                <w:bCs/>
              </w:rPr>
              <w:t xml:space="preserve">How does the program work? </w:t>
            </w:r>
          </w:p>
        </w:tc>
        <w:tc>
          <w:tcPr>
            <w:tcW w:w="3566" w:type="pct"/>
            <w:tcBorders>
              <w:top w:val="single" w:sz="4" w:space="0" w:color="auto"/>
              <w:left w:val="single" w:sz="4" w:space="0" w:color="auto"/>
              <w:bottom w:val="single" w:sz="4" w:space="0" w:color="auto"/>
              <w:right w:val="single" w:sz="4" w:space="0" w:color="auto"/>
            </w:tcBorders>
          </w:tcPr>
          <w:p w14:paraId="762A46F2" w14:textId="35A24831" w:rsidR="00D25334" w:rsidRPr="0056679F" w:rsidRDefault="00D25334" w:rsidP="002814B4">
            <w:pPr>
              <w:spacing w:before="120" w:after="120"/>
              <w:rPr>
                <w:rFonts w:cs="Arial"/>
              </w:rPr>
            </w:pPr>
            <w:r w:rsidRPr="0056679F">
              <w:rPr>
                <w:rFonts w:cs="Arial"/>
              </w:rPr>
              <w:t xml:space="preserve">We have chosen to collaborate with our vendor, PrudentRx, exclusively for the program. PrudentRx is integrated with our pharmacy operations to help ensure </w:t>
            </w:r>
            <w:r w:rsidR="00457CC2" w:rsidRPr="0056679F">
              <w:rPr>
                <w:rFonts w:cs="Arial"/>
              </w:rPr>
              <w:t>seamless</w:t>
            </w:r>
            <w:r w:rsidRPr="0056679F">
              <w:rPr>
                <w:rFonts w:cs="Arial"/>
              </w:rPr>
              <w:t xml:space="preserve"> member experience. PrudentRx can help support members requiring specialty medications and exemplifies the CVS Health commitment to both sound business practices and to the communities we serve. They are not a subsidiary of CVS Health</w:t>
            </w:r>
            <w:r w:rsidR="004429A7" w:rsidRPr="0056679F">
              <w:rPr>
                <w:rFonts w:cs="Arial"/>
              </w:rPr>
              <w:t xml:space="preserve">. </w:t>
            </w:r>
          </w:p>
          <w:p w14:paraId="4EF0B676" w14:textId="77777777" w:rsidR="00D25334" w:rsidRPr="0056679F" w:rsidRDefault="00D25334" w:rsidP="002814B4">
            <w:pPr>
              <w:spacing w:before="120" w:after="120"/>
              <w:rPr>
                <w:rFonts w:cs="Arial"/>
              </w:rPr>
            </w:pPr>
          </w:p>
          <w:p w14:paraId="0394B326" w14:textId="77777777" w:rsidR="00D25334" w:rsidRPr="0056679F" w:rsidRDefault="00D25334" w:rsidP="002814B4">
            <w:pPr>
              <w:spacing w:before="120" w:after="120"/>
              <w:rPr>
                <w:rFonts w:cs="Arial"/>
              </w:rPr>
            </w:pPr>
            <w:r w:rsidRPr="0056679F">
              <w:rPr>
                <w:rFonts w:cs="Arial"/>
              </w:rPr>
              <w:t xml:space="preserve">The PrudentRx solution is an innovative plan design that requires all specialty medications in a covered class on a client’s Specialty Drug List, as well as select high-cost specialty limited distribution drugs (LDDs), regardless of manufacturer assistance availability to process with a 30% coinsurance. </w:t>
            </w:r>
          </w:p>
          <w:p w14:paraId="7AA969F4" w14:textId="77777777" w:rsidR="00D25334" w:rsidRPr="0056679F" w:rsidRDefault="00D25334" w:rsidP="002814B4">
            <w:pPr>
              <w:spacing w:before="120" w:after="120"/>
              <w:rPr>
                <w:rFonts w:cs="Arial"/>
              </w:rPr>
            </w:pPr>
          </w:p>
          <w:p w14:paraId="5052BBD6" w14:textId="77777777" w:rsidR="00D25334" w:rsidRPr="0056679F" w:rsidRDefault="00D25334" w:rsidP="002814B4">
            <w:pPr>
              <w:spacing w:before="120" w:after="120"/>
              <w:rPr>
                <w:rFonts w:cs="Arial"/>
              </w:rPr>
            </w:pPr>
            <w:r w:rsidRPr="0056679F">
              <w:rPr>
                <w:rFonts w:cs="Arial"/>
              </w:rPr>
              <w:t xml:space="preserve">Enrollment in the PrudentRx solution is an easy two-step process: </w:t>
            </w:r>
          </w:p>
          <w:p w14:paraId="10FCE6DF" w14:textId="77777777" w:rsidR="00D25334" w:rsidRPr="0056679F" w:rsidRDefault="00D25334" w:rsidP="002814B4">
            <w:pPr>
              <w:spacing w:before="120" w:after="120"/>
              <w:rPr>
                <w:rFonts w:cs="Arial"/>
              </w:rPr>
            </w:pPr>
          </w:p>
          <w:p w14:paraId="5131C297" w14:textId="52979AB6" w:rsidR="00D25334" w:rsidRPr="0056679F" w:rsidRDefault="007A5FB3" w:rsidP="002814B4">
            <w:pPr>
              <w:spacing w:before="120" w:after="120"/>
              <w:rPr>
                <w:rFonts w:cs="Arial"/>
              </w:rPr>
            </w:pPr>
            <w:r w:rsidRPr="007A5FB3">
              <w:rPr>
                <w:rFonts w:cs="Arial"/>
                <w:b/>
                <w:bCs/>
              </w:rPr>
              <w:t>1</w:t>
            </w:r>
            <w:r w:rsidR="00D25334" w:rsidRPr="007A5FB3">
              <w:rPr>
                <w:rFonts w:cs="Arial"/>
                <w:b/>
                <w:bCs/>
              </w:rPr>
              <w:t>:</w:t>
            </w:r>
            <w:r w:rsidR="00D25334" w:rsidRPr="0056679F">
              <w:rPr>
                <w:rFonts w:cs="Arial"/>
              </w:rPr>
              <w:t xml:space="preserve"> The first step of the enrollment process is complete, and the member information is on file with PrudentRx. </w:t>
            </w:r>
          </w:p>
          <w:p w14:paraId="7D0302ED" w14:textId="6B9A0455" w:rsidR="00D25334" w:rsidRPr="0056679F" w:rsidRDefault="007A5FB3" w:rsidP="002814B4">
            <w:pPr>
              <w:spacing w:before="120" w:after="120"/>
              <w:rPr>
                <w:rFonts w:cs="Arial"/>
              </w:rPr>
            </w:pPr>
            <w:r w:rsidRPr="007A5FB3">
              <w:rPr>
                <w:rFonts w:cs="Arial"/>
                <w:b/>
                <w:bCs/>
              </w:rPr>
              <w:t>2</w:t>
            </w:r>
            <w:r w:rsidR="00D25334" w:rsidRPr="007A5FB3">
              <w:rPr>
                <w:rFonts w:cs="Arial"/>
                <w:b/>
                <w:bCs/>
              </w:rPr>
              <w:t>:</w:t>
            </w:r>
            <w:r w:rsidR="00D25334" w:rsidRPr="0056679F">
              <w:rPr>
                <w:rFonts w:cs="Arial"/>
              </w:rPr>
              <w:t xml:space="preserve"> The member will need to call PrudentRx at </w:t>
            </w:r>
            <w:r w:rsidR="003614AB">
              <w:rPr>
                <w:rFonts w:cs="Arial"/>
              </w:rPr>
              <w:t>1-800-578-4403</w:t>
            </w:r>
            <w:r w:rsidR="00D25334" w:rsidRPr="0056679F">
              <w:rPr>
                <w:rFonts w:cs="Arial"/>
              </w:rPr>
              <w:t xml:space="preserve"> within the first 5</w:t>
            </w:r>
            <w:r w:rsidR="00F24566">
              <w:rPr>
                <w:rFonts w:cs="Arial"/>
              </w:rPr>
              <w:t xml:space="preserve"> </w:t>
            </w:r>
            <w:r w:rsidR="00D25334" w:rsidRPr="0056679F">
              <w:rPr>
                <w:rFonts w:cs="Arial"/>
              </w:rPr>
              <w:t xml:space="preserve">days after receiving the letter to register for any copay assistance available from drug manufacturers </w:t>
            </w:r>
          </w:p>
          <w:p w14:paraId="779449C3" w14:textId="77777777" w:rsidR="00D25334" w:rsidRPr="0056679F" w:rsidRDefault="00D25334" w:rsidP="002814B4">
            <w:pPr>
              <w:spacing w:before="120" w:after="120"/>
              <w:rPr>
                <w:rFonts w:cs="Arial"/>
              </w:rPr>
            </w:pPr>
          </w:p>
          <w:p w14:paraId="0EDEADDC" w14:textId="77777777" w:rsidR="00D25334" w:rsidRDefault="00D25334" w:rsidP="002814B4">
            <w:pPr>
              <w:spacing w:before="120" w:after="120"/>
              <w:rPr>
                <w:rFonts w:cs="Arial"/>
              </w:rPr>
            </w:pPr>
            <w:r w:rsidRPr="0056679F">
              <w:rPr>
                <w:rFonts w:cs="Arial"/>
              </w:rPr>
              <w:t xml:space="preserve">It is essential for the member to speak with a PrudentRx Member Advocate to complete step two and become fully enrolled to avoid being opted out of the program. Even if the member currently has a copay card or takes a medication that does not have a copay card available, they will still need to speak with a PrudentRx Member Advocate. A PrudentRx Member Advocate will also attempt to reach the member by phone to confirm their enrollment. </w:t>
            </w:r>
          </w:p>
          <w:p w14:paraId="73EF89BA" w14:textId="77777777" w:rsidR="0039593A" w:rsidRDefault="0039593A" w:rsidP="002814B4">
            <w:pPr>
              <w:spacing w:before="120" w:after="120"/>
              <w:rPr>
                <w:rFonts w:cs="Arial"/>
              </w:rPr>
            </w:pPr>
          </w:p>
          <w:p w14:paraId="5086AB4A" w14:textId="306C04AA" w:rsidR="0039593A" w:rsidRPr="0056679F" w:rsidRDefault="0039593A" w:rsidP="002814B4">
            <w:pPr>
              <w:spacing w:before="120" w:after="120"/>
              <w:rPr>
                <w:rFonts w:cs="Arial"/>
              </w:rPr>
            </w:pPr>
            <w:r w:rsidRPr="0039593A">
              <w:rPr>
                <w:rFonts w:cs="Arial"/>
              </w:rPr>
              <w:t>Any information regarding enrollment in or registration by PrudentRx should be directed to PrudentRx at 1-800-578-4403.</w:t>
            </w:r>
          </w:p>
          <w:p w14:paraId="0FC099AE" w14:textId="77777777" w:rsidR="00D25334" w:rsidRPr="0056679F" w:rsidRDefault="00D25334" w:rsidP="002814B4">
            <w:pPr>
              <w:spacing w:before="120" w:after="120"/>
              <w:rPr>
                <w:rFonts w:cs="Arial"/>
              </w:rPr>
            </w:pPr>
          </w:p>
          <w:p w14:paraId="6AD469FF" w14:textId="77777777" w:rsidR="00D25334" w:rsidRPr="0056679F" w:rsidRDefault="00D25334" w:rsidP="002814B4">
            <w:pPr>
              <w:spacing w:before="120" w:after="120"/>
              <w:rPr>
                <w:rFonts w:cs="Arial"/>
              </w:rPr>
            </w:pPr>
            <w:r w:rsidRPr="0056679F">
              <w:rPr>
                <w:rFonts w:cs="Arial"/>
              </w:rPr>
              <w:t>As an example of the PrudentRx Plan Design, if a member’s 30% coinsurance results in a $750 member cost share, the member enrolls in PrudentRx and a manufacturer copay card of $695 is offered, CVS Specialty bills the available copay assistance program for the $695 and the remaining $55 will be billed as COB to the plan; resulting in the participating member paying $0 out of pocket cost.*</w:t>
            </w:r>
          </w:p>
          <w:p w14:paraId="71F347E8" w14:textId="77777777" w:rsidR="00D25334" w:rsidRPr="0056679F" w:rsidRDefault="00D25334" w:rsidP="002814B4">
            <w:pPr>
              <w:spacing w:before="120" w:after="120"/>
              <w:rPr>
                <w:rFonts w:cs="Arial"/>
              </w:rPr>
            </w:pPr>
          </w:p>
          <w:p w14:paraId="1BF73CB7" w14:textId="27210EEC" w:rsidR="00F14970" w:rsidRDefault="00D25334" w:rsidP="002814B4">
            <w:pPr>
              <w:spacing w:before="120" w:after="120"/>
              <w:rPr>
                <w:rFonts w:cs="Arial"/>
              </w:rPr>
            </w:pPr>
            <w:r w:rsidRPr="0056679F">
              <w:rPr>
                <w:rFonts w:cs="Arial"/>
              </w:rPr>
              <w:t>* For clients that implement the PrudentRx solution on a high-deductible health plan (HDHP) with a health savings account (HSA), participating members must fully satisfy their deductible before they are eligible for a $0 OOP cost under the program, unless the member has been prescribed a medication that qualifies as “preventive care” under the Internal Revenue Code (IRC), which is administered and enforced by the Internal Revenue Service (IRS). Members may still utilize available manufacturer copay assistance while in their deductible phase but must satisfy their deductible before the Plan is able to pick up any of the costs on the members’ behalf</w:t>
            </w:r>
            <w:r w:rsidR="00F14970">
              <w:rPr>
                <w:rFonts w:cs="Arial"/>
              </w:rPr>
              <w:t>.</w:t>
            </w:r>
          </w:p>
        </w:tc>
      </w:tr>
      <w:tr w:rsidR="00F14970" w14:paraId="2F8A7471"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2EC8BC2B" w14:textId="77777777" w:rsidR="00F14970" w:rsidRPr="002814B4" w:rsidRDefault="00F14970" w:rsidP="002814B4">
            <w:pPr>
              <w:spacing w:before="120" w:after="120"/>
              <w:rPr>
                <w:b/>
                <w:bCs/>
              </w:rPr>
            </w:pPr>
            <w:r w:rsidRPr="002814B4">
              <w:rPr>
                <w:b/>
                <w:bCs/>
              </w:rPr>
              <w:t>How does this program handle drug categories like HIV and limited distribution drugs (LDD) not available at CVS Specialty?</w:t>
            </w:r>
          </w:p>
        </w:tc>
        <w:tc>
          <w:tcPr>
            <w:tcW w:w="3566" w:type="pct"/>
            <w:tcBorders>
              <w:top w:val="single" w:sz="4" w:space="0" w:color="auto"/>
              <w:left w:val="single" w:sz="4" w:space="0" w:color="auto"/>
              <w:bottom w:val="single" w:sz="4" w:space="0" w:color="auto"/>
              <w:right w:val="single" w:sz="4" w:space="0" w:color="auto"/>
            </w:tcBorders>
          </w:tcPr>
          <w:p w14:paraId="7D63014C" w14:textId="77777777" w:rsidR="00EE4E41" w:rsidRPr="007A5FB3" w:rsidRDefault="00EE4E41" w:rsidP="002814B4">
            <w:pPr>
              <w:spacing w:before="120" w:after="120"/>
              <w:rPr>
                <w:rFonts w:cs="CVS Health Sans"/>
                <w:color w:val="000000"/>
              </w:rPr>
            </w:pPr>
            <w:r w:rsidRPr="007A5FB3">
              <w:rPr>
                <w:rFonts w:cs="CVS Health Sans"/>
                <w:color w:val="000000"/>
              </w:rPr>
              <w:t>This innovative plan design includes all specialty medications on a client’s specialty drug list, as well as select high-cost specialty limited distribution drugs (LDDs)* to help drive value for clients while participating members have $0 out-of- pocket costs (OOP)**.</w:t>
            </w:r>
          </w:p>
          <w:p w14:paraId="5A35CE73" w14:textId="77777777" w:rsidR="00EE4E41" w:rsidRPr="007A5FB3" w:rsidRDefault="00EE4E41" w:rsidP="002814B4">
            <w:pPr>
              <w:spacing w:before="120" w:after="120"/>
              <w:rPr>
                <w:rFonts w:cs="CVS Health Sans"/>
                <w:color w:val="000000"/>
              </w:rPr>
            </w:pPr>
          </w:p>
          <w:p w14:paraId="5D3DE5C5" w14:textId="77777777" w:rsidR="00EA3A8E" w:rsidRPr="007A5FB3" w:rsidRDefault="00EA3A8E" w:rsidP="002814B4">
            <w:pPr>
              <w:spacing w:before="120" w:after="120"/>
              <w:rPr>
                <w:rFonts w:cs="Arial"/>
              </w:rPr>
            </w:pPr>
            <w:r w:rsidRPr="007A5FB3">
              <w:rPr>
                <w:rFonts w:cs="Arial"/>
              </w:rPr>
              <w:t xml:space="preserve">*Due to limitations that exist within various external pharmacy systems, implementing the PrudentRx solution on HDHPs with HSAs will be limited to only those medications included on the client’s specialty drug list and dispensed by CVS Specialty© and will not include LDDs. </w:t>
            </w:r>
          </w:p>
          <w:p w14:paraId="2AA4A829" w14:textId="77777777" w:rsidR="00EA3A8E" w:rsidRPr="007A5FB3" w:rsidRDefault="00EA3A8E" w:rsidP="002814B4">
            <w:pPr>
              <w:spacing w:before="120" w:after="120"/>
              <w:rPr>
                <w:rFonts w:cs="Arial"/>
              </w:rPr>
            </w:pPr>
          </w:p>
          <w:p w14:paraId="09D3EE76" w14:textId="77777777" w:rsidR="00EA3A8E" w:rsidRPr="007A5FB3" w:rsidRDefault="00EA3A8E" w:rsidP="002814B4">
            <w:pPr>
              <w:spacing w:before="120" w:after="120"/>
              <w:rPr>
                <w:rFonts w:cs="Arial"/>
              </w:rPr>
            </w:pPr>
            <w:r w:rsidRPr="007A5FB3">
              <w:rPr>
                <w:rFonts w:cs="Arial"/>
              </w:rPr>
              <w:t xml:space="preserve">**Participating members enrolled in an HDHP with </w:t>
            </w:r>
            <w:r w:rsidR="008874A8" w:rsidRPr="007A5FB3">
              <w:rPr>
                <w:rFonts w:cs="Arial"/>
              </w:rPr>
              <w:t>an</w:t>
            </w:r>
            <w:r w:rsidRPr="007A5FB3">
              <w:rPr>
                <w:rFonts w:cs="Arial"/>
              </w:rPr>
              <w:t xml:space="preserve"> HSA must fully satisfy their deductible before they are eligible for a final $0 OOP cost, unless the member has been prescribed a medication that qualifies as “preventive care” under the IRC, which is administered and enforced by the IRS. Members may still utilize available manufacturer copay assistance while in their deductible phase but must satisfy their deductible before the Plan is able to pick up any of the costs on the members’ behalf. </w:t>
            </w:r>
          </w:p>
          <w:p w14:paraId="226FD5DF" w14:textId="77777777" w:rsidR="00EE4E41" w:rsidRPr="007A5FB3" w:rsidRDefault="00EE4E41" w:rsidP="002814B4">
            <w:pPr>
              <w:spacing w:before="120" w:after="120"/>
              <w:rPr>
                <w:rFonts w:cs="Arial"/>
              </w:rPr>
            </w:pPr>
          </w:p>
          <w:p w14:paraId="376C9DE9" w14:textId="6C4411A6" w:rsidR="007A1571" w:rsidRPr="007A5FB3" w:rsidRDefault="007A1571" w:rsidP="002814B4">
            <w:pPr>
              <w:spacing w:before="120" w:after="120"/>
              <w:rPr>
                <w:rFonts w:cs="Arial"/>
              </w:rPr>
            </w:pPr>
            <w:r w:rsidRPr="007A5FB3">
              <w:rPr>
                <w:rFonts w:cs="Arial"/>
              </w:rPr>
              <w:t>Clients with human immunodeficiency virus (HIV), transplant or hepatitis B excluded from their Exclusive Specialty setup, or that have an open HIV network, would not have those categories included in the PrudentRx program. Clients with an infertility maximum allowable benefit (MAB) or those that exclude fertility from their prescription benefits will not have that category included in the PrudentRx program</w:t>
            </w:r>
            <w:r w:rsidR="004429A7">
              <w:rPr>
                <w:rFonts w:cs="Arial"/>
              </w:rPr>
              <w:t>.</w:t>
            </w:r>
          </w:p>
          <w:p w14:paraId="5CF2BB93" w14:textId="77777777" w:rsidR="007A1571" w:rsidRPr="007A5FB3" w:rsidRDefault="007A1571" w:rsidP="002814B4">
            <w:pPr>
              <w:spacing w:before="120" w:after="120"/>
              <w:rPr>
                <w:rFonts w:cs="Arial"/>
              </w:rPr>
            </w:pPr>
          </w:p>
          <w:p w14:paraId="6712DEA0" w14:textId="77777777" w:rsidR="006748B3" w:rsidRPr="007A5FB3" w:rsidRDefault="00F14970" w:rsidP="002814B4">
            <w:pPr>
              <w:spacing w:before="120" w:after="120"/>
              <w:rPr>
                <w:rFonts w:cs="Arial"/>
              </w:rPr>
            </w:pPr>
            <w:r w:rsidRPr="007A5FB3">
              <w:rPr>
                <w:rFonts w:cs="Arial"/>
              </w:rPr>
              <w:t>For a class like HIV</w:t>
            </w:r>
            <w:r w:rsidR="006748B3" w:rsidRPr="007A5FB3">
              <w:rPr>
                <w:rFonts w:cs="Arial"/>
              </w:rPr>
              <w:t xml:space="preserve"> (et. </w:t>
            </w:r>
            <w:r w:rsidR="008874A8" w:rsidRPr="007A5FB3">
              <w:rPr>
                <w:rFonts w:cs="Arial"/>
              </w:rPr>
              <w:t>al.</w:t>
            </w:r>
            <w:r w:rsidR="006748B3" w:rsidRPr="007A5FB3">
              <w:rPr>
                <w:rFonts w:cs="Arial"/>
              </w:rPr>
              <w:t xml:space="preserve"> mentioned above)</w:t>
            </w:r>
            <w:r w:rsidRPr="007A5FB3">
              <w:rPr>
                <w:rFonts w:cs="Arial"/>
              </w:rPr>
              <w:t xml:space="preserve">, the drugs will be included in the program if the client includes this as a covered class listed on the PrudentRx program drug list. If they are open network or excluded as specialty products, they will be excluded from the PrudentRx program. </w:t>
            </w:r>
          </w:p>
          <w:p w14:paraId="59F3935D" w14:textId="77777777" w:rsidR="006748B3" w:rsidRPr="007A5FB3" w:rsidRDefault="006748B3" w:rsidP="002814B4">
            <w:pPr>
              <w:spacing w:before="120" w:after="120"/>
              <w:rPr>
                <w:rFonts w:cs="Arial"/>
              </w:rPr>
            </w:pPr>
          </w:p>
          <w:p w14:paraId="47DACA29" w14:textId="045851A3" w:rsidR="00F14970" w:rsidRDefault="00F14970" w:rsidP="002814B4">
            <w:pPr>
              <w:spacing w:before="120" w:after="120"/>
              <w:rPr>
                <w:rFonts w:cs="Arial"/>
              </w:rPr>
            </w:pPr>
            <w:r w:rsidRPr="007A5FB3">
              <w:rPr>
                <w:rFonts w:cs="Arial"/>
              </w:rPr>
              <w:t xml:space="preserve">Any medication or covered class </w:t>
            </w:r>
            <w:r w:rsidRPr="007A5FB3">
              <w:rPr>
                <w:rFonts w:cs="Arial"/>
                <w:b/>
                <w:bCs/>
              </w:rPr>
              <w:t>not</w:t>
            </w:r>
            <w:r w:rsidRPr="007A5FB3">
              <w:rPr>
                <w:rFonts w:cs="Arial"/>
              </w:rPr>
              <w:t xml:space="preserve"> included on the PrudentRx program drug list will continue to adjudicate at the plan applicable member cost share.</w:t>
            </w:r>
          </w:p>
        </w:tc>
      </w:tr>
      <w:tr w:rsidR="00F14970" w14:paraId="7CD980D8"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6DA1DBF4" w14:textId="77777777" w:rsidR="00F14970" w:rsidRPr="002814B4" w:rsidRDefault="00F14970" w:rsidP="002814B4">
            <w:pPr>
              <w:spacing w:before="120" w:after="120"/>
              <w:rPr>
                <w:b/>
                <w:bCs/>
              </w:rPr>
            </w:pPr>
            <w:r w:rsidRPr="002814B4">
              <w:rPr>
                <w:b/>
                <w:bCs/>
              </w:rPr>
              <w:t>What if members do not want to participate in this plan design strategy?</w:t>
            </w:r>
          </w:p>
        </w:tc>
        <w:tc>
          <w:tcPr>
            <w:tcW w:w="3566" w:type="pct"/>
            <w:tcBorders>
              <w:top w:val="single" w:sz="4" w:space="0" w:color="auto"/>
              <w:left w:val="single" w:sz="4" w:space="0" w:color="auto"/>
              <w:bottom w:val="single" w:sz="4" w:space="0" w:color="auto"/>
              <w:right w:val="single" w:sz="4" w:space="0" w:color="auto"/>
            </w:tcBorders>
          </w:tcPr>
          <w:p w14:paraId="4DCE6499" w14:textId="77777777" w:rsidR="001D7C8B" w:rsidRPr="0056679F" w:rsidRDefault="001D7C8B" w:rsidP="002814B4">
            <w:pPr>
              <w:spacing w:before="120" w:after="120"/>
              <w:rPr>
                <w:rFonts w:cs="Arial"/>
              </w:rPr>
            </w:pPr>
            <w:r w:rsidRPr="0056679F">
              <w:rPr>
                <w:rFonts w:cs="Arial"/>
              </w:rPr>
              <w:t>For clients that implement the PrudentRx solution, members will be encouraged to remain enrolled in the PrudentRx program. Members who elect to opt out of the program will be responsible for the full 30 percent coinsurance even after the deductible has been satisfied. Clients cannot choose to allow members who opt out to receive a different cost share; members who opt out are responsible for the member cost share under the elected coverage plan.</w:t>
            </w:r>
          </w:p>
          <w:p w14:paraId="01F62E4F" w14:textId="77777777" w:rsidR="001D7C8B" w:rsidRPr="0056679F" w:rsidRDefault="001D7C8B" w:rsidP="002814B4">
            <w:pPr>
              <w:spacing w:before="120" w:after="120"/>
              <w:rPr>
                <w:rFonts w:cs="Arial"/>
              </w:rPr>
            </w:pPr>
          </w:p>
          <w:p w14:paraId="5C5B2F51" w14:textId="77777777" w:rsidR="001D7C8B" w:rsidRPr="0056679F" w:rsidRDefault="001D7C8B" w:rsidP="002814B4">
            <w:pPr>
              <w:spacing w:before="120" w:after="120"/>
              <w:rPr>
                <w:rFonts w:cs="Arial"/>
              </w:rPr>
            </w:pPr>
            <w:r w:rsidRPr="0056679F">
              <w:rPr>
                <w:rFonts w:cs="Arial"/>
              </w:rPr>
              <w:t>If a drug is listed as a non-EHB, member payments toward the 30 percent coinsurance will not count toward the ACA MOOP unless otherwise required by law and the member will be responsible for the 30 percent coinsurance for non-EHB drugs even after the MOOP is met.</w:t>
            </w:r>
          </w:p>
          <w:p w14:paraId="31330D1F" w14:textId="77777777" w:rsidR="001D7C8B" w:rsidRPr="0056679F" w:rsidRDefault="001D7C8B" w:rsidP="002814B4">
            <w:pPr>
              <w:spacing w:before="120" w:after="120"/>
              <w:rPr>
                <w:rFonts w:cs="Arial"/>
              </w:rPr>
            </w:pPr>
          </w:p>
          <w:p w14:paraId="0C8F9F28" w14:textId="41C98BB4" w:rsidR="00F14970" w:rsidRDefault="001D7C8B" w:rsidP="002814B4">
            <w:pPr>
              <w:spacing w:before="120" w:after="120"/>
              <w:rPr>
                <w:rFonts w:cs="Arial"/>
              </w:rPr>
            </w:pPr>
            <w:r w:rsidRPr="0056679F">
              <w:rPr>
                <w:rFonts w:cs="Arial"/>
              </w:rPr>
              <w:t>If a drug is listed as non-EHB, payments made by members enrolled in HDHPs with HSAs will count toward the annual deductible limit set forth by the Plan. However, member payments will not count toward the ACA MOOP unless otherwise required by law. Less than one percent of members opt out of the program</w:t>
            </w:r>
            <w:r w:rsidR="00F14970">
              <w:rPr>
                <w:rFonts w:cs="Arial"/>
              </w:rPr>
              <w:t>.</w:t>
            </w:r>
          </w:p>
        </w:tc>
      </w:tr>
      <w:tr w:rsidR="00F14970" w14:paraId="74758FA1"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3F30CAF7" w14:textId="77777777" w:rsidR="00F14970" w:rsidRPr="002814B4" w:rsidRDefault="00F14970" w:rsidP="002814B4">
            <w:pPr>
              <w:spacing w:before="120" w:after="120"/>
              <w:rPr>
                <w:b/>
                <w:bCs/>
              </w:rPr>
            </w:pPr>
            <w:r w:rsidRPr="002814B4">
              <w:rPr>
                <w:b/>
                <w:bCs/>
              </w:rPr>
              <w:t>What if a member opts out, but then wishes to re-enroll; can they?</w:t>
            </w:r>
          </w:p>
        </w:tc>
        <w:tc>
          <w:tcPr>
            <w:tcW w:w="3566" w:type="pct"/>
            <w:tcBorders>
              <w:top w:val="single" w:sz="4" w:space="0" w:color="auto"/>
              <w:left w:val="single" w:sz="4" w:space="0" w:color="auto"/>
              <w:bottom w:val="single" w:sz="4" w:space="0" w:color="auto"/>
              <w:right w:val="single" w:sz="4" w:space="0" w:color="auto"/>
            </w:tcBorders>
          </w:tcPr>
          <w:p w14:paraId="3B9594AD" w14:textId="6C01444A" w:rsidR="00F14970" w:rsidRDefault="00F14970" w:rsidP="002814B4">
            <w:pPr>
              <w:spacing w:before="120" w:after="120"/>
              <w:rPr>
                <w:rFonts w:cs="Arial"/>
              </w:rPr>
            </w:pPr>
            <w:r>
              <w:rPr>
                <w:rFonts w:cs="Arial"/>
              </w:rPr>
              <w:t xml:space="preserve">Yes, a member may choose to opt-out at any time and re-enroll at any time. Any claims that process while they are opted out will do so at the 30% coinsurance and the member will be responsible for the 30% if no manufacturer copay card/assistance is utilized, but they are not guaranteed the $0 OOP as they would not be enrolled in PrudentRx. </w:t>
            </w:r>
            <w:r>
              <w:t xml:space="preserve"> </w:t>
            </w:r>
          </w:p>
        </w:tc>
      </w:tr>
      <w:tr w:rsidR="00F14970" w14:paraId="14C61DA1"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5D140B13" w14:textId="77777777" w:rsidR="00F14970" w:rsidRPr="002814B4" w:rsidRDefault="00F14970" w:rsidP="002814B4">
            <w:pPr>
              <w:spacing w:before="120" w:after="120"/>
              <w:rPr>
                <w:b/>
                <w:bCs/>
              </w:rPr>
            </w:pPr>
            <w:r w:rsidRPr="002814B4">
              <w:rPr>
                <w:b/>
                <w:bCs/>
              </w:rPr>
              <w:t>What if a member opts out then asks for an Exception to a Non-Essential Health Benefit?</w:t>
            </w:r>
          </w:p>
        </w:tc>
        <w:tc>
          <w:tcPr>
            <w:tcW w:w="3566" w:type="pct"/>
            <w:tcBorders>
              <w:top w:val="single" w:sz="4" w:space="0" w:color="auto"/>
              <w:left w:val="single" w:sz="4" w:space="0" w:color="auto"/>
              <w:bottom w:val="single" w:sz="4" w:space="0" w:color="auto"/>
              <w:right w:val="single" w:sz="4" w:space="0" w:color="auto"/>
            </w:tcBorders>
          </w:tcPr>
          <w:p w14:paraId="64F9ADD8" w14:textId="07A5CB2A" w:rsidR="004213F8" w:rsidRDefault="00F14970" w:rsidP="002814B4">
            <w:pPr>
              <w:spacing w:before="120" w:after="120"/>
              <w:rPr>
                <w:color w:val="000000" w:themeColor="text1"/>
              </w:rPr>
            </w:pPr>
            <w:r>
              <w:rPr>
                <w:color w:val="000000" w:themeColor="text1"/>
              </w:rPr>
              <w:t xml:space="preserve">For </w:t>
            </w:r>
            <w:r>
              <w:rPr>
                <w:b/>
                <w:bCs/>
                <w:color w:val="000000" w:themeColor="text1"/>
              </w:rPr>
              <w:t xml:space="preserve">PrudentRx:  </w:t>
            </w:r>
            <w:r>
              <w:rPr>
                <w:color w:val="000000" w:themeColor="text1"/>
              </w:rPr>
              <w:t xml:space="preserve">If the member says they have opted out of the program and are requesting an exception to a Non-Essential Health Benefits (EHB designation for their medication, </w:t>
            </w:r>
            <w:r w:rsidRPr="00470810">
              <w:rPr>
                <w:b/>
                <w:bCs/>
                <w:color w:val="000000" w:themeColor="text1"/>
              </w:rPr>
              <w:t>warm transfer to the Senior Team</w:t>
            </w:r>
            <w:r w:rsidR="009F6054">
              <w:rPr>
                <w:color w:val="000000" w:themeColor="text1"/>
              </w:rPr>
              <w:t xml:space="preserve"> or, if documented to do so on the CIF</w:t>
            </w:r>
            <w:r w:rsidR="00470810">
              <w:rPr>
                <w:color w:val="000000" w:themeColor="text1"/>
              </w:rPr>
              <w:t>, send request to client Account Team for review</w:t>
            </w:r>
            <w:r>
              <w:rPr>
                <w:color w:val="000000" w:themeColor="text1"/>
              </w:rPr>
              <w:t>.</w:t>
            </w:r>
            <w:r w:rsidR="00470810">
              <w:rPr>
                <w:color w:val="000000" w:themeColor="text1"/>
              </w:rPr>
              <w:t xml:space="preserve"> </w:t>
            </w:r>
          </w:p>
          <w:p w14:paraId="598F1E6B" w14:textId="77777777" w:rsidR="004213F8" w:rsidRDefault="004213F8" w:rsidP="002814B4">
            <w:pPr>
              <w:spacing w:before="120" w:after="120"/>
              <w:rPr>
                <w:b/>
                <w:color w:val="000000" w:themeColor="text1"/>
              </w:rPr>
            </w:pPr>
          </w:p>
          <w:p w14:paraId="1E03D9C5" w14:textId="69E75A65" w:rsidR="00F14970" w:rsidRDefault="00470810" w:rsidP="002814B4">
            <w:pPr>
              <w:spacing w:before="120" w:after="120"/>
              <w:rPr>
                <w:rFonts w:cs="Arial"/>
              </w:rPr>
            </w:pPr>
            <w:r>
              <w:rPr>
                <w:b/>
                <w:bCs/>
                <w:color w:val="000000" w:themeColor="text1"/>
              </w:rPr>
              <w:t xml:space="preserve">Note: </w:t>
            </w:r>
            <w:r>
              <w:rPr>
                <w:color w:val="000000" w:themeColor="text1"/>
              </w:rPr>
              <w:t xml:space="preserve">Do </w:t>
            </w:r>
            <w:r w:rsidRPr="004213F8">
              <w:rPr>
                <w:b/>
                <w:bCs/>
                <w:color w:val="FF0000"/>
              </w:rPr>
              <w:t>not</w:t>
            </w:r>
            <w:r>
              <w:rPr>
                <w:color w:val="000000" w:themeColor="text1"/>
              </w:rPr>
              <w:t xml:space="preserve"> send requests for a non-EHB exception to the Product Team. </w:t>
            </w:r>
          </w:p>
        </w:tc>
      </w:tr>
      <w:tr w:rsidR="00F14970" w14:paraId="794D6B12"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0F6B72C5" w14:textId="77777777" w:rsidR="00F14970" w:rsidRPr="002814B4" w:rsidRDefault="00F14970" w:rsidP="002814B4">
            <w:pPr>
              <w:spacing w:before="120" w:after="120"/>
              <w:rPr>
                <w:b/>
                <w:bCs/>
              </w:rPr>
            </w:pPr>
            <w:r w:rsidRPr="002814B4">
              <w:rPr>
                <w:b/>
                <w:bCs/>
              </w:rPr>
              <w:t>If a member enrolls in the PrudentRx solution, what is the process for obtaining a specialty copay card and ensuring that it is used when a prescription is submitted?</w:t>
            </w:r>
          </w:p>
        </w:tc>
        <w:tc>
          <w:tcPr>
            <w:tcW w:w="3566" w:type="pct"/>
            <w:tcBorders>
              <w:top w:val="single" w:sz="4" w:space="0" w:color="auto"/>
              <w:left w:val="single" w:sz="4" w:space="0" w:color="auto"/>
              <w:bottom w:val="single" w:sz="4" w:space="0" w:color="auto"/>
              <w:right w:val="single" w:sz="4" w:space="0" w:color="auto"/>
            </w:tcBorders>
          </w:tcPr>
          <w:p w14:paraId="281EBBC5" w14:textId="77777777" w:rsidR="00F14970" w:rsidRDefault="00F14970" w:rsidP="002814B4">
            <w:pPr>
              <w:spacing w:before="120" w:after="120"/>
              <w:rPr>
                <w:rFonts w:cs="Arial"/>
              </w:rPr>
            </w:pPr>
            <w:r>
              <w:rPr>
                <w:rFonts w:cs="Arial"/>
              </w:rPr>
              <w:t xml:space="preserve">For existing members on specialty medications, PrudentRx will send a welcome letter to the member on behalf of the client that provides specific information about the program as it pertains to the member’s medication. PrudentRx will also proactively follow-up with the member via telephone. Member outreach occurs approximately 30 days prior to go-live. PrudentRx continuously monitors copay card utilization and will conduct proactive member outreach as needed. </w:t>
            </w:r>
          </w:p>
          <w:p w14:paraId="3E1643FE" w14:textId="77777777" w:rsidR="00F14970" w:rsidRDefault="00F14970" w:rsidP="002814B4">
            <w:pPr>
              <w:spacing w:before="120" w:after="120"/>
              <w:rPr>
                <w:rFonts w:cs="Arial"/>
              </w:rPr>
            </w:pPr>
          </w:p>
          <w:p w14:paraId="773B2F6D" w14:textId="77777777" w:rsidR="00F14970" w:rsidRDefault="00F14970" w:rsidP="002814B4">
            <w:pPr>
              <w:spacing w:before="120" w:after="120"/>
              <w:rPr>
                <w:rFonts w:cs="Arial"/>
              </w:rPr>
            </w:pPr>
            <w:r>
              <w:rPr>
                <w:rFonts w:cs="Arial"/>
              </w:rPr>
              <w:t xml:space="preserve">When a new prescription is received and processed by the pharmacy, there is an administrative process to capture the claim and perform member outreach. From there, CVS Specialty offers to transfer the member to PrudentRx or will provide the member with PrudentRx contact information. Prior Authorization and formulary are not affected by the PrudentRx program. </w:t>
            </w:r>
          </w:p>
          <w:p w14:paraId="349765BB" w14:textId="77777777" w:rsidR="00F14970" w:rsidRDefault="00F14970" w:rsidP="002814B4">
            <w:pPr>
              <w:spacing w:before="120" w:after="120"/>
              <w:rPr>
                <w:rFonts w:cs="Arial"/>
              </w:rPr>
            </w:pPr>
          </w:p>
          <w:p w14:paraId="20DA9244" w14:textId="77777777" w:rsidR="00F14970" w:rsidRDefault="00F14970" w:rsidP="002814B4">
            <w:pPr>
              <w:spacing w:before="120" w:after="120"/>
              <w:rPr>
                <w:rFonts w:cs="Arial"/>
              </w:rPr>
            </w:pPr>
            <w:r>
              <w:rPr>
                <w:rFonts w:cs="Arial"/>
              </w:rPr>
              <w:t>PrudentRx enroll</w:t>
            </w:r>
            <w:r w:rsidR="004213F8">
              <w:rPr>
                <w:rFonts w:cs="Arial"/>
              </w:rPr>
              <w:t>s</w:t>
            </w:r>
            <w:r>
              <w:rPr>
                <w:rFonts w:cs="Arial"/>
              </w:rPr>
              <w:t xml:space="preserve"> the member in the manufacturer copay card program and obtain the necessary manufacturer copay where applicable. This process usually takes less than ten minutes but may take up to five to seven days depending on the manufacturer’s process. The member will be informed through the process. </w:t>
            </w:r>
          </w:p>
          <w:p w14:paraId="66131991" w14:textId="77777777" w:rsidR="00A8426A" w:rsidRDefault="00A8426A" w:rsidP="002814B4">
            <w:pPr>
              <w:spacing w:before="120" w:after="120"/>
              <w:rPr>
                <w:rFonts w:cs="Arial"/>
              </w:rPr>
            </w:pPr>
          </w:p>
          <w:p w14:paraId="71C6F90D" w14:textId="414A8D13" w:rsidR="00A8426A" w:rsidRDefault="00A8426A" w:rsidP="00F24566">
            <w:pPr>
              <w:spacing w:before="120" w:after="120"/>
              <w:rPr>
                <w:rFonts w:cs="Arial"/>
              </w:rPr>
            </w:pPr>
            <w:r w:rsidRPr="00A8426A">
              <w:rPr>
                <w:rFonts w:cs="Arial"/>
              </w:rPr>
              <w:t>Any information regarding enrollment in or registration by PrudentRx should be directed to PrudentRx at 1-800-578-4403.</w:t>
            </w:r>
          </w:p>
        </w:tc>
      </w:tr>
      <w:tr w:rsidR="00F14970" w14:paraId="40C00ABA"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2A117B6A" w14:textId="77777777" w:rsidR="00F14970" w:rsidRPr="002814B4" w:rsidRDefault="00F14970" w:rsidP="002814B4">
            <w:pPr>
              <w:spacing w:before="120" w:after="120"/>
              <w:rPr>
                <w:b/>
                <w:bCs/>
              </w:rPr>
            </w:pPr>
            <w:r w:rsidRPr="002814B4">
              <w:rPr>
                <w:b/>
                <w:bCs/>
              </w:rPr>
              <w:t>What happens if the specialty copay card is no longer offered?</w:t>
            </w:r>
          </w:p>
        </w:tc>
        <w:tc>
          <w:tcPr>
            <w:tcW w:w="3566" w:type="pct"/>
            <w:tcBorders>
              <w:top w:val="single" w:sz="4" w:space="0" w:color="auto"/>
              <w:left w:val="single" w:sz="4" w:space="0" w:color="auto"/>
              <w:bottom w:val="single" w:sz="4" w:space="0" w:color="auto"/>
              <w:right w:val="single" w:sz="4" w:space="0" w:color="auto"/>
            </w:tcBorders>
          </w:tcPr>
          <w:p w14:paraId="7BB85E4E" w14:textId="77777777" w:rsidR="00F14970" w:rsidRDefault="00F14970" w:rsidP="002814B4">
            <w:pPr>
              <w:spacing w:before="120" w:after="120"/>
              <w:rPr>
                <w:rFonts w:cs="Arial"/>
              </w:rPr>
            </w:pPr>
            <w:r>
              <w:rPr>
                <w:rFonts w:cs="Arial"/>
              </w:rPr>
              <w:t xml:space="preserve">Specialty copay cards are monitored on a regular basis to quickly respond to any changes that may impact the member savings. </w:t>
            </w:r>
          </w:p>
          <w:p w14:paraId="6B06DD81" w14:textId="77777777" w:rsidR="00F14970" w:rsidRDefault="00F14970" w:rsidP="002814B4">
            <w:pPr>
              <w:spacing w:before="120" w:after="120"/>
              <w:rPr>
                <w:rFonts w:cs="Arial"/>
              </w:rPr>
            </w:pPr>
          </w:p>
          <w:p w14:paraId="016C91C8" w14:textId="77777777" w:rsidR="00F14970" w:rsidRDefault="00F14970" w:rsidP="002814B4">
            <w:pPr>
              <w:pStyle w:val="ListParagraph"/>
              <w:numPr>
                <w:ilvl w:val="0"/>
                <w:numId w:val="41"/>
              </w:numPr>
              <w:spacing w:before="120" w:after="120"/>
              <w:rPr>
                <w:rFonts w:cs="Arial"/>
              </w:rPr>
            </w:pPr>
            <w:r>
              <w:rPr>
                <w:rFonts w:ascii="Verdana" w:hAnsi="Verdana" w:cs="Arial"/>
                <w:sz w:val="24"/>
                <w:szCs w:val="24"/>
              </w:rPr>
              <w:t xml:space="preserve">If a specialty copay card is no longer being offered, the drug will still adjudicate at 30% coinsurance and participating members’ out of pocket costs will be $0*. </w:t>
            </w:r>
          </w:p>
          <w:p w14:paraId="3D215922" w14:textId="77777777" w:rsidR="00F14970" w:rsidRDefault="00F14970" w:rsidP="002814B4">
            <w:pPr>
              <w:pStyle w:val="ListParagraph"/>
              <w:numPr>
                <w:ilvl w:val="0"/>
                <w:numId w:val="41"/>
              </w:numPr>
              <w:spacing w:before="120" w:after="120"/>
              <w:rPr>
                <w:rFonts w:cs="Arial"/>
              </w:rPr>
            </w:pPr>
            <w:r>
              <w:rPr>
                <w:rFonts w:ascii="Verdana" w:hAnsi="Verdana" w:cs="Arial"/>
                <w:sz w:val="24"/>
                <w:szCs w:val="24"/>
              </w:rPr>
              <w:t>If the member declines enrollment, they are responsible for the 30% coinsurance.</w:t>
            </w:r>
          </w:p>
          <w:p w14:paraId="43653F06" w14:textId="77777777" w:rsidR="00F14970" w:rsidRDefault="00F14970" w:rsidP="002814B4">
            <w:pPr>
              <w:spacing w:before="120" w:after="120"/>
            </w:pPr>
          </w:p>
          <w:p w14:paraId="2634557B" w14:textId="2C26DDB2" w:rsidR="00F14970" w:rsidRDefault="00F14970" w:rsidP="002814B4">
            <w:pPr>
              <w:spacing w:before="120" w:after="120"/>
            </w:pPr>
            <w:r>
              <w:t>*Participating members enrolled in High Deductible Health Plans (HDHPs) with Health Savings Accounts (HSAs) must fully satisfy their deductible before they are eligible for a $0 OOP, unless the member has been prescribed medication that qualifies as “preventive care” under IRS statutes for HDHPs with HSAs.</w:t>
            </w:r>
          </w:p>
        </w:tc>
      </w:tr>
      <w:tr w:rsidR="00F14970" w14:paraId="60A176D9"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22686082" w14:textId="77777777" w:rsidR="00F14970" w:rsidRPr="002814B4" w:rsidRDefault="00F14970" w:rsidP="002814B4">
            <w:pPr>
              <w:spacing w:before="120" w:after="120"/>
              <w:rPr>
                <w:b/>
                <w:bCs/>
              </w:rPr>
            </w:pPr>
            <w:r w:rsidRPr="002814B4">
              <w:rPr>
                <w:b/>
                <w:bCs/>
              </w:rPr>
              <w:t>What if a drug does not have a specialty copay card?</w:t>
            </w:r>
          </w:p>
        </w:tc>
        <w:tc>
          <w:tcPr>
            <w:tcW w:w="3566" w:type="pct"/>
            <w:tcBorders>
              <w:top w:val="single" w:sz="4" w:space="0" w:color="auto"/>
              <w:left w:val="single" w:sz="4" w:space="0" w:color="auto"/>
              <w:bottom w:val="single" w:sz="4" w:space="0" w:color="auto"/>
              <w:right w:val="single" w:sz="4" w:space="0" w:color="auto"/>
            </w:tcBorders>
          </w:tcPr>
          <w:p w14:paraId="194B1406" w14:textId="77777777" w:rsidR="00F14970" w:rsidRDefault="00F14970" w:rsidP="002814B4">
            <w:pPr>
              <w:spacing w:before="120" w:after="120"/>
              <w:rPr>
                <w:rFonts w:cs="Arial"/>
              </w:rPr>
            </w:pPr>
            <w:r>
              <w:rPr>
                <w:rFonts w:cs="Arial"/>
              </w:rPr>
              <w:t>If the member remains enrolled in the PrudentRx solution, the participating member’s OOP cost will be $0.*</w:t>
            </w:r>
          </w:p>
          <w:p w14:paraId="704BF7E1" w14:textId="77777777" w:rsidR="00F14970" w:rsidRDefault="00F14970" w:rsidP="002814B4">
            <w:pPr>
              <w:spacing w:before="120" w:after="120"/>
              <w:rPr>
                <w:rFonts w:cs="Arial"/>
              </w:rPr>
            </w:pPr>
          </w:p>
          <w:p w14:paraId="70A76382" w14:textId="1517D905" w:rsidR="00F14970" w:rsidRDefault="00F14970" w:rsidP="002814B4">
            <w:pPr>
              <w:spacing w:before="120" w:after="120"/>
              <w:rPr>
                <w:rFonts w:cs="Arial"/>
              </w:rPr>
            </w:pPr>
            <w:r>
              <w:t>*Participating members enrolled in High Deductible Health Plans (HDHPs) with Health Savings Accounts (HSAs) must fully satisfy their deductible before they are eligible for a $0 OOP, unless the member has been prescribed medication that qualifies as “preventive care” under IRS statutes for HDHPs with HSAs.</w:t>
            </w:r>
          </w:p>
        </w:tc>
      </w:tr>
      <w:tr w:rsidR="00F14970" w14:paraId="524B63EA"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2D595027" w14:textId="77777777" w:rsidR="00F14970" w:rsidRPr="002814B4" w:rsidRDefault="00F14970" w:rsidP="002814B4">
            <w:pPr>
              <w:spacing w:before="120" w:after="120"/>
              <w:rPr>
                <w:b/>
                <w:bCs/>
              </w:rPr>
            </w:pPr>
            <w:r w:rsidRPr="002814B4">
              <w:rPr>
                <w:b/>
                <w:bCs/>
              </w:rPr>
              <w:t>What happens if the member maxes out the annual manufacturer assistance available?</w:t>
            </w:r>
          </w:p>
        </w:tc>
        <w:tc>
          <w:tcPr>
            <w:tcW w:w="3566" w:type="pct"/>
            <w:tcBorders>
              <w:top w:val="single" w:sz="4" w:space="0" w:color="auto"/>
              <w:left w:val="single" w:sz="4" w:space="0" w:color="auto"/>
              <w:bottom w:val="single" w:sz="4" w:space="0" w:color="auto"/>
              <w:right w:val="single" w:sz="4" w:space="0" w:color="auto"/>
            </w:tcBorders>
          </w:tcPr>
          <w:p w14:paraId="5664C288" w14:textId="77777777" w:rsidR="00F14970" w:rsidRDefault="00F14970" w:rsidP="002814B4">
            <w:pPr>
              <w:spacing w:before="120" w:after="120"/>
              <w:rPr>
                <w:rFonts w:cs="Arial"/>
              </w:rPr>
            </w:pPr>
            <w:r>
              <w:rPr>
                <w:rFonts w:cs="Arial"/>
              </w:rPr>
              <w:t>If the member remains enrolled in the PrudentRx solution, the participating member’s OOP cost will be $0.*</w:t>
            </w:r>
          </w:p>
          <w:p w14:paraId="7287B77E" w14:textId="77777777" w:rsidR="00F14970" w:rsidRDefault="00F14970" w:rsidP="002814B4">
            <w:pPr>
              <w:spacing w:before="120" w:after="120"/>
              <w:rPr>
                <w:rFonts w:cs="Arial"/>
              </w:rPr>
            </w:pPr>
          </w:p>
          <w:p w14:paraId="5472C70F" w14:textId="033151EF" w:rsidR="00F14970" w:rsidRDefault="00F14970" w:rsidP="002814B4">
            <w:pPr>
              <w:spacing w:before="120" w:after="120"/>
              <w:rPr>
                <w:rFonts w:cs="Arial"/>
              </w:rPr>
            </w:pPr>
            <w:r>
              <w:t>*Participating members enrolled in High Deductible Health Plans (HDHPs) with Health Savings Accounts (HSAs) must fully satisfy their deductible before they are eligible for a $0 OOP, unless the member has been prescribed medication that qualifies as “preventive care” under IRS statutes for HDHPs with HSAs.</w:t>
            </w:r>
          </w:p>
        </w:tc>
      </w:tr>
      <w:tr w:rsidR="00F14970" w14:paraId="2256C045"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3144DD34" w14:textId="77777777" w:rsidR="00F14970" w:rsidRPr="002814B4" w:rsidRDefault="00F14970" w:rsidP="002814B4">
            <w:pPr>
              <w:spacing w:before="120" w:after="120"/>
              <w:rPr>
                <w:b/>
                <w:bCs/>
              </w:rPr>
            </w:pPr>
            <w:r w:rsidRPr="002814B4">
              <w:rPr>
                <w:b/>
                <w:bCs/>
              </w:rPr>
              <w:t>What is the difference between EHB and non-EHB drugs?</w:t>
            </w:r>
          </w:p>
        </w:tc>
        <w:tc>
          <w:tcPr>
            <w:tcW w:w="3566" w:type="pct"/>
            <w:tcBorders>
              <w:top w:val="single" w:sz="4" w:space="0" w:color="auto"/>
              <w:left w:val="single" w:sz="4" w:space="0" w:color="auto"/>
              <w:bottom w:val="single" w:sz="4" w:space="0" w:color="auto"/>
              <w:right w:val="single" w:sz="4" w:space="0" w:color="auto"/>
            </w:tcBorders>
            <w:hideMark/>
          </w:tcPr>
          <w:p w14:paraId="68807008" w14:textId="053D9ED2" w:rsidR="00F14970" w:rsidRDefault="00F14970" w:rsidP="002814B4">
            <w:pPr>
              <w:spacing w:before="120" w:after="120"/>
              <w:rPr>
                <w:rFonts w:cs="Arial"/>
              </w:rPr>
            </w:pPr>
            <w:r>
              <w:rPr>
                <w:rFonts w:cs="Arial"/>
              </w:rPr>
              <w:t xml:space="preserve">Under the ACA, non-grandfathered, self-funded plans are not required to cover EHB, but they are subject to annual maximum out-of-pocket (MOOP) limits. Covered benefits that fall outside the authorized definition are deemed non-EHB and need not be counted toward a member’s </w:t>
            </w:r>
            <w:r w:rsidR="00470810">
              <w:rPr>
                <w:rFonts w:cs="Arial"/>
              </w:rPr>
              <w:t xml:space="preserve">ACA </w:t>
            </w:r>
            <w:r>
              <w:rPr>
                <w:rFonts w:cs="Arial"/>
              </w:rPr>
              <w:t xml:space="preserve">MOOP limit. In the PrudentRx solution, non-EHB drugs are included in the program, and may still be covered by the plan; however, </w:t>
            </w:r>
            <w:r w:rsidR="003D5A80">
              <w:rPr>
                <w:color w:val="231F20"/>
              </w:rPr>
              <w:t>member paid amounts for a non-EHB do not count toward the ACA MOOP in accordance with the ACA standards for EHB and MOOP limits, however if a member is enrolled in an HDHP with HSA, member paid amounts for a non-EHB drug count toward the deductible</w:t>
            </w:r>
            <w:r>
              <w:rPr>
                <w:rFonts w:cs="Arial"/>
              </w:rPr>
              <w:t>.</w:t>
            </w:r>
          </w:p>
        </w:tc>
      </w:tr>
      <w:tr w:rsidR="00F14970" w14:paraId="25FCC9FA" w14:textId="77777777" w:rsidTr="00E56F92">
        <w:tc>
          <w:tcPr>
            <w:tcW w:w="1434" w:type="pct"/>
            <w:tcBorders>
              <w:top w:val="single" w:sz="4" w:space="0" w:color="auto"/>
              <w:left w:val="single" w:sz="4" w:space="0" w:color="auto"/>
              <w:bottom w:val="single" w:sz="4" w:space="0" w:color="auto"/>
              <w:right w:val="single" w:sz="4" w:space="0" w:color="auto"/>
            </w:tcBorders>
            <w:hideMark/>
          </w:tcPr>
          <w:p w14:paraId="751AD6FA" w14:textId="78C2660D" w:rsidR="00F14970" w:rsidRPr="002814B4" w:rsidRDefault="00A33A5D" w:rsidP="002814B4">
            <w:pPr>
              <w:spacing w:before="120" w:after="120"/>
              <w:rPr>
                <w:b/>
                <w:bCs/>
              </w:rPr>
            </w:pPr>
            <w:r w:rsidRPr="002814B4">
              <w:rPr>
                <w:b/>
                <w:bCs/>
              </w:rPr>
              <w:t xml:space="preserve"> </w:t>
            </w:r>
            <w:r w:rsidR="00370C0A" w:rsidRPr="002814B4">
              <w:rPr>
                <w:b/>
                <w:bCs/>
              </w:rPr>
              <w:t>W</w:t>
            </w:r>
            <w:r w:rsidR="00F14970" w:rsidRPr="002814B4">
              <w:rPr>
                <w:b/>
                <w:bCs/>
              </w:rPr>
              <w:t>hat language services do they offer?</w:t>
            </w:r>
          </w:p>
        </w:tc>
        <w:tc>
          <w:tcPr>
            <w:tcW w:w="3566" w:type="pct"/>
            <w:tcBorders>
              <w:top w:val="single" w:sz="4" w:space="0" w:color="auto"/>
              <w:left w:val="single" w:sz="4" w:space="0" w:color="auto"/>
              <w:bottom w:val="single" w:sz="4" w:space="0" w:color="auto"/>
              <w:right w:val="single" w:sz="4" w:space="0" w:color="auto"/>
            </w:tcBorders>
          </w:tcPr>
          <w:p w14:paraId="65C3DCDC" w14:textId="27404E5B" w:rsidR="00F14970" w:rsidRDefault="00F14970" w:rsidP="002814B4">
            <w:pPr>
              <w:spacing w:before="120" w:after="120"/>
              <w:rPr>
                <w:rFonts w:cs="Arial"/>
              </w:rPr>
            </w:pPr>
            <w:r>
              <w:rPr>
                <w:rFonts w:cs="Arial"/>
              </w:rPr>
              <w:t xml:space="preserve">They offer Spanish-speaking advocates as well as language services to accommodate members whose primary language is not English. </w:t>
            </w:r>
          </w:p>
        </w:tc>
      </w:tr>
    </w:tbl>
    <w:p w14:paraId="6DDD3E6E" w14:textId="77777777" w:rsidR="00F14970" w:rsidRDefault="00F14970" w:rsidP="002814B4">
      <w:pPr>
        <w:spacing w:before="120" w:after="120"/>
        <w:rPr>
          <w:rStyle w:val="Hyperlink"/>
        </w:rPr>
      </w:pPr>
    </w:p>
    <w:p w14:paraId="5BB0EE28" w14:textId="77777777" w:rsidR="001B591A" w:rsidRPr="004E00B6" w:rsidRDefault="001B591A" w:rsidP="00DA0252">
      <w:pPr>
        <w:ind w:left="720"/>
        <w:jc w:val="right"/>
      </w:pPr>
      <w:hyperlink w:anchor="_top" w:history="1">
        <w:r w:rsidRPr="00B0584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B591A" w:rsidRPr="004E00B6" w14:paraId="6E4DD10A" w14:textId="77777777" w:rsidTr="00A33A5D">
        <w:tc>
          <w:tcPr>
            <w:tcW w:w="5000" w:type="pct"/>
            <w:shd w:val="clear" w:color="auto" w:fill="BFBFBF" w:themeFill="background1" w:themeFillShade="BF"/>
          </w:tcPr>
          <w:p w14:paraId="2DAD5976" w14:textId="77777777" w:rsidR="001B591A" w:rsidRPr="004E00B6" w:rsidRDefault="00CC341A" w:rsidP="00A33A5D">
            <w:pPr>
              <w:pStyle w:val="Heading2"/>
              <w:spacing w:before="120" w:after="120"/>
              <w:rPr>
                <w:rFonts w:ascii="Verdana" w:hAnsi="Verdana"/>
                <w:i w:val="0"/>
                <w:iCs w:val="0"/>
              </w:rPr>
            </w:pPr>
            <w:bookmarkStart w:id="29" w:name="_Toc100581441"/>
            <w:bookmarkStart w:id="30" w:name="_Toc100582025"/>
            <w:bookmarkStart w:id="31" w:name="_Toc100582047"/>
            <w:bookmarkStart w:id="32" w:name="_Toc207786652"/>
            <w:r>
              <w:rPr>
                <w:rFonts w:ascii="Verdana" w:hAnsi="Verdana"/>
                <w:i w:val="0"/>
                <w:iCs w:val="0"/>
              </w:rPr>
              <w:t xml:space="preserve">Related </w:t>
            </w:r>
            <w:r w:rsidR="001B591A">
              <w:rPr>
                <w:rFonts w:ascii="Verdana" w:hAnsi="Verdana"/>
                <w:i w:val="0"/>
                <w:iCs w:val="0"/>
              </w:rPr>
              <w:t>Document</w:t>
            </w:r>
            <w:r w:rsidR="007559B5">
              <w:rPr>
                <w:rFonts w:ascii="Verdana" w:hAnsi="Verdana"/>
                <w:i w:val="0"/>
                <w:iCs w:val="0"/>
              </w:rPr>
              <w:t>s</w:t>
            </w:r>
            <w:bookmarkEnd w:id="29"/>
            <w:bookmarkEnd w:id="30"/>
            <w:bookmarkEnd w:id="31"/>
            <w:bookmarkEnd w:id="32"/>
          </w:p>
        </w:tc>
      </w:tr>
    </w:tbl>
    <w:p w14:paraId="1435598B" w14:textId="7CC7E53E" w:rsidR="001B591A" w:rsidRPr="00B50C7D" w:rsidRDefault="00D70E8E" w:rsidP="002814B4">
      <w:pPr>
        <w:spacing w:before="120" w:after="120"/>
        <w:rPr>
          <w:rStyle w:val="Hyperlink"/>
          <w:b/>
          <w:u w:val="none"/>
        </w:rPr>
      </w:pPr>
      <w:hyperlink r:id="rId23" w:anchor="!/view?docid=c1f1028b-e42c-4b4f-a4cf-cc0b42c91606" w:tgtFrame="_blank" w:history="1">
        <w:r>
          <w:rPr>
            <w:color w:val="0000FF"/>
            <w:u w:val="single"/>
          </w:rPr>
          <w:t>Customer Care Abbreviations, Definitions, and Terms Index (017428)</w:t>
        </w:r>
      </w:hyperlink>
    </w:p>
    <w:p w14:paraId="6125896F" w14:textId="77777777" w:rsidR="00A33A5D" w:rsidRDefault="00A33A5D" w:rsidP="002814B4">
      <w:pPr>
        <w:spacing w:before="120" w:after="120"/>
        <w:ind w:left="720"/>
        <w:jc w:val="right"/>
      </w:pPr>
    </w:p>
    <w:p w14:paraId="5DB8E5BD" w14:textId="4DA57FD2" w:rsidR="00266150" w:rsidRPr="004E00B6" w:rsidRDefault="00266150" w:rsidP="00DA0252">
      <w:pPr>
        <w:ind w:left="720"/>
        <w:jc w:val="right"/>
      </w:pPr>
      <w:hyperlink w:anchor="_top" w:history="1">
        <w:r w:rsidRPr="00B05848">
          <w:rPr>
            <w:rStyle w:val="Hyperlink"/>
          </w:rPr>
          <w:t>Top of the Document</w:t>
        </w:r>
      </w:hyperlink>
    </w:p>
    <w:p w14:paraId="30400646" w14:textId="77777777" w:rsidR="00A33A5D" w:rsidRDefault="00A33A5D" w:rsidP="00C247CB">
      <w:pPr>
        <w:jc w:val="center"/>
        <w:rPr>
          <w:sz w:val="16"/>
          <w:szCs w:val="16"/>
        </w:rPr>
      </w:pPr>
    </w:p>
    <w:p w14:paraId="19525F00" w14:textId="08C2B254" w:rsidR="00710E68" w:rsidRPr="00DF5868" w:rsidRDefault="00710E68" w:rsidP="00C247CB">
      <w:pPr>
        <w:jc w:val="center"/>
        <w:rPr>
          <w:sz w:val="16"/>
          <w:szCs w:val="16"/>
        </w:rPr>
      </w:pPr>
      <w:r w:rsidRPr="00DF5868">
        <w:rPr>
          <w:sz w:val="16"/>
          <w:szCs w:val="16"/>
        </w:rPr>
        <w:t xml:space="preserve">Not </w:t>
      </w:r>
      <w:r w:rsidR="00A14541" w:rsidRPr="00DF5868">
        <w:rPr>
          <w:sz w:val="16"/>
          <w:szCs w:val="16"/>
        </w:rPr>
        <w:t>to</w:t>
      </w:r>
      <w:r w:rsidRPr="00DF5868">
        <w:rPr>
          <w:sz w:val="16"/>
          <w:szCs w:val="16"/>
        </w:rPr>
        <w:t xml:space="preserve"> Be Reproduced </w:t>
      </w:r>
      <w:r w:rsidR="00A14541" w:rsidRPr="00DF5868">
        <w:rPr>
          <w:sz w:val="16"/>
          <w:szCs w:val="16"/>
        </w:rPr>
        <w:t>or</w:t>
      </w:r>
      <w:r w:rsidRPr="00DF5868">
        <w:rPr>
          <w:sz w:val="16"/>
          <w:szCs w:val="16"/>
        </w:rPr>
        <w:t xml:space="preserve"> Disclosed to Others </w:t>
      </w:r>
      <w:r w:rsidR="00A14541" w:rsidRPr="00DF5868">
        <w:rPr>
          <w:sz w:val="16"/>
          <w:szCs w:val="16"/>
        </w:rPr>
        <w:t>without</w:t>
      </w:r>
      <w:r w:rsidRPr="00DF5868">
        <w:rPr>
          <w:sz w:val="16"/>
          <w:szCs w:val="16"/>
        </w:rPr>
        <w:t xml:space="preserve"> Prior Written Approval</w:t>
      </w:r>
    </w:p>
    <w:p w14:paraId="08134697" w14:textId="77777777" w:rsidR="00710E68" w:rsidRPr="00DF5868" w:rsidRDefault="00710E68" w:rsidP="00C247CB">
      <w:pPr>
        <w:jc w:val="center"/>
        <w:rPr>
          <w:b/>
          <w:color w:val="000000"/>
          <w:sz w:val="16"/>
          <w:szCs w:val="16"/>
        </w:rPr>
      </w:pPr>
      <w:r w:rsidRPr="00DF5868">
        <w:rPr>
          <w:b/>
          <w:color w:val="000000"/>
          <w:sz w:val="16"/>
          <w:szCs w:val="16"/>
        </w:rPr>
        <w:t xml:space="preserve">ELECTRONIC DATA = OFFICIAL VERSION </w:t>
      </w:r>
      <w:r w:rsidR="0067738F">
        <w:rPr>
          <w:b/>
          <w:color w:val="000000"/>
          <w:sz w:val="16"/>
          <w:szCs w:val="16"/>
        </w:rPr>
        <w:t>/</w:t>
      </w:r>
      <w:r w:rsidRPr="00DF5868">
        <w:rPr>
          <w:b/>
          <w:color w:val="000000"/>
          <w:sz w:val="16"/>
          <w:szCs w:val="16"/>
        </w:rPr>
        <w:t xml:space="preserve"> PAPER COPY </w:t>
      </w:r>
      <w:r w:rsidR="0067738F">
        <w:rPr>
          <w:b/>
          <w:color w:val="000000"/>
          <w:sz w:val="16"/>
          <w:szCs w:val="16"/>
        </w:rPr>
        <w:t>=</w:t>
      </w:r>
      <w:r w:rsidRPr="00DF5868">
        <w:rPr>
          <w:b/>
          <w:color w:val="000000"/>
          <w:sz w:val="16"/>
          <w:szCs w:val="16"/>
        </w:rPr>
        <w:t xml:space="preserve"> INFORMATIONAL ONLY</w:t>
      </w:r>
    </w:p>
    <w:p w14:paraId="6687BC2F" w14:textId="4B918E19" w:rsidR="005A64DA" w:rsidRPr="0058134F" w:rsidRDefault="005A64DA" w:rsidP="00C247CB">
      <w:pPr>
        <w:jc w:val="center"/>
        <w:rPr>
          <w:sz w:val="16"/>
          <w:szCs w:val="16"/>
        </w:rPr>
      </w:pPr>
    </w:p>
    <w:sectPr w:rsidR="005A64DA" w:rsidRPr="0058134F" w:rsidSect="00EB1F94">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F34F7" w14:textId="77777777" w:rsidR="00B132D1" w:rsidRDefault="00B132D1">
      <w:r>
        <w:separator/>
      </w:r>
    </w:p>
  </w:endnote>
  <w:endnote w:type="continuationSeparator" w:id="0">
    <w:p w14:paraId="52AB5DAD" w14:textId="77777777" w:rsidR="00B132D1" w:rsidRDefault="00B132D1">
      <w:r>
        <w:continuationSeparator/>
      </w:r>
    </w:p>
  </w:endnote>
  <w:endnote w:type="continuationNotice" w:id="1">
    <w:p w14:paraId="0C3A3D8E" w14:textId="77777777" w:rsidR="00B132D1" w:rsidRDefault="00B13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VS Health Sans">
    <w:panose1 w:val="020B0504020202020204"/>
    <w:charset w:val="00"/>
    <w:family w:val="swiss"/>
    <w:pitch w:val="variable"/>
    <w:sig w:usb0="A000006F" w:usb1="4000004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44F2E" w14:textId="77777777" w:rsidR="0062719F" w:rsidRPr="00C32D18" w:rsidRDefault="0062719F"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E600BE">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153E8" w14:textId="77777777" w:rsidR="0062719F" w:rsidRPr="00CD2229" w:rsidRDefault="0062719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30557" w14:textId="77777777" w:rsidR="00B132D1" w:rsidRDefault="00B132D1">
      <w:r>
        <w:separator/>
      </w:r>
    </w:p>
  </w:footnote>
  <w:footnote w:type="continuationSeparator" w:id="0">
    <w:p w14:paraId="5A9496B9" w14:textId="77777777" w:rsidR="00B132D1" w:rsidRDefault="00B132D1">
      <w:r>
        <w:continuationSeparator/>
      </w:r>
    </w:p>
  </w:footnote>
  <w:footnote w:type="continuationNotice" w:id="1">
    <w:p w14:paraId="3DCB9F94" w14:textId="77777777" w:rsidR="00B132D1" w:rsidRDefault="00B13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6D649" w14:textId="77777777" w:rsidR="0062719F" w:rsidRDefault="0062719F">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6.5pt;flip:x;visibility:visible;mso-wrap-style:square" o:bullet="t">
        <v:imagedata r:id="rId1" o:title=""/>
      </v:shape>
    </w:pict>
  </w:numPicBullet>
  <w:abstractNum w:abstractNumId="0" w15:restartNumberingAfterBreak="0">
    <w:nsid w:val="00000402"/>
    <w:multiLevelType w:val="multilevel"/>
    <w:tmpl w:val="FFFFFFFF"/>
    <w:lvl w:ilvl="0">
      <w:start w:val="1"/>
      <w:numFmt w:val="decimal"/>
      <w:lvlText w:val="%1"/>
      <w:lvlJc w:val="left"/>
      <w:pPr>
        <w:ind w:hanging="900"/>
      </w:pPr>
      <w:rPr>
        <w:rFonts w:ascii="CVS Health Sans" w:hAnsi="CVS Health Sans" w:cs="CVS Health Sans"/>
        <w:b/>
        <w:bCs/>
        <w:color w:val="231F20"/>
        <w:sz w:val="28"/>
        <w:szCs w:val="28"/>
      </w:rPr>
    </w:lvl>
    <w:lvl w:ilvl="1">
      <w:numFmt w:val="bullet"/>
      <w:lvlText w:val="•"/>
      <w:lvlJc w:val="left"/>
      <w:pPr>
        <w:ind w:hanging="180"/>
      </w:pPr>
      <w:rPr>
        <w:rFonts w:ascii="CVS Health Sans" w:hAnsi="CVS Health Sans"/>
        <w:b w:val="0"/>
        <w:color w:val="231F20"/>
        <w:sz w:val="22"/>
      </w:rPr>
    </w:lvl>
    <w:lvl w:ilvl="2">
      <w:numFmt w:val="bullet"/>
      <w:lvlText w:val="-"/>
      <w:lvlJc w:val="left"/>
      <w:pPr>
        <w:ind w:hanging="180"/>
      </w:pPr>
      <w:rPr>
        <w:rFonts w:ascii="CVS Health Sans" w:hAnsi="CVS Health Sans"/>
        <w:b w:val="0"/>
        <w:color w:val="231F20"/>
        <w:sz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3EC3151"/>
    <w:multiLevelType w:val="hybridMultilevel"/>
    <w:tmpl w:val="2918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157EA"/>
    <w:multiLevelType w:val="multilevel"/>
    <w:tmpl w:val="0D8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7FC1"/>
    <w:multiLevelType w:val="hybridMultilevel"/>
    <w:tmpl w:val="C43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22323"/>
    <w:multiLevelType w:val="hybridMultilevel"/>
    <w:tmpl w:val="7BF0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3C231E"/>
    <w:multiLevelType w:val="hybridMultilevel"/>
    <w:tmpl w:val="D02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E722F"/>
    <w:multiLevelType w:val="hybridMultilevel"/>
    <w:tmpl w:val="A92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8243A76"/>
    <w:multiLevelType w:val="hybridMultilevel"/>
    <w:tmpl w:val="2918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22248"/>
    <w:multiLevelType w:val="hybridMultilevel"/>
    <w:tmpl w:val="98C2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EBA46AE"/>
    <w:multiLevelType w:val="hybridMultilevel"/>
    <w:tmpl w:val="55A07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18128B"/>
    <w:multiLevelType w:val="hybridMultilevel"/>
    <w:tmpl w:val="C16E0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75D19"/>
    <w:multiLevelType w:val="hybridMultilevel"/>
    <w:tmpl w:val="DBB2C026"/>
    <w:lvl w:ilvl="0" w:tplc="1660CDFA">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305C5"/>
    <w:multiLevelType w:val="hybridMultilevel"/>
    <w:tmpl w:val="F4C0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D4D17"/>
    <w:multiLevelType w:val="hybridMultilevel"/>
    <w:tmpl w:val="7A8AA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4B5101"/>
    <w:multiLevelType w:val="hybridMultilevel"/>
    <w:tmpl w:val="CB70F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F002734"/>
    <w:multiLevelType w:val="hybridMultilevel"/>
    <w:tmpl w:val="042E9C32"/>
    <w:lvl w:ilvl="0" w:tplc="E806F148">
      <w:start w:val="1"/>
      <w:numFmt w:val="decimal"/>
      <w:lvlText w:val="%1."/>
      <w:lvlJc w:val="left"/>
      <w:pPr>
        <w:ind w:left="1381" w:hanging="360"/>
      </w:pPr>
      <w:rPr>
        <w:rFonts w:hint="default"/>
        <w:b/>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25" w15:restartNumberingAfterBreak="0">
    <w:nsid w:val="4057062D"/>
    <w:multiLevelType w:val="hybridMultilevel"/>
    <w:tmpl w:val="374E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87E1E"/>
    <w:multiLevelType w:val="hybridMultilevel"/>
    <w:tmpl w:val="1E40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9658E3"/>
    <w:multiLevelType w:val="hybridMultilevel"/>
    <w:tmpl w:val="7AC0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B563D"/>
    <w:multiLevelType w:val="hybridMultilevel"/>
    <w:tmpl w:val="70887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A17E61"/>
    <w:multiLevelType w:val="hybridMultilevel"/>
    <w:tmpl w:val="4BC6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DE59FC"/>
    <w:multiLevelType w:val="hybridMultilevel"/>
    <w:tmpl w:val="CB620ACE"/>
    <w:lvl w:ilvl="0" w:tplc="F28C66D6">
      <w:start w:val="1"/>
      <w:numFmt w:val="bullet"/>
      <w:lvlText w:val=""/>
      <w:lvlPicBulletId w:val="0"/>
      <w:lvlJc w:val="left"/>
      <w:pPr>
        <w:tabs>
          <w:tab w:val="num" w:pos="720"/>
        </w:tabs>
        <w:ind w:left="720" w:hanging="360"/>
      </w:pPr>
      <w:rPr>
        <w:rFonts w:ascii="Symbol" w:hAnsi="Symbol" w:hint="default"/>
      </w:rPr>
    </w:lvl>
    <w:lvl w:ilvl="1" w:tplc="9DB468D4" w:tentative="1">
      <w:start w:val="1"/>
      <w:numFmt w:val="bullet"/>
      <w:lvlText w:val=""/>
      <w:lvlJc w:val="left"/>
      <w:pPr>
        <w:tabs>
          <w:tab w:val="num" w:pos="1440"/>
        </w:tabs>
        <w:ind w:left="1440" w:hanging="360"/>
      </w:pPr>
      <w:rPr>
        <w:rFonts w:ascii="Symbol" w:hAnsi="Symbol" w:hint="default"/>
      </w:rPr>
    </w:lvl>
    <w:lvl w:ilvl="2" w:tplc="0212A970" w:tentative="1">
      <w:start w:val="1"/>
      <w:numFmt w:val="bullet"/>
      <w:lvlText w:val=""/>
      <w:lvlJc w:val="left"/>
      <w:pPr>
        <w:tabs>
          <w:tab w:val="num" w:pos="2160"/>
        </w:tabs>
        <w:ind w:left="2160" w:hanging="360"/>
      </w:pPr>
      <w:rPr>
        <w:rFonts w:ascii="Symbol" w:hAnsi="Symbol" w:hint="default"/>
      </w:rPr>
    </w:lvl>
    <w:lvl w:ilvl="3" w:tplc="BB36A886" w:tentative="1">
      <w:start w:val="1"/>
      <w:numFmt w:val="bullet"/>
      <w:lvlText w:val=""/>
      <w:lvlJc w:val="left"/>
      <w:pPr>
        <w:tabs>
          <w:tab w:val="num" w:pos="2880"/>
        </w:tabs>
        <w:ind w:left="2880" w:hanging="360"/>
      </w:pPr>
      <w:rPr>
        <w:rFonts w:ascii="Symbol" w:hAnsi="Symbol" w:hint="default"/>
      </w:rPr>
    </w:lvl>
    <w:lvl w:ilvl="4" w:tplc="9398BC30" w:tentative="1">
      <w:start w:val="1"/>
      <w:numFmt w:val="bullet"/>
      <w:lvlText w:val=""/>
      <w:lvlJc w:val="left"/>
      <w:pPr>
        <w:tabs>
          <w:tab w:val="num" w:pos="3600"/>
        </w:tabs>
        <w:ind w:left="3600" w:hanging="360"/>
      </w:pPr>
      <w:rPr>
        <w:rFonts w:ascii="Symbol" w:hAnsi="Symbol" w:hint="default"/>
      </w:rPr>
    </w:lvl>
    <w:lvl w:ilvl="5" w:tplc="1F4043CA" w:tentative="1">
      <w:start w:val="1"/>
      <w:numFmt w:val="bullet"/>
      <w:lvlText w:val=""/>
      <w:lvlJc w:val="left"/>
      <w:pPr>
        <w:tabs>
          <w:tab w:val="num" w:pos="4320"/>
        </w:tabs>
        <w:ind w:left="4320" w:hanging="360"/>
      </w:pPr>
      <w:rPr>
        <w:rFonts w:ascii="Symbol" w:hAnsi="Symbol" w:hint="default"/>
      </w:rPr>
    </w:lvl>
    <w:lvl w:ilvl="6" w:tplc="FB64C082" w:tentative="1">
      <w:start w:val="1"/>
      <w:numFmt w:val="bullet"/>
      <w:lvlText w:val=""/>
      <w:lvlJc w:val="left"/>
      <w:pPr>
        <w:tabs>
          <w:tab w:val="num" w:pos="5040"/>
        </w:tabs>
        <w:ind w:left="5040" w:hanging="360"/>
      </w:pPr>
      <w:rPr>
        <w:rFonts w:ascii="Symbol" w:hAnsi="Symbol" w:hint="default"/>
      </w:rPr>
    </w:lvl>
    <w:lvl w:ilvl="7" w:tplc="D41834E2" w:tentative="1">
      <w:start w:val="1"/>
      <w:numFmt w:val="bullet"/>
      <w:lvlText w:val=""/>
      <w:lvlJc w:val="left"/>
      <w:pPr>
        <w:tabs>
          <w:tab w:val="num" w:pos="5760"/>
        </w:tabs>
        <w:ind w:left="5760" w:hanging="360"/>
      </w:pPr>
      <w:rPr>
        <w:rFonts w:ascii="Symbol" w:hAnsi="Symbol" w:hint="default"/>
      </w:rPr>
    </w:lvl>
    <w:lvl w:ilvl="8" w:tplc="4E707000"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5D56FF1"/>
    <w:multiLevelType w:val="hybridMultilevel"/>
    <w:tmpl w:val="B4F6F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79214D"/>
    <w:multiLevelType w:val="hybridMultilevel"/>
    <w:tmpl w:val="B33A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213676">
    <w:abstractNumId w:val="30"/>
  </w:num>
  <w:num w:numId="2" w16cid:durableId="1771468520">
    <w:abstractNumId w:val="10"/>
  </w:num>
  <w:num w:numId="3" w16cid:durableId="1274357784">
    <w:abstractNumId w:val="33"/>
  </w:num>
  <w:num w:numId="4" w16cid:durableId="780031055">
    <w:abstractNumId w:val="35"/>
  </w:num>
  <w:num w:numId="5" w16cid:durableId="535703502">
    <w:abstractNumId w:val="6"/>
  </w:num>
  <w:num w:numId="6" w16cid:durableId="989597358">
    <w:abstractNumId w:val="36"/>
  </w:num>
  <w:num w:numId="7" w16cid:durableId="2016805286">
    <w:abstractNumId w:val="23"/>
  </w:num>
  <w:num w:numId="8" w16cid:durableId="11198832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1891139">
    <w:abstractNumId w:val="12"/>
  </w:num>
  <w:num w:numId="10" w16cid:durableId="1693527839">
    <w:abstractNumId w:val="5"/>
  </w:num>
  <w:num w:numId="11" w16cid:durableId="1960796098">
    <w:abstractNumId w:val="11"/>
  </w:num>
  <w:num w:numId="12" w16cid:durableId="880047659">
    <w:abstractNumId w:val="7"/>
  </w:num>
  <w:num w:numId="13" w16cid:durableId="614140889">
    <w:abstractNumId w:val="16"/>
  </w:num>
  <w:num w:numId="14" w16cid:durableId="430129030">
    <w:abstractNumId w:val="13"/>
  </w:num>
  <w:num w:numId="15" w16cid:durableId="1030182407">
    <w:abstractNumId w:val="32"/>
  </w:num>
  <w:num w:numId="16" w16cid:durableId="1196962370">
    <w:abstractNumId w:val="25"/>
  </w:num>
  <w:num w:numId="17" w16cid:durableId="856040825">
    <w:abstractNumId w:val="18"/>
  </w:num>
  <w:num w:numId="18" w16cid:durableId="334233709">
    <w:abstractNumId w:val="17"/>
  </w:num>
  <w:num w:numId="19" w16cid:durableId="803304793">
    <w:abstractNumId w:val="8"/>
  </w:num>
  <w:num w:numId="20" w16cid:durableId="1172405358">
    <w:abstractNumId w:val="19"/>
  </w:num>
  <w:num w:numId="21" w16cid:durableId="1389836020">
    <w:abstractNumId w:val="28"/>
  </w:num>
  <w:num w:numId="22" w16cid:durableId="1952711116">
    <w:abstractNumId w:val="2"/>
  </w:num>
  <w:num w:numId="23" w16cid:durableId="1040469895">
    <w:abstractNumId w:val="1"/>
  </w:num>
  <w:num w:numId="24" w16cid:durableId="1690372485">
    <w:abstractNumId w:val="14"/>
  </w:num>
  <w:num w:numId="25" w16cid:durableId="1673601653">
    <w:abstractNumId w:val="21"/>
  </w:num>
  <w:num w:numId="26" w16cid:durableId="1481075000">
    <w:abstractNumId w:val="34"/>
  </w:num>
  <w:num w:numId="27" w16cid:durableId="805658585">
    <w:abstractNumId w:val="15"/>
  </w:num>
  <w:num w:numId="28" w16cid:durableId="434524588">
    <w:abstractNumId w:val="29"/>
  </w:num>
  <w:num w:numId="29" w16cid:durableId="994652384">
    <w:abstractNumId w:val="9"/>
  </w:num>
  <w:num w:numId="30" w16cid:durableId="795949545">
    <w:abstractNumId w:val="26"/>
  </w:num>
  <w:num w:numId="31" w16cid:durableId="1394737909">
    <w:abstractNumId w:val="27"/>
  </w:num>
  <w:num w:numId="32" w16cid:durableId="831144279">
    <w:abstractNumId w:val="4"/>
  </w:num>
  <w:num w:numId="33" w16cid:durableId="1971282043">
    <w:abstractNumId w:val="3"/>
  </w:num>
  <w:num w:numId="34" w16cid:durableId="1851406054">
    <w:abstractNumId w:val="37"/>
  </w:num>
  <w:num w:numId="35" w16cid:durableId="1921481418">
    <w:abstractNumId w:val="26"/>
  </w:num>
  <w:num w:numId="36" w16cid:durableId="1222013428">
    <w:abstractNumId w:val="4"/>
  </w:num>
  <w:num w:numId="37" w16cid:durableId="1013262858">
    <w:abstractNumId w:val="27"/>
  </w:num>
  <w:num w:numId="38" w16cid:durableId="176240107">
    <w:abstractNumId w:val="15"/>
  </w:num>
  <w:num w:numId="39" w16cid:durableId="106706497">
    <w:abstractNumId w:val="37"/>
  </w:num>
  <w:num w:numId="40" w16cid:durableId="1223173706">
    <w:abstractNumId w:val="20"/>
  </w:num>
  <w:num w:numId="41" w16cid:durableId="499275031">
    <w:abstractNumId w:val="21"/>
  </w:num>
  <w:num w:numId="42" w16cid:durableId="1724714307">
    <w:abstractNumId w:val="0"/>
  </w:num>
  <w:num w:numId="43" w16cid:durableId="1129590125">
    <w:abstractNumId w:val="31"/>
  </w:num>
  <w:num w:numId="44" w16cid:durableId="1803838616">
    <w:abstractNumId w:val="22"/>
  </w:num>
  <w:num w:numId="45" w16cid:durableId="2664256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7AF"/>
    <w:rsid w:val="000073EF"/>
    <w:rsid w:val="00012049"/>
    <w:rsid w:val="00014FCA"/>
    <w:rsid w:val="00015A2E"/>
    <w:rsid w:val="000227A4"/>
    <w:rsid w:val="00026B08"/>
    <w:rsid w:val="00027631"/>
    <w:rsid w:val="000359CC"/>
    <w:rsid w:val="00035BED"/>
    <w:rsid w:val="000363AE"/>
    <w:rsid w:val="0004181B"/>
    <w:rsid w:val="0004399A"/>
    <w:rsid w:val="00051373"/>
    <w:rsid w:val="00051682"/>
    <w:rsid w:val="00053511"/>
    <w:rsid w:val="00061AD2"/>
    <w:rsid w:val="000704DA"/>
    <w:rsid w:val="000706D4"/>
    <w:rsid w:val="000746F4"/>
    <w:rsid w:val="000760DC"/>
    <w:rsid w:val="00077558"/>
    <w:rsid w:val="0008261B"/>
    <w:rsid w:val="00084665"/>
    <w:rsid w:val="000863D4"/>
    <w:rsid w:val="000864BE"/>
    <w:rsid w:val="0008665F"/>
    <w:rsid w:val="000934C3"/>
    <w:rsid w:val="00095AB5"/>
    <w:rsid w:val="000A1708"/>
    <w:rsid w:val="000A1F68"/>
    <w:rsid w:val="000A6B88"/>
    <w:rsid w:val="000B2B11"/>
    <w:rsid w:val="000B332D"/>
    <w:rsid w:val="000B34FF"/>
    <w:rsid w:val="000B3C4C"/>
    <w:rsid w:val="000B656F"/>
    <w:rsid w:val="000B72DF"/>
    <w:rsid w:val="000C22BC"/>
    <w:rsid w:val="000C3EDF"/>
    <w:rsid w:val="000C4A6C"/>
    <w:rsid w:val="000C73E6"/>
    <w:rsid w:val="000D013B"/>
    <w:rsid w:val="000D1870"/>
    <w:rsid w:val="000D2E81"/>
    <w:rsid w:val="000D3F14"/>
    <w:rsid w:val="000D4BA2"/>
    <w:rsid w:val="000D6714"/>
    <w:rsid w:val="000E01DF"/>
    <w:rsid w:val="000E4DE0"/>
    <w:rsid w:val="000F0D1B"/>
    <w:rsid w:val="000F54AF"/>
    <w:rsid w:val="000F6A12"/>
    <w:rsid w:val="000F6C07"/>
    <w:rsid w:val="000F6EA2"/>
    <w:rsid w:val="00104CDE"/>
    <w:rsid w:val="00110BEA"/>
    <w:rsid w:val="00114E11"/>
    <w:rsid w:val="00115944"/>
    <w:rsid w:val="0012026E"/>
    <w:rsid w:val="0012373E"/>
    <w:rsid w:val="0012597D"/>
    <w:rsid w:val="00126423"/>
    <w:rsid w:val="00131C80"/>
    <w:rsid w:val="00132CD5"/>
    <w:rsid w:val="001342D9"/>
    <w:rsid w:val="001360A5"/>
    <w:rsid w:val="00141556"/>
    <w:rsid w:val="0015174B"/>
    <w:rsid w:val="00155AAF"/>
    <w:rsid w:val="00160C63"/>
    <w:rsid w:val="0016273A"/>
    <w:rsid w:val="00167986"/>
    <w:rsid w:val="00170566"/>
    <w:rsid w:val="00170B51"/>
    <w:rsid w:val="00170E38"/>
    <w:rsid w:val="00171707"/>
    <w:rsid w:val="001778EE"/>
    <w:rsid w:val="00177A50"/>
    <w:rsid w:val="00181B1A"/>
    <w:rsid w:val="0019130B"/>
    <w:rsid w:val="00191BAD"/>
    <w:rsid w:val="001929D1"/>
    <w:rsid w:val="001952DC"/>
    <w:rsid w:val="001A04ED"/>
    <w:rsid w:val="001A314D"/>
    <w:rsid w:val="001A5256"/>
    <w:rsid w:val="001A5415"/>
    <w:rsid w:val="001A655C"/>
    <w:rsid w:val="001B32F5"/>
    <w:rsid w:val="001B3879"/>
    <w:rsid w:val="001B4314"/>
    <w:rsid w:val="001B591A"/>
    <w:rsid w:val="001B5CD0"/>
    <w:rsid w:val="001C2628"/>
    <w:rsid w:val="001C5658"/>
    <w:rsid w:val="001C62C1"/>
    <w:rsid w:val="001C72CB"/>
    <w:rsid w:val="001D012E"/>
    <w:rsid w:val="001D7C8B"/>
    <w:rsid w:val="001E6B7C"/>
    <w:rsid w:val="001E7746"/>
    <w:rsid w:val="001F0504"/>
    <w:rsid w:val="001F0774"/>
    <w:rsid w:val="001F1218"/>
    <w:rsid w:val="001F1E7F"/>
    <w:rsid w:val="001F344C"/>
    <w:rsid w:val="001F5947"/>
    <w:rsid w:val="002016B4"/>
    <w:rsid w:val="00204492"/>
    <w:rsid w:val="002055CF"/>
    <w:rsid w:val="00205ACE"/>
    <w:rsid w:val="00207147"/>
    <w:rsid w:val="00217CC7"/>
    <w:rsid w:val="0023293F"/>
    <w:rsid w:val="00243EBB"/>
    <w:rsid w:val="002516A1"/>
    <w:rsid w:val="00255C6B"/>
    <w:rsid w:val="00255FF2"/>
    <w:rsid w:val="00262929"/>
    <w:rsid w:val="00265D86"/>
    <w:rsid w:val="00266150"/>
    <w:rsid w:val="00266A8C"/>
    <w:rsid w:val="00267968"/>
    <w:rsid w:val="002750DC"/>
    <w:rsid w:val="002814B4"/>
    <w:rsid w:val="002824D1"/>
    <w:rsid w:val="002836F1"/>
    <w:rsid w:val="00291CE8"/>
    <w:rsid w:val="00296127"/>
    <w:rsid w:val="00296765"/>
    <w:rsid w:val="002A2C33"/>
    <w:rsid w:val="002A673F"/>
    <w:rsid w:val="002A79F7"/>
    <w:rsid w:val="002B22DF"/>
    <w:rsid w:val="002B3242"/>
    <w:rsid w:val="002B593E"/>
    <w:rsid w:val="002B783B"/>
    <w:rsid w:val="002C7CA4"/>
    <w:rsid w:val="002D0BEC"/>
    <w:rsid w:val="002D0E97"/>
    <w:rsid w:val="002D12C6"/>
    <w:rsid w:val="002D25A7"/>
    <w:rsid w:val="002D631E"/>
    <w:rsid w:val="002E6E58"/>
    <w:rsid w:val="002F02FA"/>
    <w:rsid w:val="002F1F92"/>
    <w:rsid w:val="002F4EAD"/>
    <w:rsid w:val="002F56A1"/>
    <w:rsid w:val="002F6F9E"/>
    <w:rsid w:val="002F723B"/>
    <w:rsid w:val="00300956"/>
    <w:rsid w:val="00312B7F"/>
    <w:rsid w:val="00315E2F"/>
    <w:rsid w:val="0032244E"/>
    <w:rsid w:val="00326F0C"/>
    <w:rsid w:val="00327509"/>
    <w:rsid w:val="0033143E"/>
    <w:rsid w:val="00333D18"/>
    <w:rsid w:val="00335A74"/>
    <w:rsid w:val="0034318F"/>
    <w:rsid w:val="00343EFF"/>
    <w:rsid w:val="0034552B"/>
    <w:rsid w:val="00355791"/>
    <w:rsid w:val="003614AB"/>
    <w:rsid w:val="00370C0A"/>
    <w:rsid w:val="00371228"/>
    <w:rsid w:val="00371297"/>
    <w:rsid w:val="003725A1"/>
    <w:rsid w:val="0038193C"/>
    <w:rsid w:val="003868A2"/>
    <w:rsid w:val="00387844"/>
    <w:rsid w:val="00387AE8"/>
    <w:rsid w:val="00392A5B"/>
    <w:rsid w:val="003948E6"/>
    <w:rsid w:val="0039593A"/>
    <w:rsid w:val="003A071E"/>
    <w:rsid w:val="003A0967"/>
    <w:rsid w:val="003A1BA8"/>
    <w:rsid w:val="003A4120"/>
    <w:rsid w:val="003A5787"/>
    <w:rsid w:val="003A6ABF"/>
    <w:rsid w:val="003A6D70"/>
    <w:rsid w:val="003B1F86"/>
    <w:rsid w:val="003B229A"/>
    <w:rsid w:val="003B5932"/>
    <w:rsid w:val="003B7D9E"/>
    <w:rsid w:val="003C28EC"/>
    <w:rsid w:val="003C3FFF"/>
    <w:rsid w:val="003C4627"/>
    <w:rsid w:val="003D0A94"/>
    <w:rsid w:val="003D13BE"/>
    <w:rsid w:val="003D5A80"/>
    <w:rsid w:val="003D6B4B"/>
    <w:rsid w:val="003E41E6"/>
    <w:rsid w:val="003E5627"/>
    <w:rsid w:val="003E6C1A"/>
    <w:rsid w:val="003F660A"/>
    <w:rsid w:val="003F778E"/>
    <w:rsid w:val="0040640A"/>
    <w:rsid w:val="004069D1"/>
    <w:rsid w:val="00406DB5"/>
    <w:rsid w:val="00410D13"/>
    <w:rsid w:val="00415BDF"/>
    <w:rsid w:val="00415DA0"/>
    <w:rsid w:val="004213F8"/>
    <w:rsid w:val="0042336D"/>
    <w:rsid w:val="004275E4"/>
    <w:rsid w:val="004327BF"/>
    <w:rsid w:val="004338F8"/>
    <w:rsid w:val="0043504E"/>
    <w:rsid w:val="004429A7"/>
    <w:rsid w:val="00443F62"/>
    <w:rsid w:val="0045455F"/>
    <w:rsid w:val="0045510C"/>
    <w:rsid w:val="004574A6"/>
    <w:rsid w:val="00457CC2"/>
    <w:rsid w:val="00457EAE"/>
    <w:rsid w:val="00460194"/>
    <w:rsid w:val="00465574"/>
    <w:rsid w:val="0046672D"/>
    <w:rsid w:val="00470810"/>
    <w:rsid w:val="00470A4E"/>
    <w:rsid w:val="004713F8"/>
    <w:rsid w:val="00475D58"/>
    <w:rsid w:val="004768BE"/>
    <w:rsid w:val="00477F73"/>
    <w:rsid w:val="0048355A"/>
    <w:rsid w:val="00484781"/>
    <w:rsid w:val="00486108"/>
    <w:rsid w:val="004920DE"/>
    <w:rsid w:val="004924A3"/>
    <w:rsid w:val="00492C30"/>
    <w:rsid w:val="00495E94"/>
    <w:rsid w:val="004B2223"/>
    <w:rsid w:val="004B4EB5"/>
    <w:rsid w:val="004C37FA"/>
    <w:rsid w:val="004D08A7"/>
    <w:rsid w:val="004D0AF2"/>
    <w:rsid w:val="004D156A"/>
    <w:rsid w:val="004D2EE4"/>
    <w:rsid w:val="004D3C53"/>
    <w:rsid w:val="004E3966"/>
    <w:rsid w:val="004E7B9B"/>
    <w:rsid w:val="004F37EE"/>
    <w:rsid w:val="004F42EC"/>
    <w:rsid w:val="004F44FC"/>
    <w:rsid w:val="004F6992"/>
    <w:rsid w:val="004F7F34"/>
    <w:rsid w:val="00500057"/>
    <w:rsid w:val="005035EC"/>
    <w:rsid w:val="00505588"/>
    <w:rsid w:val="0050644D"/>
    <w:rsid w:val="00507088"/>
    <w:rsid w:val="00512486"/>
    <w:rsid w:val="005154A9"/>
    <w:rsid w:val="005157C7"/>
    <w:rsid w:val="00516EDE"/>
    <w:rsid w:val="0052465B"/>
    <w:rsid w:val="00524CDD"/>
    <w:rsid w:val="00525B32"/>
    <w:rsid w:val="00531687"/>
    <w:rsid w:val="005328E5"/>
    <w:rsid w:val="00533863"/>
    <w:rsid w:val="005411E2"/>
    <w:rsid w:val="00547C68"/>
    <w:rsid w:val="00551629"/>
    <w:rsid w:val="00560BCA"/>
    <w:rsid w:val="00563050"/>
    <w:rsid w:val="00565A58"/>
    <w:rsid w:val="005743E8"/>
    <w:rsid w:val="00574A0C"/>
    <w:rsid w:val="005767BF"/>
    <w:rsid w:val="00577909"/>
    <w:rsid w:val="0058134F"/>
    <w:rsid w:val="00582E85"/>
    <w:rsid w:val="00584E2B"/>
    <w:rsid w:val="00587EE4"/>
    <w:rsid w:val="005910B5"/>
    <w:rsid w:val="005917F0"/>
    <w:rsid w:val="005A6118"/>
    <w:rsid w:val="005A64DA"/>
    <w:rsid w:val="005B32A6"/>
    <w:rsid w:val="005B446E"/>
    <w:rsid w:val="005C1D83"/>
    <w:rsid w:val="005E5600"/>
    <w:rsid w:val="005E650E"/>
    <w:rsid w:val="005F258A"/>
    <w:rsid w:val="005F2B80"/>
    <w:rsid w:val="006011B2"/>
    <w:rsid w:val="00602D89"/>
    <w:rsid w:val="0061020B"/>
    <w:rsid w:val="00611640"/>
    <w:rsid w:val="00612099"/>
    <w:rsid w:val="006122F1"/>
    <w:rsid w:val="00616185"/>
    <w:rsid w:val="006203F6"/>
    <w:rsid w:val="00621A4E"/>
    <w:rsid w:val="0062203F"/>
    <w:rsid w:val="00622D77"/>
    <w:rsid w:val="0062719F"/>
    <w:rsid w:val="00627F34"/>
    <w:rsid w:val="006317B7"/>
    <w:rsid w:val="006319EB"/>
    <w:rsid w:val="00636B18"/>
    <w:rsid w:val="00637CA1"/>
    <w:rsid w:val="00640922"/>
    <w:rsid w:val="00640B0C"/>
    <w:rsid w:val="00647CDD"/>
    <w:rsid w:val="00651309"/>
    <w:rsid w:val="00662334"/>
    <w:rsid w:val="0066617F"/>
    <w:rsid w:val="00667FE2"/>
    <w:rsid w:val="006748B3"/>
    <w:rsid w:val="00674A16"/>
    <w:rsid w:val="006762C6"/>
    <w:rsid w:val="0067738F"/>
    <w:rsid w:val="00677695"/>
    <w:rsid w:val="0068005B"/>
    <w:rsid w:val="0068174F"/>
    <w:rsid w:val="00681A44"/>
    <w:rsid w:val="00682487"/>
    <w:rsid w:val="0068304D"/>
    <w:rsid w:val="00684339"/>
    <w:rsid w:val="00691E10"/>
    <w:rsid w:val="006A0481"/>
    <w:rsid w:val="006A57DD"/>
    <w:rsid w:val="006A6177"/>
    <w:rsid w:val="006B0003"/>
    <w:rsid w:val="006C10A7"/>
    <w:rsid w:val="006C204E"/>
    <w:rsid w:val="006C653F"/>
    <w:rsid w:val="006C7D05"/>
    <w:rsid w:val="006D02A4"/>
    <w:rsid w:val="006E3C6F"/>
    <w:rsid w:val="006F1547"/>
    <w:rsid w:val="006F7DFC"/>
    <w:rsid w:val="00704AF2"/>
    <w:rsid w:val="0070776C"/>
    <w:rsid w:val="00710E68"/>
    <w:rsid w:val="00711387"/>
    <w:rsid w:val="00714BA0"/>
    <w:rsid w:val="0071695A"/>
    <w:rsid w:val="007201C2"/>
    <w:rsid w:val="00725B82"/>
    <w:rsid w:val="007269B6"/>
    <w:rsid w:val="00726E7A"/>
    <w:rsid w:val="0073294A"/>
    <w:rsid w:val="00732E52"/>
    <w:rsid w:val="007342C0"/>
    <w:rsid w:val="00736607"/>
    <w:rsid w:val="00745124"/>
    <w:rsid w:val="00745621"/>
    <w:rsid w:val="00747E7F"/>
    <w:rsid w:val="00750D6B"/>
    <w:rsid w:val="00752801"/>
    <w:rsid w:val="00753E1F"/>
    <w:rsid w:val="007559B5"/>
    <w:rsid w:val="00771C3C"/>
    <w:rsid w:val="00775CED"/>
    <w:rsid w:val="00777697"/>
    <w:rsid w:val="00781056"/>
    <w:rsid w:val="00782E3D"/>
    <w:rsid w:val="00784A3E"/>
    <w:rsid w:val="00785118"/>
    <w:rsid w:val="00785C47"/>
    <w:rsid w:val="00786BEB"/>
    <w:rsid w:val="00786F1F"/>
    <w:rsid w:val="00790365"/>
    <w:rsid w:val="00795565"/>
    <w:rsid w:val="00795F19"/>
    <w:rsid w:val="0079666F"/>
    <w:rsid w:val="007A1231"/>
    <w:rsid w:val="007A1571"/>
    <w:rsid w:val="007A403E"/>
    <w:rsid w:val="007A5FB3"/>
    <w:rsid w:val="007A75EA"/>
    <w:rsid w:val="007B0396"/>
    <w:rsid w:val="007B3118"/>
    <w:rsid w:val="007B54A5"/>
    <w:rsid w:val="007B710F"/>
    <w:rsid w:val="007B794B"/>
    <w:rsid w:val="007C2536"/>
    <w:rsid w:val="007C317B"/>
    <w:rsid w:val="007C77DD"/>
    <w:rsid w:val="007D1D29"/>
    <w:rsid w:val="007D72F3"/>
    <w:rsid w:val="007E3EA6"/>
    <w:rsid w:val="007F04AB"/>
    <w:rsid w:val="007F25EA"/>
    <w:rsid w:val="007F2F59"/>
    <w:rsid w:val="007F5EEE"/>
    <w:rsid w:val="007F5F13"/>
    <w:rsid w:val="007F7F5C"/>
    <w:rsid w:val="00803657"/>
    <w:rsid w:val="00803AE3"/>
    <w:rsid w:val="008042E1"/>
    <w:rsid w:val="00804D63"/>
    <w:rsid w:val="00806B9D"/>
    <w:rsid w:val="00811547"/>
    <w:rsid w:val="00811DD2"/>
    <w:rsid w:val="00812777"/>
    <w:rsid w:val="0081412E"/>
    <w:rsid w:val="008230FA"/>
    <w:rsid w:val="00823D54"/>
    <w:rsid w:val="0084129E"/>
    <w:rsid w:val="00843390"/>
    <w:rsid w:val="00846373"/>
    <w:rsid w:val="00846ECB"/>
    <w:rsid w:val="008554C1"/>
    <w:rsid w:val="008568AE"/>
    <w:rsid w:val="00860590"/>
    <w:rsid w:val="00861316"/>
    <w:rsid w:val="008614E8"/>
    <w:rsid w:val="0086596F"/>
    <w:rsid w:val="00866BB3"/>
    <w:rsid w:val="00867EDF"/>
    <w:rsid w:val="00867FA8"/>
    <w:rsid w:val="008734D7"/>
    <w:rsid w:val="008739BE"/>
    <w:rsid w:val="00873DA7"/>
    <w:rsid w:val="00874AF4"/>
    <w:rsid w:val="008758F3"/>
    <w:rsid w:val="00875F0D"/>
    <w:rsid w:val="00877414"/>
    <w:rsid w:val="008825E7"/>
    <w:rsid w:val="008874A8"/>
    <w:rsid w:val="00893D63"/>
    <w:rsid w:val="008A03B7"/>
    <w:rsid w:val="008A2534"/>
    <w:rsid w:val="008B3FE2"/>
    <w:rsid w:val="008C2197"/>
    <w:rsid w:val="008C3493"/>
    <w:rsid w:val="008C3785"/>
    <w:rsid w:val="008C45C4"/>
    <w:rsid w:val="008C7F18"/>
    <w:rsid w:val="008D11A6"/>
    <w:rsid w:val="008D1F7B"/>
    <w:rsid w:val="008D2969"/>
    <w:rsid w:val="008D2D64"/>
    <w:rsid w:val="008D7ADA"/>
    <w:rsid w:val="008E1AF0"/>
    <w:rsid w:val="008E21BE"/>
    <w:rsid w:val="008E6B32"/>
    <w:rsid w:val="008E7DD8"/>
    <w:rsid w:val="008F696B"/>
    <w:rsid w:val="008F7251"/>
    <w:rsid w:val="00901F30"/>
    <w:rsid w:val="00902E07"/>
    <w:rsid w:val="009045BC"/>
    <w:rsid w:val="00905D09"/>
    <w:rsid w:val="009138DC"/>
    <w:rsid w:val="00913B1B"/>
    <w:rsid w:val="0091467F"/>
    <w:rsid w:val="0091533C"/>
    <w:rsid w:val="00915BF0"/>
    <w:rsid w:val="00916884"/>
    <w:rsid w:val="00921BEE"/>
    <w:rsid w:val="0092557B"/>
    <w:rsid w:val="00927861"/>
    <w:rsid w:val="0094148C"/>
    <w:rsid w:val="00942635"/>
    <w:rsid w:val="00942638"/>
    <w:rsid w:val="00947783"/>
    <w:rsid w:val="00954FE8"/>
    <w:rsid w:val="0095591E"/>
    <w:rsid w:val="00960B33"/>
    <w:rsid w:val="0096599C"/>
    <w:rsid w:val="00967866"/>
    <w:rsid w:val="00971CAF"/>
    <w:rsid w:val="009726E0"/>
    <w:rsid w:val="00974128"/>
    <w:rsid w:val="0097448D"/>
    <w:rsid w:val="00974BDE"/>
    <w:rsid w:val="00977772"/>
    <w:rsid w:val="009778A8"/>
    <w:rsid w:val="0098554C"/>
    <w:rsid w:val="009879B9"/>
    <w:rsid w:val="00990822"/>
    <w:rsid w:val="00990E80"/>
    <w:rsid w:val="009A058A"/>
    <w:rsid w:val="009A078B"/>
    <w:rsid w:val="009A5334"/>
    <w:rsid w:val="009A6333"/>
    <w:rsid w:val="009A72BC"/>
    <w:rsid w:val="009B0174"/>
    <w:rsid w:val="009B111F"/>
    <w:rsid w:val="009B4257"/>
    <w:rsid w:val="009B514D"/>
    <w:rsid w:val="009C126B"/>
    <w:rsid w:val="009C4A31"/>
    <w:rsid w:val="009D0264"/>
    <w:rsid w:val="009D0ADA"/>
    <w:rsid w:val="009E00C2"/>
    <w:rsid w:val="009E5518"/>
    <w:rsid w:val="009E5C6F"/>
    <w:rsid w:val="009F215F"/>
    <w:rsid w:val="009F3410"/>
    <w:rsid w:val="009F6054"/>
    <w:rsid w:val="009F6FD2"/>
    <w:rsid w:val="009F78D3"/>
    <w:rsid w:val="00A14541"/>
    <w:rsid w:val="00A15BF9"/>
    <w:rsid w:val="00A15C71"/>
    <w:rsid w:val="00A20FF3"/>
    <w:rsid w:val="00A2130B"/>
    <w:rsid w:val="00A22E3F"/>
    <w:rsid w:val="00A230E5"/>
    <w:rsid w:val="00A24DD0"/>
    <w:rsid w:val="00A31F37"/>
    <w:rsid w:val="00A33A5D"/>
    <w:rsid w:val="00A437EE"/>
    <w:rsid w:val="00A4732A"/>
    <w:rsid w:val="00A52314"/>
    <w:rsid w:val="00A52957"/>
    <w:rsid w:val="00A53F84"/>
    <w:rsid w:val="00A56E63"/>
    <w:rsid w:val="00A57D26"/>
    <w:rsid w:val="00A67B9D"/>
    <w:rsid w:val="00A7166B"/>
    <w:rsid w:val="00A719B3"/>
    <w:rsid w:val="00A71B4C"/>
    <w:rsid w:val="00A72DEB"/>
    <w:rsid w:val="00A738F3"/>
    <w:rsid w:val="00A744B8"/>
    <w:rsid w:val="00A745A9"/>
    <w:rsid w:val="00A816B8"/>
    <w:rsid w:val="00A816EE"/>
    <w:rsid w:val="00A83BA0"/>
    <w:rsid w:val="00A841A0"/>
    <w:rsid w:val="00A8426A"/>
    <w:rsid w:val="00A84F18"/>
    <w:rsid w:val="00A85045"/>
    <w:rsid w:val="00A85AB8"/>
    <w:rsid w:val="00A86175"/>
    <w:rsid w:val="00A86470"/>
    <w:rsid w:val="00A95738"/>
    <w:rsid w:val="00A97B7D"/>
    <w:rsid w:val="00AA14B0"/>
    <w:rsid w:val="00AA1A16"/>
    <w:rsid w:val="00AA2252"/>
    <w:rsid w:val="00AA35A6"/>
    <w:rsid w:val="00AA3B42"/>
    <w:rsid w:val="00AA4286"/>
    <w:rsid w:val="00AA4825"/>
    <w:rsid w:val="00AB2BEB"/>
    <w:rsid w:val="00AB2C45"/>
    <w:rsid w:val="00AB33E1"/>
    <w:rsid w:val="00AC1AEC"/>
    <w:rsid w:val="00AC1C3B"/>
    <w:rsid w:val="00AC4214"/>
    <w:rsid w:val="00AC5627"/>
    <w:rsid w:val="00AC6D94"/>
    <w:rsid w:val="00AC6E70"/>
    <w:rsid w:val="00AD1646"/>
    <w:rsid w:val="00AD1EA2"/>
    <w:rsid w:val="00AD4CAD"/>
    <w:rsid w:val="00AD669D"/>
    <w:rsid w:val="00AD7AB4"/>
    <w:rsid w:val="00AE1F71"/>
    <w:rsid w:val="00AE4A9E"/>
    <w:rsid w:val="00AE5A39"/>
    <w:rsid w:val="00AE768A"/>
    <w:rsid w:val="00AE7FAB"/>
    <w:rsid w:val="00AF038B"/>
    <w:rsid w:val="00AF1C79"/>
    <w:rsid w:val="00AF361E"/>
    <w:rsid w:val="00AF78FA"/>
    <w:rsid w:val="00B0238C"/>
    <w:rsid w:val="00B05848"/>
    <w:rsid w:val="00B07234"/>
    <w:rsid w:val="00B078F6"/>
    <w:rsid w:val="00B12059"/>
    <w:rsid w:val="00B132D1"/>
    <w:rsid w:val="00B13791"/>
    <w:rsid w:val="00B15C4E"/>
    <w:rsid w:val="00B17153"/>
    <w:rsid w:val="00B20C0E"/>
    <w:rsid w:val="00B211BF"/>
    <w:rsid w:val="00B26045"/>
    <w:rsid w:val="00B26DF1"/>
    <w:rsid w:val="00B272C0"/>
    <w:rsid w:val="00B27723"/>
    <w:rsid w:val="00B345C7"/>
    <w:rsid w:val="00B35AFC"/>
    <w:rsid w:val="00B4154E"/>
    <w:rsid w:val="00B445B1"/>
    <w:rsid w:val="00B44C55"/>
    <w:rsid w:val="00B45B1A"/>
    <w:rsid w:val="00B46A95"/>
    <w:rsid w:val="00B50C7D"/>
    <w:rsid w:val="00B5114C"/>
    <w:rsid w:val="00B5123C"/>
    <w:rsid w:val="00B544C2"/>
    <w:rsid w:val="00B5566F"/>
    <w:rsid w:val="00B57C90"/>
    <w:rsid w:val="00B613D1"/>
    <w:rsid w:val="00B630A6"/>
    <w:rsid w:val="00B6462B"/>
    <w:rsid w:val="00B70CC4"/>
    <w:rsid w:val="00B719B5"/>
    <w:rsid w:val="00B76247"/>
    <w:rsid w:val="00B7753D"/>
    <w:rsid w:val="00B814A7"/>
    <w:rsid w:val="00B81CEB"/>
    <w:rsid w:val="00B82CE4"/>
    <w:rsid w:val="00B85251"/>
    <w:rsid w:val="00B90BE9"/>
    <w:rsid w:val="00B940E8"/>
    <w:rsid w:val="00BB02DE"/>
    <w:rsid w:val="00BB371A"/>
    <w:rsid w:val="00BB4056"/>
    <w:rsid w:val="00BB6077"/>
    <w:rsid w:val="00BB6A75"/>
    <w:rsid w:val="00BB7FCE"/>
    <w:rsid w:val="00BD2B3A"/>
    <w:rsid w:val="00BD5515"/>
    <w:rsid w:val="00BD5E06"/>
    <w:rsid w:val="00BD5F59"/>
    <w:rsid w:val="00BD7B25"/>
    <w:rsid w:val="00BE1AFF"/>
    <w:rsid w:val="00BE406E"/>
    <w:rsid w:val="00BE7D0B"/>
    <w:rsid w:val="00BF74E9"/>
    <w:rsid w:val="00C03342"/>
    <w:rsid w:val="00C12270"/>
    <w:rsid w:val="00C16B9A"/>
    <w:rsid w:val="00C209B7"/>
    <w:rsid w:val="00C230AC"/>
    <w:rsid w:val="00C247CB"/>
    <w:rsid w:val="00C300A8"/>
    <w:rsid w:val="00C3204A"/>
    <w:rsid w:val="00C32D18"/>
    <w:rsid w:val="00C360BD"/>
    <w:rsid w:val="00C41862"/>
    <w:rsid w:val="00C462AC"/>
    <w:rsid w:val="00C476E1"/>
    <w:rsid w:val="00C500E4"/>
    <w:rsid w:val="00C51BE8"/>
    <w:rsid w:val="00C52E77"/>
    <w:rsid w:val="00C52FE7"/>
    <w:rsid w:val="00C54DB3"/>
    <w:rsid w:val="00C566B3"/>
    <w:rsid w:val="00C57E3E"/>
    <w:rsid w:val="00C61414"/>
    <w:rsid w:val="00C65249"/>
    <w:rsid w:val="00C65355"/>
    <w:rsid w:val="00C65454"/>
    <w:rsid w:val="00C67B32"/>
    <w:rsid w:val="00C71094"/>
    <w:rsid w:val="00C72007"/>
    <w:rsid w:val="00C75C83"/>
    <w:rsid w:val="00C7666A"/>
    <w:rsid w:val="00C80F5D"/>
    <w:rsid w:val="00C837BA"/>
    <w:rsid w:val="00C87B75"/>
    <w:rsid w:val="00C87B9A"/>
    <w:rsid w:val="00C95346"/>
    <w:rsid w:val="00CA22FA"/>
    <w:rsid w:val="00CA2F7A"/>
    <w:rsid w:val="00CA3B23"/>
    <w:rsid w:val="00CA62F6"/>
    <w:rsid w:val="00CA77A4"/>
    <w:rsid w:val="00CB0C1D"/>
    <w:rsid w:val="00CB484E"/>
    <w:rsid w:val="00CC341A"/>
    <w:rsid w:val="00CC4535"/>
    <w:rsid w:val="00CC5AA2"/>
    <w:rsid w:val="00CC721A"/>
    <w:rsid w:val="00CD0963"/>
    <w:rsid w:val="00CD416C"/>
    <w:rsid w:val="00CD5C71"/>
    <w:rsid w:val="00CE0AAA"/>
    <w:rsid w:val="00CE3D42"/>
    <w:rsid w:val="00CE53E6"/>
    <w:rsid w:val="00CE53F7"/>
    <w:rsid w:val="00CE6406"/>
    <w:rsid w:val="00CE66B6"/>
    <w:rsid w:val="00CF0457"/>
    <w:rsid w:val="00CF38EE"/>
    <w:rsid w:val="00CF539A"/>
    <w:rsid w:val="00CF6131"/>
    <w:rsid w:val="00CF6A11"/>
    <w:rsid w:val="00D01D2B"/>
    <w:rsid w:val="00D06076"/>
    <w:rsid w:val="00D06D0C"/>
    <w:rsid w:val="00D06EAA"/>
    <w:rsid w:val="00D07859"/>
    <w:rsid w:val="00D146BF"/>
    <w:rsid w:val="00D156DE"/>
    <w:rsid w:val="00D209D2"/>
    <w:rsid w:val="00D25334"/>
    <w:rsid w:val="00D341AF"/>
    <w:rsid w:val="00D352FA"/>
    <w:rsid w:val="00D35F1C"/>
    <w:rsid w:val="00D35F1D"/>
    <w:rsid w:val="00D36733"/>
    <w:rsid w:val="00D3717F"/>
    <w:rsid w:val="00D42ADD"/>
    <w:rsid w:val="00D44D3B"/>
    <w:rsid w:val="00D45572"/>
    <w:rsid w:val="00D471B5"/>
    <w:rsid w:val="00D471C4"/>
    <w:rsid w:val="00D5215E"/>
    <w:rsid w:val="00D55AB9"/>
    <w:rsid w:val="00D571DB"/>
    <w:rsid w:val="00D60058"/>
    <w:rsid w:val="00D6774D"/>
    <w:rsid w:val="00D70E8E"/>
    <w:rsid w:val="00D72673"/>
    <w:rsid w:val="00D74AF6"/>
    <w:rsid w:val="00D74EBA"/>
    <w:rsid w:val="00D75191"/>
    <w:rsid w:val="00D76195"/>
    <w:rsid w:val="00D80929"/>
    <w:rsid w:val="00D85254"/>
    <w:rsid w:val="00D92FCF"/>
    <w:rsid w:val="00DA0252"/>
    <w:rsid w:val="00DA554E"/>
    <w:rsid w:val="00DA5555"/>
    <w:rsid w:val="00DB1FCF"/>
    <w:rsid w:val="00DB472C"/>
    <w:rsid w:val="00DC085F"/>
    <w:rsid w:val="00DC1D2F"/>
    <w:rsid w:val="00DC4FFC"/>
    <w:rsid w:val="00DC7D87"/>
    <w:rsid w:val="00DC7FB8"/>
    <w:rsid w:val="00DD257D"/>
    <w:rsid w:val="00DD6FC3"/>
    <w:rsid w:val="00DE7301"/>
    <w:rsid w:val="00DE79F7"/>
    <w:rsid w:val="00DF30E4"/>
    <w:rsid w:val="00DF5868"/>
    <w:rsid w:val="00DF6BE4"/>
    <w:rsid w:val="00E00151"/>
    <w:rsid w:val="00E044A6"/>
    <w:rsid w:val="00E10FEA"/>
    <w:rsid w:val="00E11ED3"/>
    <w:rsid w:val="00E157BC"/>
    <w:rsid w:val="00E20744"/>
    <w:rsid w:val="00E20DC0"/>
    <w:rsid w:val="00E240F9"/>
    <w:rsid w:val="00E414EC"/>
    <w:rsid w:val="00E45CCE"/>
    <w:rsid w:val="00E50E4A"/>
    <w:rsid w:val="00E51BDC"/>
    <w:rsid w:val="00E5226B"/>
    <w:rsid w:val="00E53E12"/>
    <w:rsid w:val="00E53E8E"/>
    <w:rsid w:val="00E54537"/>
    <w:rsid w:val="00E550B2"/>
    <w:rsid w:val="00E551DA"/>
    <w:rsid w:val="00E56C3F"/>
    <w:rsid w:val="00E56F92"/>
    <w:rsid w:val="00E600BE"/>
    <w:rsid w:val="00E62318"/>
    <w:rsid w:val="00E6386C"/>
    <w:rsid w:val="00E650D0"/>
    <w:rsid w:val="00E662BD"/>
    <w:rsid w:val="00E66313"/>
    <w:rsid w:val="00E67883"/>
    <w:rsid w:val="00E756CF"/>
    <w:rsid w:val="00E75755"/>
    <w:rsid w:val="00E76334"/>
    <w:rsid w:val="00E87674"/>
    <w:rsid w:val="00E90054"/>
    <w:rsid w:val="00E91F5F"/>
    <w:rsid w:val="00E93042"/>
    <w:rsid w:val="00E97B7D"/>
    <w:rsid w:val="00EA1202"/>
    <w:rsid w:val="00EA3A8E"/>
    <w:rsid w:val="00EB12DD"/>
    <w:rsid w:val="00EB153E"/>
    <w:rsid w:val="00EB1F94"/>
    <w:rsid w:val="00EB2EFD"/>
    <w:rsid w:val="00EB57EB"/>
    <w:rsid w:val="00EB60C6"/>
    <w:rsid w:val="00EB6DF2"/>
    <w:rsid w:val="00ED50CF"/>
    <w:rsid w:val="00ED608C"/>
    <w:rsid w:val="00EE4E41"/>
    <w:rsid w:val="00EE5908"/>
    <w:rsid w:val="00EE5945"/>
    <w:rsid w:val="00EE6F83"/>
    <w:rsid w:val="00EE738E"/>
    <w:rsid w:val="00EE7FDA"/>
    <w:rsid w:val="00EF123D"/>
    <w:rsid w:val="00EF4E9A"/>
    <w:rsid w:val="00EF691C"/>
    <w:rsid w:val="00F036C0"/>
    <w:rsid w:val="00F1093F"/>
    <w:rsid w:val="00F1152F"/>
    <w:rsid w:val="00F13FF5"/>
    <w:rsid w:val="00F14970"/>
    <w:rsid w:val="00F16A9D"/>
    <w:rsid w:val="00F207B3"/>
    <w:rsid w:val="00F24566"/>
    <w:rsid w:val="00F25ECD"/>
    <w:rsid w:val="00F26E92"/>
    <w:rsid w:val="00F2784B"/>
    <w:rsid w:val="00F31390"/>
    <w:rsid w:val="00F33077"/>
    <w:rsid w:val="00F35F1D"/>
    <w:rsid w:val="00F36E99"/>
    <w:rsid w:val="00F4756A"/>
    <w:rsid w:val="00F5486B"/>
    <w:rsid w:val="00F56E83"/>
    <w:rsid w:val="00F608A7"/>
    <w:rsid w:val="00F61393"/>
    <w:rsid w:val="00F62BC4"/>
    <w:rsid w:val="00F658E0"/>
    <w:rsid w:val="00F6686D"/>
    <w:rsid w:val="00F71415"/>
    <w:rsid w:val="00F730AC"/>
    <w:rsid w:val="00F778AD"/>
    <w:rsid w:val="00F81783"/>
    <w:rsid w:val="00F859B7"/>
    <w:rsid w:val="00F85A67"/>
    <w:rsid w:val="00F86A5D"/>
    <w:rsid w:val="00F86BD4"/>
    <w:rsid w:val="00F877B4"/>
    <w:rsid w:val="00F878F5"/>
    <w:rsid w:val="00F87C22"/>
    <w:rsid w:val="00F9328A"/>
    <w:rsid w:val="00F95A2B"/>
    <w:rsid w:val="00FA49D2"/>
    <w:rsid w:val="00FB0924"/>
    <w:rsid w:val="00FB2D67"/>
    <w:rsid w:val="00FB3DBC"/>
    <w:rsid w:val="00FB59D6"/>
    <w:rsid w:val="00FB6923"/>
    <w:rsid w:val="00FC1C44"/>
    <w:rsid w:val="00FC3143"/>
    <w:rsid w:val="00FC5183"/>
    <w:rsid w:val="00FC66AF"/>
    <w:rsid w:val="00FC6DD8"/>
    <w:rsid w:val="00FD56B5"/>
    <w:rsid w:val="00FD5908"/>
    <w:rsid w:val="00FD7B92"/>
    <w:rsid w:val="00FE1990"/>
    <w:rsid w:val="00FF1A61"/>
    <w:rsid w:val="00FF3874"/>
    <w:rsid w:val="00FF5B51"/>
    <w:rsid w:val="00FF636B"/>
    <w:rsid w:val="00FF6E27"/>
    <w:rsid w:val="227ED58C"/>
    <w:rsid w:val="2B283615"/>
    <w:rsid w:val="5B44AC0A"/>
    <w:rsid w:val="5C7FCBFF"/>
    <w:rsid w:val="6299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F5C8527"/>
  <w15:chartTrackingRefBased/>
  <w15:docId w15:val="{D7512061-2EBC-4580-BDF5-D038DD26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19F"/>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51BDC"/>
    <w:pPr>
      <w:ind w:left="720"/>
      <w:contextualSpacing/>
    </w:pPr>
    <w:rPr>
      <w:rFonts w:ascii="Calibri" w:eastAsia="Calibri" w:hAnsi="Calibri"/>
      <w:sz w:val="22"/>
      <w:szCs w:val="22"/>
    </w:rPr>
  </w:style>
  <w:style w:type="paragraph" w:styleId="TOC2">
    <w:name w:val="toc 2"/>
    <w:basedOn w:val="Normal"/>
    <w:next w:val="Normal"/>
    <w:autoRedefine/>
    <w:uiPriority w:val="39"/>
    <w:rsid w:val="0050644D"/>
    <w:pPr>
      <w:tabs>
        <w:tab w:val="right" w:leader="dot" w:pos="12950"/>
      </w:tabs>
    </w:pPr>
    <w:rPr>
      <w:color w:val="0000FF"/>
      <w:u w:val="single"/>
    </w:rPr>
  </w:style>
  <w:style w:type="paragraph" w:styleId="BalloonText">
    <w:name w:val="Balloon Text"/>
    <w:basedOn w:val="Normal"/>
    <w:link w:val="BalloonTextChar"/>
    <w:rsid w:val="00E550B2"/>
    <w:rPr>
      <w:rFonts w:ascii="Tahoma" w:hAnsi="Tahoma"/>
      <w:sz w:val="16"/>
      <w:szCs w:val="16"/>
      <w:lang w:val="x-none" w:eastAsia="x-none"/>
    </w:rPr>
  </w:style>
  <w:style w:type="character" w:customStyle="1" w:styleId="BalloonTextChar">
    <w:name w:val="Balloon Text Char"/>
    <w:link w:val="BalloonText"/>
    <w:rsid w:val="00E550B2"/>
    <w:rPr>
      <w:rFonts w:ascii="Tahoma" w:hAnsi="Tahoma" w:cs="Tahoma"/>
      <w:sz w:val="16"/>
      <w:szCs w:val="16"/>
    </w:rPr>
  </w:style>
  <w:style w:type="paragraph" w:styleId="Revision">
    <w:name w:val="Revision"/>
    <w:hidden/>
    <w:uiPriority w:val="99"/>
    <w:semiHidden/>
    <w:rsid w:val="00053511"/>
    <w:rPr>
      <w:rFonts w:ascii="Verdana" w:hAnsi="Verdana"/>
      <w:sz w:val="24"/>
      <w:szCs w:val="24"/>
    </w:rPr>
  </w:style>
  <w:style w:type="character" w:styleId="CommentReference">
    <w:name w:val="annotation reference"/>
    <w:rsid w:val="00053511"/>
    <w:rPr>
      <w:sz w:val="16"/>
      <w:szCs w:val="16"/>
    </w:rPr>
  </w:style>
  <w:style w:type="paragraph" w:styleId="CommentText">
    <w:name w:val="annotation text"/>
    <w:basedOn w:val="Normal"/>
    <w:link w:val="CommentTextChar"/>
    <w:rsid w:val="00053511"/>
    <w:rPr>
      <w:sz w:val="20"/>
      <w:szCs w:val="20"/>
      <w:lang w:val="x-none" w:eastAsia="x-none"/>
    </w:rPr>
  </w:style>
  <w:style w:type="character" w:customStyle="1" w:styleId="CommentTextChar">
    <w:name w:val="Comment Text Char"/>
    <w:link w:val="CommentText"/>
    <w:rsid w:val="00053511"/>
    <w:rPr>
      <w:rFonts w:ascii="Verdana" w:hAnsi="Verdana"/>
    </w:rPr>
  </w:style>
  <w:style w:type="paragraph" w:styleId="CommentSubject">
    <w:name w:val="annotation subject"/>
    <w:basedOn w:val="CommentText"/>
    <w:next w:val="CommentText"/>
    <w:link w:val="CommentSubjectChar"/>
    <w:rsid w:val="00053511"/>
    <w:rPr>
      <w:b/>
      <w:bCs/>
    </w:rPr>
  </w:style>
  <w:style w:type="character" w:customStyle="1" w:styleId="CommentSubjectChar">
    <w:name w:val="Comment Subject Char"/>
    <w:link w:val="CommentSubject"/>
    <w:rsid w:val="00053511"/>
    <w:rPr>
      <w:rFonts w:ascii="Verdana" w:hAnsi="Verdana"/>
      <w:b/>
      <w:bCs/>
    </w:rPr>
  </w:style>
  <w:style w:type="character" w:styleId="UnresolvedMention">
    <w:name w:val="Unresolved Mention"/>
    <w:basedOn w:val="DefaultParagraphFont"/>
    <w:uiPriority w:val="99"/>
    <w:semiHidden/>
    <w:unhideWhenUsed/>
    <w:rsid w:val="00C87B75"/>
    <w:rPr>
      <w:color w:val="605E5C"/>
      <w:shd w:val="clear" w:color="auto" w:fill="E1DFDD"/>
    </w:rPr>
  </w:style>
  <w:style w:type="paragraph" w:styleId="TOC3">
    <w:name w:val="toc 3"/>
    <w:basedOn w:val="Normal"/>
    <w:next w:val="Normal"/>
    <w:autoRedefine/>
    <w:uiPriority w:val="39"/>
    <w:rsid w:val="000A1708"/>
    <w:pPr>
      <w:tabs>
        <w:tab w:val="right" w:leader="dot" w:pos="12950"/>
      </w:tabs>
      <w:spacing w:after="100"/>
      <w:ind w:left="480"/>
    </w:pPr>
    <w:rPr>
      <w:noProof/>
      <w:color w:val="5B9BD5" w:themeColor="accent1"/>
    </w:rPr>
  </w:style>
  <w:style w:type="paragraph" w:styleId="TOC1">
    <w:name w:val="toc 1"/>
    <w:basedOn w:val="Normal"/>
    <w:next w:val="Normal"/>
    <w:autoRedefine/>
    <w:uiPriority w:val="39"/>
    <w:rsid w:val="000A17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892">
      <w:bodyDiv w:val="1"/>
      <w:marLeft w:val="0"/>
      <w:marRight w:val="0"/>
      <w:marTop w:val="0"/>
      <w:marBottom w:val="0"/>
      <w:divBdr>
        <w:top w:val="none" w:sz="0" w:space="0" w:color="auto"/>
        <w:left w:val="none" w:sz="0" w:space="0" w:color="auto"/>
        <w:bottom w:val="none" w:sz="0" w:space="0" w:color="auto"/>
        <w:right w:val="none" w:sz="0" w:space="0" w:color="auto"/>
      </w:divBdr>
    </w:div>
    <w:div w:id="18901539">
      <w:bodyDiv w:val="1"/>
      <w:marLeft w:val="0"/>
      <w:marRight w:val="0"/>
      <w:marTop w:val="0"/>
      <w:marBottom w:val="0"/>
      <w:divBdr>
        <w:top w:val="none" w:sz="0" w:space="0" w:color="auto"/>
        <w:left w:val="none" w:sz="0" w:space="0" w:color="auto"/>
        <w:bottom w:val="none" w:sz="0" w:space="0" w:color="auto"/>
        <w:right w:val="none" w:sz="0" w:space="0" w:color="auto"/>
      </w:divBdr>
    </w:div>
    <w:div w:id="24866166">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7630162">
      <w:bodyDiv w:val="1"/>
      <w:marLeft w:val="0"/>
      <w:marRight w:val="0"/>
      <w:marTop w:val="0"/>
      <w:marBottom w:val="0"/>
      <w:divBdr>
        <w:top w:val="none" w:sz="0" w:space="0" w:color="auto"/>
        <w:left w:val="none" w:sz="0" w:space="0" w:color="auto"/>
        <w:bottom w:val="none" w:sz="0" w:space="0" w:color="auto"/>
        <w:right w:val="none" w:sz="0" w:space="0" w:color="auto"/>
      </w:divBdr>
    </w:div>
    <w:div w:id="86391335">
      <w:bodyDiv w:val="1"/>
      <w:marLeft w:val="0"/>
      <w:marRight w:val="0"/>
      <w:marTop w:val="0"/>
      <w:marBottom w:val="0"/>
      <w:divBdr>
        <w:top w:val="none" w:sz="0" w:space="0" w:color="auto"/>
        <w:left w:val="none" w:sz="0" w:space="0" w:color="auto"/>
        <w:bottom w:val="none" w:sz="0" w:space="0" w:color="auto"/>
        <w:right w:val="none" w:sz="0" w:space="0" w:color="auto"/>
      </w:divBdr>
    </w:div>
    <w:div w:id="133066315">
      <w:bodyDiv w:val="1"/>
      <w:marLeft w:val="0"/>
      <w:marRight w:val="0"/>
      <w:marTop w:val="0"/>
      <w:marBottom w:val="0"/>
      <w:divBdr>
        <w:top w:val="none" w:sz="0" w:space="0" w:color="auto"/>
        <w:left w:val="none" w:sz="0" w:space="0" w:color="auto"/>
        <w:bottom w:val="none" w:sz="0" w:space="0" w:color="auto"/>
        <w:right w:val="none" w:sz="0" w:space="0" w:color="auto"/>
      </w:divBdr>
    </w:div>
    <w:div w:id="141390707">
      <w:bodyDiv w:val="1"/>
      <w:marLeft w:val="0"/>
      <w:marRight w:val="0"/>
      <w:marTop w:val="0"/>
      <w:marBottom w:val="0"/>
      <w:divBdr>
        <w:top w:val="none" w:sz="0" w:space="0" w:color="auto"/>
        <w:left w:val="none" w:sz="0" w:space="0" w:color="auto"/>
        <w:bottom w:val="none" w:sz="0" w:space="0" w:color="auto"/>
        <w:right w:val="none" w:sz="0" w:space="0" w:color="auto"/>
      </w:divBdr>
    </w:div>
    <w:div w:id="165363283">
      <w:bodyDiv w:val="1"/>
      <w:marLeft w:val="0"/>
      <w:marRight w:val="0"/>
      <w:marTop w:val="0"/>
      <w:marBottom w:val="0"/>
      <w:divBdr>
        <w:top w:val="none" w:sz="0" w:space="0" w:color="auto"/>
        <w:left w:val="none" w:sz="0" w:space="0" w:color="auto"/>
        <w:bottom w:val="none" w:sz="0" w:space="0" w:color="auto"/>
        <w:right w:val="none" w:sz="0" w:space="0" w:color="auto"/>
      </w:divBdr>
    </w:div>
    <w:div w:id="326173129">
      <w:bodyDiv w:val="1"/>
      <w:marLeft w:val="0"/>
      <w:marRight w:val="0"/>
      <w:marTop w:val="0"/>
      <w:marBottom w:val="0"/>
      <w:divBdr>
        <w:top w:val="none" w:sz="0" w:space="0" w:color="auto"/>
        <w:left w:val="none" w:sz="0" w:space="0" w:color="auto"/>
        <w:bottom w:val="none" w:sz="0" w:space="0" w:color="auto"/>
        <w:right w:val="none" w:sz="0" w:space="0" w:color="auto"/>
      </w:divBdr>
    </w:div>
    <w:div w:id="451748489">
      <w:bodyDiv w:val="1"/>
      <w:marLeft w:val="0"/>
      <w:marRight w:val="0"/>
      <w:marTop w:val="0"/>
      <w:marBottom w:val="0"/>
      <w:divBdr>
        <w:top w:val="none" w:sz="0" w:space="0" w:color="auto"/>
        <w:left w:val="none" w:sz="0" w:space="0" w:color="auto"/>
        <w:bottom w:val="none" w:sz="0" w:space="0" w:color="auto"/>
        <w:right w:val="none" w:sz="0" w:space="0" w:color="auto"/>
      </w:divBdr>
    </w:div>
    <w:div w:id="457996981">
      <w:bodyDiv w:val="1"/>
      <w:marLeft w:val="0"/>
      <w:marRight w:val="0"/>
      <w:marTop w:val="0"/>
      <w:marBottom w:val="0"/>
      <w:divBdr>
        <w:top w:val="none" w:sz="0" w:space="0" w:color="auto"/>
        <w:left w:val="none" w:sz="0" w:space="0" w:color="auto"/>
        <w:bottom w:val="none" w:sz="0" w:space="0" w:color="auto"/>
        <w:right w:val="none" w:sz="0" w:space="0" w:color="auto"/>
      </w:divBdr>
      <w:divsChild>
        <w:div w:id="765080651">
          <w:marLeft w:val="0"/>
          <w:marRight w:val="0"/>
          <w:marTop w:val="0"/>
          <w:marBottom w:val="0"/>
          <w:divBdr>
            <w:top w:val="none" w:sz="0" w:space="0" w:color="auto"/>
            <w:left w:val="none" w:sz="0" w:space="0" w:color="auto"/>
            <w:bottom w:val="none" w:sz="0" w:space="0" w:color="auto"/>
            <w:right w:val="none" w:sz="0" w:space="0" w:color="auto"/>
          </w:divBdr>
          <w:divsChild>
            <w:div w:id="1693726051">
              <w:marLeft w:val="0"/>
              <w:marRight w:val="0"/>
              <w:marTop w:val="0"/>
              <w:marBottom w:val="0"/>
              <w:divBdr>
                <w:top w:val="none" w:sz="0" w:space="0" w:color="auto"/>
                <w:left w:val="none" w:sz="0" w:space="0" w:color="auto"/>
                <w:bottom w:val="none" w:sz="0" w:space="0" w:color="auto"/>
                <w:right w:val="none" w:sz="0" w:space="0" w:color="auto"/>
              </w:divBdr>
              <w:divsChild>
                <w:div w:id="1687250163">
                  <w:marLeft w:val="172"/>
                  <w:marRight w:val="0"/>
                  <w:marTop w:val="0"/>
                  <w:marBottom w:val="0"/>
                  <w:divBdr>
                    <w:top w:val="none" w:sz="0" w:space="0" w:color="auto"/>
                    <w:left w:val="none" w:sz="0" w:space="0" w:color="auto"/>
                    <w:bottom w:val="none" w:sz="0" w:space="0" w:color="auto"/>
                    <w:right w:val="none" w:sz="0" w:space="0" w:color="auto"/>
                  </w:divBdr>
                </w:div>
              </w:divsChild>
            </w:div>
          </w:divsChild>
        </w:div>
        <w:div w:id="1638028535">
          <w:marLeft w:val="0"/>
          <w:marRight w:val="0"/>
          <w:marTop w:val="0"/>
          <w:marBottom w:val="0"/>
          <w:divBdr>
            <w:top w:val="none" w:sz="0" w:space="0" w:color="auto"/>
            <w:left w:val="none" w:sz="0" w:space="0" w:color="auto"/>
            <w:bottom w:val="none" w:sz="0" w:space="0" w:color="auto"/>
            <w:right w:val="none" w:sz="0" w:space="0" w:color="auto"/>
          </w:divBdr>
          <w:divsChild>
            <w:div w:id="1008102160">
              <w:marLeft w:val="172"/>
              <w:marRight w:val="0"/>
              <w:marTop w:val="0"/>
              <w:marBottom w:val="0"/>
              <w:divBdr>
                <w:top w:val="none" w:sz="0" w:space="0" w:color="auto"/>
                <w:left w:val="none" w:sz="0" w:space="0" w:color="auto"/>
                <w:bottom w:val="none" w:sz="0" w:space="0" w:color="auto"/>
                <w:right w:val="none" w:sz="0" w:space="0" w:color="auto"/>
              </w:divBdr>
            </w:div>
          </w:divsChild>
        </w:div>
      </w:divsChild>
    </w:div>
    <w:div w:id="460652546">
      <w:bodyDiv w:val="1"/>
      <w:marLeft w:val="0"/>
      <w:marRight w:val="0"/>
      <w:marTop w:val="0"/>
      <w:marBottom w:val="0"/>
      <w:divBdr>
        <w:top w:val="none" w:sz="0" w:space="0" w:color="auto"/>
        <w:left w:val="none" w:sz="0" w:space="0" w:color="auto"/>
        <w:bottom w:val="none" w:sz="0" w:space="0" w:color="auto"/>
        <w:right w:val="none" w:sz="0" w:space="0" w:color="auto"/>
      </w:divBdr>
    </w:div>
    <w:div w:id="519050978">
      <w:bodyDiv w:val="1"/>
      <w:marLeft w:val="0"/>
      <w:marRight w:val="0"/>
      <w:marTop w:val="0"/>
      <w:marBottom w:val="0"/>
      <w:divBdr>
        <w:top w:val="none" w:sz="0" w:space="0" w:color="auto"/>
        <w:left w:val="none" w:sz="0" w:space="0" w:color="auto"/>
        <w:bottom w:val="none" w:sz="0" w:space="0" w:color="auto"/>
        <w:right w:val="none" w:sz="0" w:space="0" w:color="auto"/>
      </w:divBdr>
    </w:div>
    <w:div w:id="56276411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24735497">
      <w:bodyDiv w:val="1"/>
      <w:marLeft w:val="0"/>
      <w:marRight w:val="0"/>
      <w:marTop w:val="0"/>
      <w:marBottom w:val="0"/>
      <w:divBdr>
        <w:top w:val="none" w:sz="0" w:space="0" w:color="auto"/>
        <w:left w:val="none" w:sz="0" w:space="0" w:color="auto"/>
        <w:bottom w:val="none" w:sz="0" w:space="0" w:color="auto"/>
        <w:right w:val="none" w:sz="0" w:space="0" w:color="auto"/>
      </w:divBdr>
    </w:div>
    <w:div w:id="958610623">
      <w:bodyDiv w:val="1"/>
      <w:marLeft w:val="0"/>
      <w:marRight w:val="0"/>
      <w:marTop w:val="0"/>
      <w:marBottom w:val="0"/>
      <w:divBdr>
        <w:top w:val="none" w:sz="0" w:space="0" w:color="auto"/>
        <w:left w:val="none" w:sz="0" w:space="0" w:color="auto"/>
        <w:bottom w:val="none" w:sz="0" w:space="0" w:color="auto"/>
        <w:right w:val="none" w:sz="0" w:space="0" w:color="auto"/>
      </w:divBdr>
    </w:div>
    <w:div w:id="969285160">
      <w:bodyDiv w:val="1"/>
      <w:marLeft w:val="0"/>
      <w:marRight w:val="0"/>
      <w:marTop w:val="0"/>
      <w:marBottom w:val="0"/>
      <w:divBdr>
        <w:top w:val="none" w:sz="0" w:space="0" w:color="auto"/>
        <w:left w:val="none" w:sz="0" w:space="0" w:color="auto"/>
        <w:bottom w:val="none" w:sz="0" w:space="0" w:color="auto"/>
        <w:right w:val="none" w:sz="0" w:space="0" w:color="auto"/>
      </w:divBdr>
    </w:div>
    <w:div w:id="1063599990">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19958760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72879488">
      <w:bodyDiv w:val="1"/>
      <w:marLeft w:val="0"/>
      <w:marRight w:val="0"/>
      <w:marTop w:val="0"/>
      <w:marBottom w:val="0"/>
      <w:divBdr>
        <w:top w:val="none" w:sz="0" w:space="0" w:color="auto"/>
        <w:left w:val="none" w:sz="0" w:space="0" w:color="auto"/>
        <w:bottom w:val="none" w:sz="0" w:space="0" w:color="auto"/>
        <w:right w:val="none" w:sz="0" w:space="0" w:color="auto"/>
      </w:divBdr>
    </w:div>
    <w:div w:id="1376467747">
      <w:bodyDiv w:val="1"/>
      <w:marLeft w:val="0"/>
      <w:marRight w:val="0"/>
      <w:marTop w:val="0"/>
      <w:marBottom w:val="0"/>
      <w:divBdr>
        <w:top w:val="none" w:sz="0" w:space="0" w:color="auto"/>
        <w:left w:val="none" w:sz="0" w:space="0" w:color="auto"/>
        <w:bottom w:val="none" w:sz="0" w:space="0" w:color="auto"/>
        <w:right w:val="none" w:sz="0" w:space="0" w:color="auto"/>
      </w:divBdr>
    </w:div>
    <w:div w:id="138217253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51131153">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23963956">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mailto:info@prudentrx.co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protect-usb.mimecast.com/s/efRiC5AoEXi6Y8vQ7JxIz9LNL?domain=cvshealth.highspo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SharedWithUsers xmlns="c3b1ca30-2eb1-4a7b-bdb7-8ec24a269858">
      <UserInfo>
        <DisplayName>Allen, Angeline A</DisplayName>
        <AccountId>1148</AccountId>
        <AccountType/>
      </UserInfo>
      <UserInfo>
        <DisplayName>Gambino, Ashley</DisplayName>
        <AccountId>89</AccountId>
        <AccountType/>
      </UserInfo>
    </SharedWithUsers>
  </documentManagement>
</p:properties>
</file>

<file path=customXml/itemProps1.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2.xml><?xml version="1.0" encoding="utf-8"?>
<ds:datastoreItem xmlns:ds="http://schemas.openxmlformats.org/officeDocument/2006/customXml" ds:itemID="{F8110A43-6725-436A-8F48-B199ACB8AA13}">
  <ds:schemaRefs>
    <ds:schemaRef ds:uri="http://schemas.openxmlformats.org/officeDocument/2006/bibliography"/>
  </ds:schemaRefs>
</ds:datastoreItem>
</file>

<file path=customXml/itemProps3.xml><?xml version="1.0" encoding="utf-8"?>
<ds:datastoreItem xmlns:ds="http://schemas.openxmlformats.org/officeDocument/2006/customXml" ds:itemID="{AEF12E99-6781-43B8-8FF8-5D80FFF31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2DB68B-7B30-4315-8C2E-0111D4AFB170}">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TotalTime>
  <Pages>1</Pages>
  <Words>7050</Words>
  <Characters>39538</Characters>
  <Application>Microsoft Office Word</Application>
  <DocSecurity>2</DocSecurity>
  <Lines>329</Lines>
  <Paragraphs>92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46496</CharactersWithSpaces>
  <SharedDoc>false</SharedDoc>
  <HLinks>
    <vt:vector size="120" baseType="variant">
      <vt:variant>
        <vt:i4>262192</vt:i4>
      </vt:variant>
      <vt:variant>
        <vt:i4>60</vt:i4>
      </vt:variant>
      <vt:variant>
        <vt:i4>0</vt:i4>
      </vt:variant>
      <vt:variant>
        <vt:i4>5</vt:i4>
      </vt:variant>
      <vt:variant>
        <vt:lpwstr/>
      </vt:variant>
      <vt:variant>
        <vt:lpwstr>_top</vt:lpwstr>
      </vt:variant>
      <vt:variant>
        <vt:i4>1376333</vt:i4>
      </vt:variant>
      <vt:variant>
        <vt:i4>57</vt:i4>
      </vt:variant>
      <vt:variant>
        <vt:i4>0</vt:i4>
      </vt:variant>
      <vt:variant>
        <vt:i4>5</vt:i4>
      </vt:variant>
      <vt:variant>
        <vt:lpwstr>https://thesource.cvshealth.com/nuxeo/thesource/</vt:lpwstr>
      </vt:variant>
      <vt:variant>
        <vt:lpwstr>!/view?docid=c1f1028b-e42c-4b4f-a4cf-cc0b42c91606</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1769544</vt:i4>
      </vt:variant>
      <vt:variant>
        <vt:i4>48</vt:i4>
      </vt:variant>
      <vt:variant>
        <vt:i4>0</vt:i4>
      </vt:variant>
      <vt:variant>
        <vt:i4>5</vt:i4>
      </vt:variant>
      <vt:variant>
        <vt:lpwstr>https://thesource.cvshealth.com/nuxeo/thesource/</vt:lpwstr>
      </vt:variant>
      <vt:variant>
        <vt:lpwstr>!/view?docid=18c64566-0ebb-4760-96fe-04da06185de0</vt:lpwstr>
      </vt:variant>
      <vt:variant>
        <vt:i4>3145842</vt:i4>
      </vt:variant>
      <vt:variant>
        <vt:i4>45</vt:i4>
      </vt:variant>
      <vt:variant>
        <vt:i4>0</vt:i4>
      </vt:variant>
      <vt:variant>
        <vt:i4>5</vt:i4>
      </vt:variant>
      <vt:variant>
        <vt:lpwstr>https://protect-usb.mimecast.com/s/efRiC5AoEXi6Y8vQ7JxIz9LNL?domain=cvshealth.highspot.com</vt:lpwstr>
      </vt:variant>
      <vt:variant>
        <vt:lpwstr/>
      </vt:variant>
      <vt:variant>
        <vt:i4>1376333</vt:i4>
      </vt:variant>
      <vt:variant>
        <vt:i4>42</vt:i4>
      </vt:variant>
      <vt:variant>
        <vt:i4>0</vt:i4>
      </vt:variant>
      <vt:variant>
        <vt:i4>5</vt:i4>
      </vt:variant>
      <vt:variant>
        <vt:lpwstr>https://thesource.cvshealth.com/nuxeo/thesource/</vt:lpwstr>
      </vt:variant>
      <vt:variant>
        <vt:lpwstr>!/view?docid=c1f1028b-e42c-4b4f-a4cf-cc0b42c91606</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6684740</vt:i4>
      </vt:variant>
      <vt:variant>
        <vt:i4>33</vt:i4>
      </vt:variant>
      <vt:variant>
        <vt:i4>0</vt:i4>
      </vt:variant>
      <vt:variant>
        <vt:i4>5</vt:i4>
      </vt:variant>
      <vt:variant>
        <vt:lpwstr>mailto:info@prudentrx.com</vt:lpwstr>
      </vt:variant>
      <vt:variant>
        <vt:lpwstr/>
      </vt:variant>
      <vt:variant>
        <vt:i4>262192</vt:i4>
      </vt:variant>
      <vt:variant>
        <vt:i4>30</vt:i4>
      </vt:variant>
      <vt:variant>
        <vt:i4>0</vt:i4>
      </vt:variant>
      <vt:variant>
        <vt:i4>5</vt:i4>
      </vt:variant>
      <vt:variant>
        <vt:lpwstr/>
      </vt:variant>
      <vt:variant>
        <vt:lpwstr>_top</vt:lpwstr>
      </vt:variant>
      <vt:variant>
        <vt:i4>1114182</vt:i4>
      </vt:variant>
      <vt:variant>
        <vt:i4>27</vt:i4>
      </vt:variant>
      <vt:variant>
        <vt:i4>0</vt:i4>
      </vt:variant>
      <vt:variant>
        <vt:i4>5</vt:i4>
      </vt:variant>
      <vt:variant>
        <vt:lpwstr>https://thesource.cvshealth.com/nuxeo/thesource/</vt:lpwstr>
      </vt:variant>
      <vt:variant>
        <vt:lpwstr>!/view?docid=8239b47a-27ed-48bd-babe-f67c7dd0bb6d</vt:lpwstr>
      </vt:variant>
      <vt:variant>
        <vt:i4>262192</vt:i4>
      </vt:variant>
      <vt:variant>
        <vt:i4>24</vt:i4>
      </vt:variant>
      <vt:variant>
        <vt:i4>0</vt:i4>
      </vt:variant>
      <vt:variant>
        <vt:i4>5</vt:i4>
      </vt:variant>
      <vt:variant>
        <vt:lpwstr/>
      </vt:variant>
      <vt:variant>
        <vt:lpwstr>_top</vt:lpwstr>
      </vt:variant>
      <vt:variant>
        <vt:i4>1114174</vt:i4>
      </vt:variant>
      <vt:variant>
        <vt:i4>20</vt:i4>
      </vt:variant>
      <vt:variant>
        <vt:i4>0</vt:i4>
      </vt:variant>
      <vt:variant>
        <vt:i4>5</vt:i4>
      </vt:variant>
      <vt:variant>
        <vt:lpwstr/>
      </vt:variant>
      <vt:variant>
        <vt:lpwstr>_Toc190870872</vt:lpwstr>
      </vt:variant>
      <vt:variant>
        <vt:i4>1114174</vt:i4>
      </vt:variant>
      <vt:variant>
        <vt:i4>17</vt:i4>
      </vt:variant>
      <vt:variant>
        <vt:i4>0</vt:i4>
      </vt:variant>
      <vt:variant>
        <vt:i4>5</vt:i4>
      </vt:variant>
      <vt:variant>
        <vt:lpwstr/>
      </vt:variant>
      <vt:variant>
        <vt:lpwstr>_Toc190870871</vt:lpwstr>
      </vt:variant>
      <vt:variant>
        <vt:i4>1114174</vt:i4>
      </vt:variant>
      <vt:variant>
        <vt:i4>14</vt:i4>
      </vt:variant>
      <vt:variant>
        <vt:i4>0</vt:i4>
      </vt:variant>
      <vt:variant>
        <vt:i4>5</vt:i4>
      </vt:variant>
      <vt:variant>
        <vt:lpwstr/>
      </vt:variant>
      <vt:variant>
        <vt:lpwstr>_Toc190870870</vt:lpwstr>
      </vt:variant>
      <vt:variant>
        <vt:i4>1048638</vt:i4>
      </vt:variant>
      <vt:variant>
        <vt:i4>11</vt:i4>
      </vt:variant>
      <vt:variant>
        <vt:i4>0</vt:i4>
      </vt:variant>
      <vt:variant>
        <vt:i4>5</vt:i4>
      </vt:variant>
      <vt:variant>
        <vt:lpwstr/>
      </vt:variant>
      <vt:variant>
        <vt:lpwstr>_Toc190870869</vt:lpwstr>
      </vt:variant>
      <vt:variant>
        <vt:i4>1048638</vt:i4>
      </vt:variant>
      <vt:variant>
        <vt:i4>8</vt:i4>
      </vt:variant>
      <vt:variant>
        <vt:i4>0</vt:i4>
      </vt:variant>
      <vt:variant>
        <vt:i4>5</vt:i4>
      </vt:variant>
      <vt:variant>
        <vt:lpwstr/>
      </vt:variant>
      <vt:variant>
        <vt:lpwstr>_Toc190870868</vt:lpwstr>
      </vt:variant>
      <vt:variant>
        <vt:i4>1048638</vt:i4>
      </vt:variant>
      <vt:variant>
        <vt:i4>5</vt:i4>
      </vt:variant>
      <vt:variant>
        <vt:i4>0</vt:i4>
      </vt:variant>
      <vt:variant>
        <vt:i4>5</vt:i4>
      </vt:variant>
      <vt:variant>
        <vt:lpwstr/>
      </vt:variant>
      <vt:variant>
        <vt:lpwstr>_Toc190870867</vt:lpwstr>
      </vt:variant>
      <vt:variant>
        <vt:i4>1048638</vt:i4>
      </vt:variant>
      <vt:variant>
        <vt:i4>2</vt:i4>
      </vt:variant>
      <vt:variant>
        <vt:i4>0</vt:i4>
      </vt:variant>
      <vt:variant>
        <vt:i4>5</vt:i4>
      </vt:variant>
      <vt:variant>
        <vt:lpwstr/>
      </vt:variant>
      <vt:variant>
        <vt:lpwstr>_Toc190870866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8</cp:revision>
  <cp:lastPrinted>2007-01-03T15:56:00Z</cp:lastPrinted>
  <dcterms:created xsi:type="dcterms:W3CDTF">2025-09-03T15:04:00Z</dcterms:created>
  <dcterms:modified xsi:type="dcterms:W3CDTF">2025-09-03T15:12:00Z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0x010100ACB49505AAF66544B3991E59A726D05A</vt:lpwstr>
  </property>
  <property fmtid="{D5CDD505-2E9C-101B-9397-08002B2CF9AE}" pid="3" name="MSIP_Label_67599526-06ca-49cc-9fa9-5307800a949a_Enabled">
    <vt:lpwstr>true</vt:lpwstr>
  </property>
  <property fmtid="{D5CDD505-2E9C-101B-9397-08002B2CF9AE}" pid="4" name="MSIP_Label_67599526-06ca-49cc-9fa9-5307800a949a_SetDate">
    <vt:lpwstr>2022-01-13T19:58:28Z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43bc0d20-5ccc-4e7f-8fa9-1e33bd6538a8</vt:lpwstr>
  </property>
  <property fmtid="{D5CDD505-2E9C-101B-9397-08002B2CF9AE}" pid="9" name="MSIP_Label_67599526-06ca-49cc-9fa9-5307800a949a_ContentBits">
    <vt:lpwstr>0</vt:lpwstr>
  </property>
  <property fmtid="{D5CDD505-2E9C-101B-9397-08002B2CF9AE}" pid="10" name="MediaServiceImageTags">
    <vt:lpwstr/>
  </property>
</Properties>
</file>