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569D" w14:textId="77777777" w:rsidR="002752DF" w:rsidRPr="002752DF" w:rsidRDefault="002752DF" w:rsidP="002752DF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  <w:bookmarkStart w:id="0" w:name="_top"/>
      <w:bookmarkStart w:id="1" w:name="OLE_LINK90"/>
      <w:bookmarkEnd w:id="0"/>
      <w:r w:rsidRPr="002752DF">
        <w:rPr>
          <w:rFonts w:ascii="Verdana" w:hAnsi="Verdana"/>
          <w:b/>
          <w:bCs/>
          <w:color w:val="auto"/>
          <w:sz w:val="36"/>
          <w:szCs w:val="36"/>
        </w:rPr>
        <w:t>PeopleSafe - Test Claim (Cost Estimate) Drug Label (Medication Name) and Find a Drug Details</w:t>
      </w:r>
    </w:p>
    <w:p w14:paraId="5F387EF4" w14:textId="77777777" w:rsidR="002752DF" w:rsidRPr="002752DF" w:rsidRDefault="002752DF" w:rsidP="002752DF">
      <w:pPr>
        <w:pStyle w:val="Heading1"/>
        <w:rPr>
          <w:rFonts w:ascii="Verdana" w:hAnsi="Verdana"/>
          <w:b/>
          <w:bCs/>
          <w:color w:val="auto"/>
          <w:sz w:val="36"/>
          <w:szCs w:val="36"/>
        </w:rPr>
      </w:pPr>
    </w:p>
    <w:bookmarkEnd w:id="1"/>
    <w:p w14:paraId="3E2EEBB1" w14:textId="77777777" w:rsidR="002172BC" w:rsidRPr="002172BC" w:rsidRDefault="002752DF" w:rsidP="002172BC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2172BC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2172BC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2172BC">
        <w:rPr>
          <w:rFonts w:ascii="Verdana" w:eastAsia="Times New Roman" w:hAnsi="Verdana" w:cs="Times New Roman"/>
          <w:sz w:val="24"/>
          <w:szCs w:val="24"/>
        </w:rPr>
        <w:fldChar w:fldCharType="separate"/>
      </w:r>
      <w:hyperlink w:anchor="_Toc208405789" w:history="1">
        <w:r w:rsidR="002172BC" w:rsidRPr="002172BC">
          <w:rPr>
            <w:rStyle w:val="Hyperlink"/>
            <w:rFonts w:ascii="Verdana" w:hAnsi="Verdana"/>
            <w:noProof/>
            <w:sz w:val="24"/>
            <w:szCs w:val="24"/>
          </w:rPr>
          <w:t>Drug Label (Medication Name) and Find a Drug</w:t>
        </w:r>
      </w:hyperlink>
    </w:p>
    <w:p w14:paraId="2914BB52" w14:textId="77777777" w:rsidR="002172BC" w:rsidRPr="002172BC" w:rsidRDefault="002172BC" w:rsidP="002172BC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8405790" w:history="1">
        <w:r w:rsidRPr="002172BC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6409DF98" w14:textId="1B630059" w:rsidR="002752DF" w:rsidRPr="00DE7A25" w:rsidRDefault="002752DF" w:rsidP="002172BC">
      <w:pPr>
        <w:rPr>
          <w:rFonts w:ascii="Verdana" w:hAnsi="Verdana"/>
          <w:sz w:val="24"/>
          <w:szCs w:val="24"/>
        </w:rPr>
      </w:pPr>
      <w:r w:rsidRPr="002172BC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69D3C061" w14:textId="77777777" w:rsidR="002752DF" w:rsidRPr="00DE7A25" w:rsidRDefault="002752DF" w:rsidP="002752D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B88343C" w14:textId="0700C0AA" w:rsidR="002752DF" w:rsidRDefault="002752DF" w:rsidP="002752DF">
      <w:pPr>
        <w:spacing w:after="0" w:line="240" w:lineRule="auto"/>
      </w:pPr>
      <w:bookmarkStart w:id="2" w:name="_Overview"/>
      <w:bookmarkEnd w:id="2"/>
      <w:r w:rsidRPr="00DE7A25">
        <w:rPr>
          <w:rFonts w:ascii="Verdana" w:hAnsi="Verdana"/>
          <w:b/>
          <w:sz w:val="24"/>
          <w:szCs w:val="24"/>
        </w:rPr>
        <w:t xml:space="preserve">Description: </w:t>
      </w:r>
      <w:bookmarkStart w:id="3" w:name="OLE_LINK23"/>
      <w:bookmarkStart w:id="4" w:name="OLE_LINK22"/>
      <w:r>
        <w:rPr>
          <w:rFonts w:ascii="Verdana" w:hAnsi="Verdana"/>
          <w:sz w:val="24"/>
          <w:szCs w:val="24"/>
        </w:rPr>
        <w:t>Provides details on how to utilize the Drug Label and Find a Drug fields when running a Test Claim.</w:t>
      </w:r>
      <w:bookmarkStart w:id="5" w:name="_Rationale"/>
      <w:bookmarkStart w:id="6" w:name="_Definitions"/>
      <w:bookmarkStart w:id="7" w:name="_Abbreviations/Definitions"/>
      <w:bookmarkStart w:id="8" w:name="_Log_Activity"/>
      <w:bookmarkStart w:id="9" w:name="_Adding_a_PBO_1"/>
      <w:bookmarkStart w:id="10" w:name="_Hlk71552223"/>
      <w:bookmarkEnd w:id="3"/>
      <w:bookmarkEnd w:id="4"/>
      <w:bookmarkEnd w:id="5"/>
      <w:bookmarkEnd w:id="6"/>
      <w:bookmarkEnd w:id="7"/>
      <w:bookmarkEnd w:id="8"/>
      <w:bookmarkEnd w:id="9"/>
      <w:r>
        <w:br/>
      </w:r>
    </w:p>
    <w:p w14:paraId="3348CA53" w14:textId="77777777" w:rsidR="002752DF" w:rsidRDefault="002752DF" w:rsidP="002752DF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bookmarkStart w:id="11" w:name="OLE_LINK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752DF" w:rsidRPr="002752DF" w14:paraId="6800294B" w14:textId="77777777" w:rsidTr="000C0A6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86949E" w14:textId="77777777" w:rsidR="002752DF" w:rsidRPr="002752DF" w:rsidRDefault="002752DF" w:rsidP="000C0A61">
            <w:pPr>
              <w:pStyle w:val="Heading2"/>
              <w:spacing w:before="0" w:after="0" w:line="252" w:lineRule="auto"/>
              <w:rPr>
                <w:rFonts w:ascii="Verdana" w:hAnsi="Verdana"/>
                <w:b/>
                <w:bCs/>
                <w:i/>
                <w:color w:val="auto"/>
                <w:sz w:val="28"/>
                <w:szCs w:val="28"/>
              </w:rPr>
            </w:pPr>
            <w:bookmarkStart w:id="12" w:name="_Toc208405789"/>
            <w:r w:rsidRPr="002752DF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Drug Label (Medication Name) and Find a Drug</w:t>
            </w:r>
            <w:bookmarkEnd w:id="12"/>
          </w:p>
        </w:tc>
      </w:tr>
    </w:tbl>
    <w:bookmarkEnd w:id="11"/>
    <w:p w14:paraId="693D0F6A" w14:textId="77777777" w:rsidR="002752DF" w:rsidRPr="002752DF" w:rsidRDefault="002752DF" w:rsidP="002752DF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2752DF">
        <w:rPr>
          <w:rFonts w:ascii="Verdana" w:hAnsi="Verdana"/>
          <w:color w:val="000000"/>
          <w:sz w:val="24"/>
          <w:szCs w:val="24"/>
        </w:rPr>
        <w:t xml:space="preserve">We supply </w:t>
      </w:r>
      <w:r w:rsidRPr="002752DF">
        <w:rPr>
          <w:rFonts w:ascii="Verdana" w:hAnsi="Verdana"/>
          <w:b/>
          <w:color w:val="000000"/>
          <w:sz w:val="24"/>
          <w:szCs w:val="24"/>
        </w:rPr>
        <w:t>durable equipment</w:t>
      </w:r>
      <w:r w:rsidRPr="002752DF">
        <w:rPr>
          <w:rFonts w:ascii="Verdana" w:hAnsi="Verdana"/>
          <w:color w:val="000000"/>
          <w:sz w:val="24"/>
          <w:szCs w:val="24"/>
        </w:rPr>
        <w:t xml:space="preserve"> to some clients.  Review the CIF and call Clinical to get the NDC number to perform a Test Claim for drug coverage if available.</w:t>
      </w:r>
    </w:p>
    <w:p w14:paraId="6685484C" w14:textId="77777777" w:rsidR="002752DF" w:rsidRPr="002752DF" w:rsidRDefault="002752DF" w:rsidP="002752DF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rPr>
          <w:rFonts w:ascii="Verdana" w:hAnsi="Verdana"/>
          <w:color w:val="333333"/>
          <w:sz w:val="24"/>
          <w:szCs w:val="24"/>
        </w:rPr>
      </w:pPr>
      <w:r w:rsidRPr="002752DF">
        <w:rPr>
          <w:rFonts w:ascii="Verdana" w:hAnsi="Verdana"/>
          <w:color w:val="333333"/>
          <w:sz w:val="24"/>
          <w:szCs w:val="24"/>
        </w:rPr>
        <w:t xml:space="preserve">For </w:t>
      </w:r>
      <w:r w:rsidRPr="002752DF">
        <w:rPr>
          <w:rFonts w:ascii="Verdana" w:hAnsi="Verdana"/>
          <w:b/>
          <w:color w:val="333333"/>
          <w:sz w:val="24"/>
          <w:szCs w:val="24"/>
        </w:rPr>
        <w:t>Ointments</w:t>
      </w:r>
      <w:r w:rsidRPr="002752DF">
        <w:rPr>
          <w:rFonts w:ascii="Verdana" w:hAnsi="Verdana"/>
          <w:color w:val="333333"/>
          <w:sz w:val="24"/>
          <w:szCs w:val="24"/>
        </w:rPr>
        <w:t>, educate the member that their prescriber should indicate the size and quantity of the tube/bottle we are to dispense. Use this information to run the Test Claim for the appropriate package size and quantity.</w:t>
      </w:r>
    </w:p>
    <w:p w14:paraId="22336FF1" w14:textId="77777777" w:rsidR="002752DF" w:rsidRPr="002752DF" w:rsidRDefault="002752DF" w:rsidP="002752DF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rPr>
          <w:rFonts w:ascii="Verdana" w:hAnsi="Verdana"/>
          <w:sz w:val="24"/>
          <w:szCs w:val="24"/>
        </w:rPr>
      </w:pPr>
      <w:r w:rsidRPr="002752DF">
        <w:rPr>
          <w:rFonts w:ascii="Verdana" w:hAnsi="Verdana"/>
          <w:color w:val="000000"/>
          <w:sz w:val="24"/>
          <w:szCs w:val="24"/>
        </w:rPr>
        <w:t xml:space="preserve">For </w:t>
      </w:r>
      <w:r w:rsidRPr="002752DF">
        <w:rPr>
          <w:rFonts w:ascii="Verdana" w:hAnsi="Verdana"/>
          <w:b/>
          <w:color w:val="000000"/>
          <w:sz w:val="24"/>
          <w:szCs w:val="24"/>
        </w:rPr>
        <w:t>Grains</w:t>
      </w:r>
      <w:r w:rsidRPr="002752DF">
        <w:rPr>
          <w:rFonts w:ascii="Verdana" w:hAnsi="Verdana"/>
          <w:color w:val="000000"/>
          <w:sz w:val="24"/>
          <w:szCs w:val="24"/>
        </w:rPr>
        <w:t xml:space="preserve">, </w:t>
      </w:r>
      <w:r w:rsidRPr="002752DF">
        <w:rPr>
          <w:rFonts w:ascii="Verdana" w:hAnsi="Verdana"/>
          <w:color w:val="333333"/>
          <w:sz w:val="24"/>
          <w:szCs w:val="24"/>
        </w:rPr>
        <w:t xml:space="preserve">contact Clinical Care Services to obtain the correct quantity.  Refer to </w:t>
      </w:r>
      <w:hyperlink r:id="rId5" w:anchor="!/view?docid=469e4571-83ef-47f7-9a70-e881b945b605" w:history="1">
        <w:r w:rsidRPr="002752DF">
          <w:rPr>
            <w:rStyle w:val="Hyperlink"/>
            <w:rFonts w:ascii="Verdana" w:hAnsi="Verdana"/>
            <w:sz w:val="24"/>
            <w:szCs w:val="24"/>
          </w:rPr>
          <w:t>PeopleSafe - Test Claim Quantity Calculations (031773)</w:t>
        </w:r>
      </w:hyperlink>
      <w:r w:rsidRPr="002752DF">
        <w:rPr>
          <w:rFonts w:ascii="Verdana" w:hAnsi="Verdana"/>
          <w:sz w:val="24"/>
          <w:szCs w:val="24"/>
        </w:rPr>
        <w:t>.</w:t>
      </w:r>
    </w:p>
    <w:p w14:paraId="2A5A2C58" w14:textId="77777777" w:rsidR="002752DF" w:rsidRPr="002752DF" w:rsidRDefault="002752DF" w:rsidP="002752D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06403DC" w14:textId="77777777" w:rsidR="002752DF" w:rsidRPr="002752DF" w:rsidRDefault="002752DF" w:rsidP="002752DF">
      <w:pPr>
        <w:spacing w:before="120" w:after="120"/>
        <w:rPr>
          <w:rFonts w:ascii="Verdana" w:hAnsi="Verdana"/>
          <w:color w:val="000000"/>
          <w:sz w:val="24"/>
          <w:szCs w:val="24"/>
        </w:rPr>
      </w:pPr>
      <w:bookmarkStart w:id="13" w:name="OLE_LINK4"/>
      <w:r w:rsidRPr="002752DF">
        <w:rPr>
          <w:rFonts w:ascii="Verdana" w:hAnsi="Verdana"/>
          <w:b/>
          <w:sz w:val="24"/>
          <w:szCs w:val="24"/>
        </w:rPr>
        <w:t>Do not</w:t>
      </w:r>
      <w:r w:rsidRPr="002752DF">
        <w:rPr>
          <w:rFonts w:ascii="Verdana" w:hAnsi="Verdana"/>
          <w:sz w:val="24"/>
          <w:szCs w:val="24"/>
        </w:rPr>
        <w:t xml:space="preserve"> use for vaccines</w:t>
      </w:r>
      <w:r w:rsidRPr="002752DF">
        <w:rPr>
          <w:rFonts w:ascii="Verdana" w:hAnsi="Verdana"/>
          <w:color w:val="000000"/>
          <w:sz w:val="24"/>
          <w:szCs w:val="24"/>
        </w:rPr>
        <w:t xml:space="preserve"> unless pharmacy coverage is indicated in the CIF.</w:t>
      </w:r>
    </w:p>
    <w:bookmarkEnd w:id="13"/>
    <w:p w14:paraId="77F4EB3B" w14:textId="77777777" w:rsidR="002752DF" w:rsidRDefault="002752DF" w:rsidP="002752D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9F12E3F" w14:textId="77777777" w:rsidR="002752DF" w:rsidRDefault="002752DF" w:rsidP="002752DF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0487EB73" w14:textId="77777777" w:rsidR="002752DF" w:rsidRDefault="002752DF" w:rsidP="002752DF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C00866" wp14:editId="37D3C7BA">
            <wp:extent cx="3571429" cy="2857143"/>
            <wp:effectExtent l="0" t="0" r="0" b="635"/>
            <wp:docPr id="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55F8" w14:textId="77777777" w:rsidR="002752DF" w:rsidRDefault="002752DF" w:rsidP="002752DF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23CEF7F7" w14:textId="77777777" w:rsidR="002752DF" w:rsidRPr="002752DF" w:rsidRDefault="002752DF" w:rsidP="002752DF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560B95B9" w14:textId="77777777" w:rsidR="002752DF" w:rsidRPr="002752DF" w:rsidRDefault="002752DF" w:rsidP="002752DF">
      <w:pPr>
        <w:pStyle w:val="ListParagraph"/>
        <w:numPr>
          <w:ilvl w:val="0"/>
          <w:numId w:val="1"/>
        </w:numPr>
        <w:spacing w:before="120" w:after="120" w:line="240" w:lineRule="auto"/>
        <w:ind w:left="496"/>
        <w:contextualSpacing w:val="0"/>
        <w:rPr>
          <w:rFonts w:ascii="Verdana" w:hAnsi="Verdana"/>
          <w:b/>
          <w:bCs/>
          <w:color w:val="000000"/>
          <w:sz w:val="24"/>
          <w:szCs w:val="24"/>
        </w:rPr>
      </w:pPr>
      <w:r w:rsidRPr="002752DF">
        <w:rPr>
          <w:rFonts w:ascii="Verdana" w:hAnsi="Verdana"/>
          <w:b/>
          <w:bCs/>
          <w:color w:val="000000"/>
          <w:sz w:val="24"/>
          <w:szCs w:val="24"/>
        </w:rPr>
        <w:t xml:space="preserve">Drug Label:  </w:t>
      </w:r>
    </w:p>
    <w:p w14:paraId="157BAFA1" w14:textId="06CF37E6" w:rsidR="002752DF" w:rsidRPr="002752DF" w:rsidRDefault="002752DF" w:rsidP="002752DF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2752DF">
        <w:rPr>
          <w:rFonts w:ascii="Verdana" w:hAnsi="Verdana"/>
          <w:b/>
          <w:bCs/>
          <w:color w:val="000000"/>
          <w:sz w:val="24"/>
          <w:szCs w:val="24"/>
        </w:rPr>
        <w:t>Wild Card Search:</w:t>
      </w:r>
      <w:r w:rsidRPr="002752DF">
        <w:rPr>
          <w:rFonts w:ascii="Verdana" w:hAnsi="Verdana"/>
          <w:color w:val="000000"/>
          <w:sz w:val="24"/>
          <w:szCs w:val="24"/>
        </w:rPr>
        <w:t xml:space="preserve"> Type the first three (3) letters, then select the </w:t>
      </w:r>
      <w:r w:rsidRPr="002752DF">
        <w:rPr>
          <w:rFonts w:ascii="Verdana" w:hAnsi="Verdana"/>
          <w:b/>
          <w:bCs/>
          <w:color w:val="000000"/>
          <w:sz w:val="24"/>
          <w:szCs w:val="24"/>
        </w:rPr>
        <w:t xml:space="preserve">TAB </w:t>
      </w:r>
      <w:r w:rsidRPr="002752DF">
        <w:rPr>
          <w:rFonts w:ascii="Verdana" w:hAnsi="Verdana"/>
          <w:color w:val="000000"/>
          <w:sz w:val="24"/>
          <w:szCs w:val="24"/>
        </w:rPr>
        <w:t xml:space="preserve">key to process the search.  </w:t>
      </w:r>
    </w:p>
    <w:p w14:paraId="450D69A9" w14:textId="77777777" w:rsidR="002752DF" w:rsidRPr="002752DF" w:rsidRDefault="002752DF" w:rsidP="002752DF">
      <w:pPr>
        <w:pStyle w:val="ListParagraph"/>
        <w:widowControl w:val="0"/>
        <w:numPr>
          <w:ilvl w:val="0"/>
          <w:numId w:val="4"/>
        </w:numPr>
        <w:spacing w:before="120" w:after="120" w:line="240" w:lineRule="auto"/>
        <w:contextualSpacing w:val="0"/>
        <w:rPr>
          <w:rFonts w:ascii="Verdana" w:hAnsi="Verdana"/>
          <w:color w:val="000000"/>
          <w:sz w:val="24"/>
          <w:szCs w:val="24"/>
        </w:rPr>
      </w:pPr>
      <w:r w:rsidRPr="002752DF">
        <w:rPr>
          <w:rFonts w:ascii="Verdana" w:hAnsi="Verdana"/>
          <w:color w:val="000000"/>
          <w:sz w:val="24"/>
          <w:szCs w:val="24"/>
        </w:rPr>
        <w:t>If the selected drug is a Controlled Substance, a pop-up displays.  The message states that it is a Controlled Substance and provides the DEA class of the medication (C1 - C5).  If this message is received, there might be state restrictions or limitations that need to be discussed.  If the member has questions regarding Controlled Substances state laws Home Delivery/Mail Order requests, conference/</w:t>
      </w:r>
      <w:r w:rsidRPr="002752DF">
        <w:rPr>
          <w:rFonts w:ascii="Verdana" w:hAnsi="Verdana"/>
          <w:sz w:val="24"/>
          <w:szCs w:val="24"/>
        </w:rPr>
        <w:t>warm transfer</w:t>
      </w:r>
      <w:r w:rsidRPr="002752DF">
        <w:rPr>
          <w:rFonts w:ascii="Verdana" w:hAnsi="Verdana"/>
          <w:color w:val="000000"/>
          <w:sz w:val="24"/>
          <w:szCs w:val="24"/>
        </w:rPr>
        <w:t> the call to </w:t>
      </w:r>
      <w:hyperlink r:id="rId7" w:anchor="!/view?docid=f22eb77e-4033-4ad9-9afb-fc262f29faad" w:tgtFrame="_blank" w:history="1">
        <w:r w:rsidRPr="002752DF">
          <w:rPr>
            <w:rStyle w:val="Hyperlink"/>
            <w:rFonts w:ascii="Verdana" w:hAnsi="Verdana"/>
            <w:sz w:val="24"/>
            <w:szCs w:val="24"/>
          </w:rPr>
          <w:t>Clinical Services (004378)</w:t>
        </w:r>
      </w:hyperlink>
      <w:r w:rsidRPr="002752DF">
        <w:rPr>
          <w:rFonts w:ascii="Verdana" w:hAnsi="Verdana"/>
          <w:sz w:val="24"/>
          <w:szCs w:val="24"/>
        </w:rPr>
        <w:t xml:space="preserve"> once you have completed the test claim and provided pricing.  </w:t>
      </w:r>
      <w:r w:rsidRPr="002752DF">
        <w:rPr>
          <w:rFonts w:ascii="Verdana" w:hAnsi="Verdana"/>
          <w:color w:val="000000"/>
          <w:sz w:val="24"/>
          <w:szCs w:val="24"/>
        </w:rPr>
        <w:t>For retail fills the retail pharmacy determines if they are going to fill the prescription.</w:t>
      </w:r>
    </w:p>
    <w:p w14:paraId="2E9B5EBF" w14:textId="77777777" w:rsidR="002752DF" w:rsidRDefault="002752DF" w:rsidP="002752DF">
      <w:pPr>
        <w:widowControl w:val="0"/>
        <w:spacing w:before="120" w:after="120"/>
        <w:ind w:left="496"/>
        <w:jc w:val="center"/>
        <w:rPr>
          <w:rFonts w:ascii="Verdana" w:hAnsi="Verdana"/>
          <w:noProof/>
          <w:sz w:val="24"/>
          <w:szCs w:val="24"/>
        </w:rPr>
      </w:pPr>
    </w:p>
    <w:p w14:paraId="198EA3E0" w14:textId="77777777" w:rsidR="002752DF" w:rsidRDefault="002752DF" w:rsidP="002752DF">
      <w:pPr>
        <w:widowControl w:val="0"/>
        <w:spacing w:before="120" w:after="120"/>
        <w:ind w:left="496"/>
        <w:jc w:val="center"/>
        <w:rPr>
          <w:rFonts w:ascii="Verdana" w:hAnsi="Verdana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F6160" wp14:editId="033257FC">
            <wp:extent cx="3171429" cy="2438095"/>
            <wp:effectExtent l="0" t="0" r="0" b="635"/>
            <wp:docPr id="19" name="Picture 19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error mess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7DBA" w14:textId="77777777" w:rsidR="002752DF" w:rsidRDefault="002752DF" w:rsidP="002752DF">
      <w:pPr>
        <w:spacing w:before="120" w:after="120"/>
        <w:ind w:left="720"/>
      </w:pPr>
    </w:p>
    <w:p w14:paraId="55B108A2" w14:textId="77777777" w:rsidR="002752DF" w:rsidRPr="002752DF" w:rsidRDefault="002752DF" w:rsidP="002752DF">
      <w:pPr>
        <w:widowControl w:val="0"/>
        <w:spacing w:before="120" w:after="120"/>
        <w:rPr>
          <w:rFonts w:ascii="Verdana" w:hAnsi="Verdana"/>
          <w:color w:val="000000"/>
          <w:sz w:val="24"/>
          <w:szCs w:val="24"/>
        </w:rPr>
      </w:pPr>
    </w:p>
    <w:p w14:paraId="03A5144F" w14:textId="77777777" w:rsidR="002752DF" w:rsidRPr="002752DF" w:rsidRDefault="002752DF" w:rsidP="002752DF">
      <w:pPr>
        <w:widowControl w:val="0"/>
        <w:numPr>
          <w:ilvl w:val="0"/>
          <w:numId w:val="2"/>
        </w:numPr>
        <w:spacing w:before="120" w:after="120" w:line="240" w:lineRule="auto"/>
        <w:ind w:left="496"/>
        <w:rPr>
          <w:rFonts w:ascii="Verdana" w:hAnsi="Verdana"/>
          <w:b/>
          <w:bCs/>
          <w:snapToGrid w:val="0"/>
          <w:color w:val="000000"/>
          <w:sz w:val="24"/>
          <w:szCs w:val="24"/>
        </w:rPr>
      </w:pPr>
      <w:r w:rsidRPr="002752DF">
        <w:rPr>
          <w:rFonts w:ascii="Verdana" w:hAnsi="Verdana"/>
          <w:b/>
          <w:bCs/>
          <w:snapToGrid w:val="0"/>
          <w:color w:val="000000"/>
          <w:sz w:val="24"/>
          <w:szCs w:val="24"/>
        </w:rPr>
        <w:t>Find A Drug Screen:</w:t>
      </w:r>
    </w:p>
    <w:p w14:paraId="6F08CBED" w14:textId="77777777" w:rsidR="002752DF" w:rsidRPr="002752DF" w:rsidRDefault="002752DF" w:rsidP="002752DF">
      <w:pPr>
        <w:pStyle w:val="ListParagraph"/>
        <w:spacing w:before="120" w:after="120"/>
        <w:rPr>
          <w:rFonts w:ascii="Verdana" w:hAnsi="Verdana"/>
          <w:sz w:val="24"/>
          <w:szCs w:val="24"/>
        </w:rPr>
      </w:pPr>
      <w:r w:rsidRPr="002752DF">
        <w:rPr>
          <w:rFonts w:ascii="Verdana" w:hAnsi="Verdana"/>
          <w:bCs/>
          <w:sz w:val="24"/>
          <w:szCs w:val="24"/>
        </w:rPr>
        <w:t>Do</w:t>
      </w:r>
      <w:r w:rsidRPr="002752DF">
        <w:rPr>
          <w:rFonts w:ascii="Verdana" w:hAnsi="Verdana"/>
          <w:b/>
          <w:sz w:val="24"/>
          <w:szCs w:val="24"/>
        </w:rPr>
        <w:t xml:space="preserve"> not</w:t>
      </w:r>
      <w:r w:rsidRPr="002752DF">
        <w:rPr>
          <w:rFonts w:ascii="Verdana" w:hAnsi="Verdana"/>
          <w:sz w:val="24"/>
          <w:szCs w:val="24"/>
        </w:rPr>
        <w:t xml:space="preserve"> use the Find a Drug screen from the Tools drop-down menu to locate a formulary alternative.  The process of finding a formulary alternative should be completed within the Test Claim.  Refer to:</w:t>
      </w:r>
    </w:p>
    <w:p w14:paraId="3F8429E6" w14:textId="7463D2C0" w:rsidR="002752DF" w:rsidRPr="002752DF" w:rsidRDefault="002752DF" w:rsidP="002752DF">
      <w:pPr>
        <w:pStyle w:val="ListParagraph"/>
        <w:spacing w:before="120" w:after="120"/>
        <w:rPr>
          <w:rFonts w:ascii="Verdana" w:hAnsi="Verdana"/>
          <w:sz w:val="24"/>
          <w:szCs w:val="24"/>
        </w:rPr>
      </w:pPr>
      <w:hyperlink r:id="rId9" w:anchor="!/view?docid=48ee161e-9b5e-4cfb-904f-f80995018f28" w:history="1">
        <w:r w:rsidR="001832EB">
          <w:rPr>
            <w:rStyle w:val="Hyperlink"/>
            <w:rFonts w:ascii="Verdana" w:hAnsi="Verdana"/>
            <w:sz w:val="24"/>
            <w:szCs w:val="24"/>
          </w:rPr>
          <w:t>PeopleSafe - Test Claim Formulary and Additional Alternatives (031769)</w:t>
        </w:r>
      </w:hyperlink>
      <w:r w:rsidRPr="002752DF">
        <w:rPr>
          <w:rFonts w:ascii="Verdana" w:hAnsi="Verdana"/>
          <w:noProof/>
          <w:color w:val="000000"/>
          <w:sz w:val="24"/>
          <w:szCs w:val="24"/>
        </w:rPr>
        <w:t>.</w:t>
      </w:r>
    </w:p>
    <w:p w14:paraId="4C483E7C" w14:textId="77777777" w:rsidR="002752DF" w:rsidRPr="002752DF" w:rsidRDefault="002752DF" w:rsidP="002752DF">
      <w:pPr>
        <w:pStyle w:val="ListParagraph"/>
        <w:spacing w:before="120" w:after="120"/>
        <w:rPr>
          <w:rFonts w:ascii="Verdana" w:hAnsi="Verdana"/>
          <w:b/>
          <w:sz w:val="24"/>
          <w:szCs w:val="24"/>
        </w:rPr>
      </w:pPr>
    </w:p>
    <w:p w14:paraId="0A920466" w14:textId="3029CE56" w:rsidR="002752DF" w:rsidRPr="002752DF" w:rsidRDefault="002752DF" w:rsidP="002752DF">
      <w:pPr>
        <w:pStyle w:val="ListParagraph"/>
        <w:spacing w:before="120" w:after="120"/>
        <w:rPr>
          <w:rFonts w:ascii="Verdana" w:hAnsi="Verdana"/>
          <w:bCs/>
          <w:sz w:val="24"/>
          <w:szCs w:val="24"/>
        </w:rPr>
      </w:pPr>
      <w:r w:rsidRPr="002752DF">
        <w:rPr>
          <w:rFonts w:ascii="Verdana" w:hAnsi="Verdana"/>
          <w:b/>
          <w:sz w:val="24"/>
          <w:szCs w:val="24"/>
        </w:rPr>
        <w:t xml:space="preserve">Note: </w:t>
      </w:r>
      <w:r w:rsidRPr="002752DF">
        <w:rPr>
          <w:rFonts w:ascii="Verdana" w:hAnsi="Verdana"/>
          <w:bCs/>
          <w:sz w:val="24"/>
          <w:szCs w:val="24"/>
        </w:rPr>
        <w:t xml:space="preserve">To change the medication name, type the first three or more letters then add an asterisk (*) to perform a wildcard search. </w:t>
      </w:r>
    </w:p>
    <w:p w14:paraId="1EBF7F5E" w14:textId="25F017D6" w:rsidR="002752DF" w:rsidRPr="002752DF" w:rsidRDefault="002752DF" w:rsidP="002752DF">
      <w:pPr>
        <w:pStyle w:val="ListParagraph"/>
        <w:spacing w:before="120" w:after="120"/>
        <w:rPr>
          <w:rFonts w:ascii="Verdana" w:hAnsi="Verdana"/>
          <w:sz w:val="24"/>
          <w:szCs w:val="24"/>
        </w:rPr>
      </w:pPr>
      <w:r w:rsidRPr="002752DF">
        <w:rPr>
          <w:rFonts w:ascii="Verdana" w:hAnsi="Verdana"/>
          <w:b/>
          <w:sz w:val="24"/>
          <w:szCs w:val="24"/>
        </w:rPr>
        <w:t>Example</w:t>
      </w:r>
      <w:r w:rsidR="00A37F67">
        <w:rPr>
          <w:rFonts w:ascii="Verdana" w:hAnsi="Verdana"/>
          <w:b/>
          <w:sz w:val="24"/>
          <w:szCs w:val="24"/>
        </w:rPr>
        <w:t xml:space="preserve">: </w:t>
      </w:r>
      <w:r w:rsidRPr="002752DF">
        <w:rPr>
          <w:rFonts w:ascii="Verdana" w:hAnsi="Verdana"/>
          <w:bCs/>
          <w:sz w:val="24"/>
          <w:szCs w:val="24"/>
        </w:rPr>
        <w:t>TES* or TESTOS*</w:t>
      </w:r>
    </w:p>
    <w:p w14:paraId="33860979" w14:textId="77777777" w:rsidR="002752DF" w:rsidRDefault="002752DF" w:rsidP="002752DF">
      <w:pPr>
        <w:widowControl w:val="0"/>
        <w:spacing w:before="120" w:after="120" w:line="240" w:lineRule="auto"/>
        <w:ind w:left="496"/>
        <w:rPr>
          <w:rFonts w:ascii="Verdana" w:hAnsi="Verdana"/>
          <w:b/>
          <w:bCs/>
          <w:snapToGrid w:val="0"/>
          <w:color w:val="000000"/>
          <w:sz w:val="24"/>
          <w:szCs w:val="24"/>
        </w:rPr>
      </w:pPr>
      <w:r w:rsidRPr="00244DDF">
        <w:rPr>
          <w:rFonts w:ascii="Verdana" w:hAnsi="Verdana"/>
          <w:b/>
          <w:bCs/>
          <w:snapToGrid w:val="0"/>
          <w:color w:val="000000"/>
          <w:sz w:val="24"/>
          <w:szCs w:val="24"/>
        </w:rPr>
        <w:t xml:space="preserve"> </w:t>
      </w:r>
    </w:p>
    <w:p w14:paraId="38263602" w14:textId="77777777" w:rsidR="002752DF" w:rsidRDefault="002752DF" w:rsidP="002752DF">
      <w:pPr>
        <w:widowControl w:val="0"/>
        <w:spacing w:before="120" w:after="120" w:line="240" w:lineRule="auto"/>
        <w:ind w:left="496"/>
        <w:jc w:val="center"/>
        <w:rPr>
          <w:rFonts w:ascii="Verdana" w:hAnsi="Verdana"/>
          <w:b/>
          <w:bCs/>
          <w:snapToGrid w:val="0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9AF6B" wp14:editId="3D660E80">
            <wp:extent cx="9266667" cy="5580952"/>
            <wp:effectExtent l="0" t="0" r="0" b="1270"/>
            <wp:docPr id="23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6667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B668" w14:textId="77777777" w:rsidR="002752DF" w:rsidRPr="002752DF" w:rsidRDefault="002752DF" w:rsidP="002752DF">
      <w:pPr>
        <w:widowControl w:val="0"/>
        <w:spacing w:before="120" w:after="120" w:line="240" w:lineRule="auto"/>
        <w:ind w:left="496"/>
        <w:rPr>
          <w:rFonts w:ascii="Verdana" w:hAnsi="Verdana"/>
          <w:b/>
          <w:bCs/>
          <w:snapToGrid w:val="0"/>
          <w:color w:val="000000"/>
          <w:sz w:val="24"/>
          <w:szCs w:val="24"/>
        </w:rPr>
      </w:pPr>
    </w:p>
    <w:p w14:paraId="764C78CA" w14:textId="59F0E64A" w:rsidR="002752DF" w:rsidRPr="002752DF" w:rsidRDefault="002752DF" w:rsidP="002752DF">
      <w:pPr>
        <w:widowControl w:val="0"/>
        <w:spacing w:before="120" w:after="120" w:line="240" w:lineRule="auto"/>
        <w:ind w:left="496"/>
        <w:rPr>
          <w:rFonts w:ascii="Verdana" w:hAnsi="Verdana"/>
          <w:b/>
          <w:bCs/>
          <w:snapToGrid w:val="0"/>
          <w:color w:val="000000"/>
          <w:sz w:val="24"/>
          <w:szCs w:val="24"/>
        </w:rPr>
      </w:pPr>
      <w:r w:rsidRPr="002752DF">
        <w:rPr>
          <w:rFonts w:ascii="Verdana" w:hAnsi="Verdana"/>
          <w:b/>
          <w:bCs/>
          <w:snapToGrid w:val="0"/>
          <w:color w:val="000000"/>
          <w:sz w:val="24"/>
          <w:szCs w:val="24"/>
        </w:rPr>
        <w:t>Note</w:t>
      </w:r>
      <w:r w:rsidR="00A37F67">
        <w:rPr>
          <w:rFonts w:ascii="Verdana" w:hAnsi="Verdana"/>
          <w:b/>
          <w:bCs/>
          <w:snapToGrid w:val="0"/>
          <w:color w:val="000000"/>
          <w:sz w:val="24"/>
          <w:szCs w:val="24"/>
        </w:rPr>
        <w:t>:</w:t>
      </w:r>
      <w:r w:rsidRPr="002752DF">
        <w:rPr>
          <w:rFonts w:ascii="Verdana" w:hAnsi="Verdana"/>
          <w:b/>
          <w:bCs/>
          <w:snapToGrid w:val="0"/>
          <w:color w:val="000000"/>
          <w:sz w:val="24"/>
          <w:szCs w:val="24"/>
        </w:rPr>
        <w:t xml:space="preserve"> BRD/GEN column</w:t>
      </w:r>
      <w:r w:rsidRPr="002752DF">
        <w:rPr>
          <w:rFonts w:ascii="Verdana" w:hAnsi="Verdana"/>
          <w:snapToGrid w:val="0"/>
          <w:color w:val="000000"/>
          <w:sz w:val="24"/>
          <w:szCs w:val="24"/>
        </w:rPr>
        <w:t xml:space="preserve"> indicates if B-Brand or G-Generic</w:t>
      </w:r>
    </w:p>
    <w:p w14:paraId="6EC2C262" w14:textId="77777777" w:rsidR="002752DF" w:rsidRPr="002752DF" w:rsidRDefault="002752DF" w:rsidP="002752DF">
      <w:pPr>
        <w:widowControl w:val="0"/>
        <w:spacing w:before="120" w:after="120" w:line="240" w:lineRule="auto"/>
        <w:ind w:left="496"/>
        <w:rPr>
          <w:rFonts w:ascii="Verdana" w:hAnsi="Verdana"/>
          <w:b/>
          <w:bCs/>
          <w:snapToGrid w:val="0"/>
          <w:color w:val="000000"/>
          <w:sz w:val="24"/>
          <w:szCs w:val="24"/>
        </w:rPr>
      </w:pPr>
    </w:p>
    <w:p w14:paraId="40A8241C" w14:textId="77777777" w:rsidR="002752DF" w:rsidRPr="002752DF" w:rsidRDefault="002752DF" w:rsidP="002752DF">
      <w:pPr>
        <w:pStyle w:val="ListParagraph"/>
        <w:widowControl w:val="0"/>
        <w:numPr>
          <w:ilvl w:val="0"/>
          <w:numId w:val="3"/>
        </w:numPr>
        <w:spacing w:before="120" w:after="120" w:line="240" w:lineRule="auto"/>
        <w:contextualSpacing w:val="0"/>
        <w:rPr>
          <w:rFonts w:ascii="Verdana" w:hAnsi="Verdana"/>
          <w:snapToGrid w:val="0"/>
          <w:color w:val="000000"/>
          <w:sz w:val="24"/>
          <w:szCs w:val="24"/>
        </w:rPr>
      </w:pPr>
      <w:r w:rsidRPr="002752DF">
        <w:rPr>
          <w:rFonts w:ascii="Verdana" w:hAnsi="Verdana"/>
          <w:snapToGrid w:val="0"/>
          <w:color w:val="000000"/>
          <w:sz w:val="24"/>
          <w:szCs w:val="24"/>
        </w:rPr>
        <w:t xml:space="preserve">If the drug and drug strength does not display, click the </w:t>
      </w:r>
      <w:r w:rsidRPr="002752DF">
        <w:rPr>
          <w:rFonts w:ascii="Verdana" w:hAnsi="Verdana"/>
          <w:b/>
          <w:snapToGrid w:val="0"/>
          <w:color w:val="000000"/>
          <w:sz w:val="24"/>
          <w:szCs w:val="24"/>
        </w:rPr>
        <w:t xml:space="preserve">Search All </w:t>
      </w:r>
      <w:r w:rsidRPr="002752DF">
        <w:rPr>
          <w:rFonts w:ascii="Verdana" w:hAnsi="Verdana"/>
          <w:snapToGrid w:val="0"/>
          <w:color w:val="000000"/>
          <w:sz w:val="24"/>
          <w:szCs w:val="24"/>
        </w:rPr>
        <w:t xml:space="preserve">button. </w:t>
      </w:r>
    </w:p>
    <w:p w14:paraId="0D7E1F6A" w14:textId="77777777" w:rsidR="002752DF" w:rsidRPr="002752DF" w:rsidRDefault="002752DF" w:rsidP="002752DF">
      <w:pPr>
        <w:pStyle w:val="ListParagraph"/>
        <w:widowControl w:val="0"/>
        <w:numPr>
          <w:ilvl w:val="0"/>
          <w:numId w:val="3"/>
        </w:numPr>
        <w:spacing w:before="120" w:after="120" w:line="240" w:lineRule="auto"/>
        <w:contextualSpacing w:val="0"/>
        <w:rPr>
          <w:rFonts w:ascii="Verdana" w:hAnsi="Verdana"/>
          <w:b/>
          <w:snapToGrid w:val="0"/>
          <w:color w:val="000000"/>
          <w:sz w:val="24"/>
          <w:szCs w:val="24"/>
        </w:rPr>
      </w:pPr>
      <w:r w:rsidRPr="002752DF">
        <w:rPr>
          <w:rFonts w:ascii="Verdana" w:hAnsi="Verdana"/>
          <w:snapToGrid w:val="0"/>
          <w:color w:val="000000"/>
          <w:sz w:val="24"/>
          <w:szCs w:val="24"/>
        </w:rPr>
        <w:t xml:space="preserve">If rare medications are not in our system and the pharmacy runs the test claim, that information does not populate.   Run using </w:t>
      </w:r>
      <w:r w:rsidRPr="002752DF">
        <w:rPr>
          <w:rFonts w:ascii="Verdana" w:hAnsi="Verdana"/>
          <w:b/>
          <w:bCs/>
          <w:snapToGrid w:val="0"/>
          <w:color w:val="000000"/>
          <w:sz w:val="24"/>
          <w:szCs w:val="24"/>
        </w:rPr>
        <w:t>Point of Sale</w:t>
      </w:r>
      <w:r w:rsidRPr="002752DF">
        <w:rPr>
          <w:rFonts w:ascii="Verdana" w:hAnsi="Verdana"/>
          <w:snapToGrid w:val="0"/>
          <w:color w:val="000000"/>
          <w:sz w:val="24"/>
          <w:szCs w:val="24"/>
        </w:rPr>
        <w:t xml:space="preserve"> only. </w:t>
      </w:r>
    </w:p>
    <w:p w14:paraId="3A87E5CC" w14:textId="77777777" w:rsidR="002752DF" w:rsidRDefault="002752DF" w:rsidP="002752DF">
      <w:pPr>
        <w:widowControl w:val="0"/>
        <w:spacing w:before="120" w:after="120" w:line="240" w:lineRule="auto"/>
        <w:ind w:left="496"/>
        <w:jc w:val="center"/>
        <w:rPr>
          <w:rFonts w:ascii="Verdana" w:hAnsi="Verdana"/>
          <w:color w:val="000000"/>
          <w:sz w:val="24"/>
          <w:szCs w:val="24"/>
        </w:rPr>
      </w:pPr>
      <w:r w:rsidRPr="002752DF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A0495AF" wp14:editId="0F4727EF">
            <wp:extent cx="3571429" cy="1514286"/>
            <wp:effectExtent l="0" t="0" r="0" b="0"/>
            <wp:docPr id="20" name="Picture 20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971C" w14:textId="77777777" w:rsidR="002752DF" w:rsidRDefault="002752DF" w:rsidP="002752DF">
      <w:pPr>
        <w:widowControl w:val="0"/>
        <w:spacing w:before="120" w:after="120" w:line="240" w:lineRule="auto"/>
        <w:ind w:left="496"/>
        <w:jc w:val="center"/>
        <w:rPr>
          <w:rFonts w:ascii="Verdana" w:hAnsi="Verdana"/>
          <w:color w:val="000000"/>
          <w:sz w:val="24"/>
          <w:szCs w:val="24"/>
        </w:rPr>
      </w:pPr>
    </w:p>
    <w:p w14:paraId="0EBCB20A" w14:textId="77777777" w:rsidR="002752DF" w:rsidRPr="00032382" w:rsidRDefault="002752DF" w:rsidP="002752DF">
      <w:pPr>
        <w:ind w:left="330"/>
        <w:rPr>
          <w:rFonts w:ascii="Verdana" w:hAnsi="Verdana" w:cs="Helvetica"/>
          <w:color w:val="000000"/>
          <w:sz w:val="24"/>
          <w:szCs w:val="24"/>
        </w:rPr>
      </w:pPr>
      <w:r w:rsidRPr="00333E64">
        <w:rPr>
          <w:rFonts w:ascii="Verdana" w:hAnsi="Verdana"/>
          <w:color w:val="000000"/>
          <w:sz w:val="24"/>
          <w:szCs w:val="24"/>
        </w:rPr>
        <w:t xml:space="preserve">Diabetic testing supplies and meters, refer </w:t>
      </w:r>
      <w:r w:rsidRPr="00032382">
        <w:rPr>
          <w:rFonts w:ascii="Verdana" w:hAnsi="Verdana"/>
          <w:color w:val="000000"/>
          <w:sz w:val="24"/>
          <w:szCs w:val="24"/>
        </w:rPr>
        <w:t xml:space="preserve">to </w:t>
      </w:r>
      <w:hyperlink r:id="rId12" w:anchor="!/view?docid=91eac667-77eb-4131-8351-979ec7e1ae2e" w:history="1">
        <w:r w:rsidRPr="00032382">
          <w:rPr>
            <w:rStyle w:val="Hyperlink"/>
            <w:rFonts w:ascii="Verdana" w:hAnsi="Verdana" w:cs="Helvetica"/>
            <w:sz w:val="24"/>
            <w:szCs w:val="24"/>
          </w:rPr>
          <w:t>Diabetic Programs &amp; Supplies Index (049788)</w:t>
        </w:r>
      </w:hyperlink>
      <w:r>
        <w:rPr>
          <w:rFonts w:ascii="Verdana" w:hAnsi="Verdana" w:cs="Helvetica"/>
          <w:color w:val="000000"/>
          <w:sz w:val="24"/>
          <w:szCs w:val="24"/>
        </w:rPr>
        <w:t>.</w:t>
      </w:r>
    </w:p>
    <w:p w14:paraId="7806EB31" w14:textId="77777777" w:rsidR="002752DF" w:rsidRPr="00333E64" w:rsidRDefault="002752DF" w:rsidP="002752DF">
      <w:pPr>
        <w:pStyle w:val="style-scope"/>
        <w:textAlignment w:val="center"/>
        <w:rPr>
          <w:rFonts w:ascii="Verdana" w:hAnsi="Verdana"/>
          <w:color w:val="000000"/>
        </w:rPr>
      </w:pPr>
    </w:p>
    <w:p w14:paraId="3C79B488" w14:textId="77777777" w:rsidR="002752DF" w:rsidRPr="00333E64" w:rsidRDefault="002752DF" w:rsidP="002752DF">
      <w:pPr>
        <w:pStyle w:val="style-scope"/>
        <w:textAlignment w:val="center"/>
        <w:rPr>
          <w:rFonts w:ascii="Verdana" w:hAnsi="Verdana"/>
          <w:color w:val="000000"/>
        </w:rPr>
      </w:pPr>
    </w:p>
    <w:p w14:paraId="240F9774" w14:textId="77777777" w:rsidR="002752DF" w:rsidRDefault="002752DF" w:rsidP="002752DF">
      <w:pPr>
        <w:pStyle w:val="style-scope"/>
        <w:textAlignment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Return to </w:t>
      </w:r>
      <w:hyperlink r:id="rId13" w:anchor="!/view?docid=59c4e7fa-4a87-43c4-89cd-5d4f8c6c3421" w:history="1">
        <w:r w:rsidRPr="00DC4A27">
          <w:rPr>
            <w:rStyle w:val="Hyperlink"/>
            <w:rFonts w:ascii="Verdana" w:eastAsiaTheme="majorEastAsia" w:hAnsi="Verdana"/>
          </w:rPr>
          <w:t>Test Claim (</w:t>
        </w:r>
        <w:r>
          <w:rPr>
            <w:rStyle w:val="Hyperlink"/>
            <w:rFonts w:ascii="Verdana" w:eastAsiaTheme="majorEastAsia" w:hAnsi="Verdana"/>
          </w:rPr>
          <w:t>00</w:t>
        </w:r>
        <w:r w:rsidRPr="00DC4A27">
          <w:rPr>
            <w:rStyle w:val="Hyperlink"/>
            <w:rFonts w:ascii="Verdana" w:eastAsiaTheme="majorEastAsia" w:hAnsi="Verdana"/>
          </w:rPr>
          <w:t>4573)</w:t>
        </w:r>
      </w:hyperlink>
      <w:r>
        <w:t>.</w:t>
      </w:r>
    </w:p>
    <w:p w14:paraId="05321303" w14:textId="77777777" w:rsidR="002752DF" w:rsidRDefault="002752DF" w:rsidP="002752DF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bookmarkStart w:id="14" w:name="OLE_LINK13"/>
    </w:p>
    <w:bookmarkStart w:id="15" w:name="_Updating_a_PBO"/>
    <w:bookmarkStart w:id="16" w:name="OLE_LINK20"/>
    <w:bookmarkEnd w:id="15"/>
    <w:p w14:paraId="6D1013B5" w14:textId="77777777" w:rsidR="002752DF" w:rsidRPr="00050D06" w:rsidRDefault="002752DF" w:rsidP="002752DF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050D06">
        <w:rPr>
          <w:rFonts w:ascii="Verdana" w:hAnsi="Verdana"/>
          <w:sz w:val="24"/>
          <w:szCs w:val="24"/>
        </w:rPr>
        <w:fldChar w:fldCharType="begin"/>
      </w:r>
      <w:r w:rsidRPr="00050D06">
        <w:rPr>
          <w:rFonts w:ascii="Verdana" w:hAnsi="Verdana"/>
          <w:sz w:val="24"/>
          <w:szCs w:val="24"/>
        </w:rPr>
        <w:instrText xml:space="preserve"> HYPERLINK  \l "_top" </w:instrText>
      </w:r>
      <w:r w:rsidRPr="00050D06">
        <w:rPr>
          <w:rFonts w:ascii="Verdana" w:hAnsi="Verdana"/>
          <w:sz w:val="24"/>
          <w:szCs w:val="24"/>
        </w:rPr>
      </w:r>
      <w:r w:rsidRPr="00050D06">
        <w:rPr>
          <w:rFonts w:ascii="Verdana" w:hAnsi="Verdana"/>
          <w:sz w:val="24"/>
          <w:szCs w:val="24"/>
        </w:rPr>
        <w:fldChar w:fldCharType="separate"/>
      </w:r>
      <w:r w:rsidRPr="00050D06">
        <w:rPr>
          <w:rStyle w:val="Hyperlink"/>
          <w:rFonts w:ascii="Verdana" w:hAnsi="Verdana"/>
          <w:sz w:val="24"/>
          <w:szCs w:val="24"/>
        </w:rPr>
        <w:t>Top of the Document</w:t>
      </w:r>
      <w:r w:rsidRPr="00050D06"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752DF" w:rsidRPr="002752DF" w14:paraId="18302BC2" w14:textId="77777777" w:rsidTr="000C0A6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D0FABF" w14:textId="77777777" w:rsidR="002752DF" w:rsidRPr="002752DF" w:rsidRDefault="002752DF" w:rsidP="000C0A61">
            <w:pPr>
              <w:pStyle w:val="Heading2"/>
              <w:spacing w:before="0" w:after="0"/>
              <w:rPr>
                <w:rFonts w:ascii="Verdana" w:hAnsi="Verdana"/>
                <w:b/>
                <w:bCs/>
                <w:i/>
                <w:color w:val="auto"/>
                <w:sz w:val="28"/>
                <w:szCs w:val="28"/>
              </w:rPr>
            </w:pPr>
            <w:bookmarkStart w:id="17" w:name="_Toc525628632"/>
            <w:bookmarkStart w:id="18" w:name="_Toc208405790"/>
            <w:r w:rsidRPr="002752DF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Related Document</w:t>
            </w:r>
            <w:bookmarkEnd w:id="17"/>
            <w:r w:rsidRPr="002752DF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s</w:t>
            </w:r>
            <w:bookmarkEnd w:id="18"/>
          </w:p>
        </w:tc>
      </w:tr>
    </w:tbl>
    <w:bookmarkStart w:id="19" w:name="OLE_LINK21"/>
    <w:bookmarkEnd w:id="10"/>
    <w:bookmarkEnd w:id="14"/>
    <w:bookmarkEnd w:id="16"/>
    <w:p w14:paraId="0B0B7810" w14:textId="5AC1CBDC" w:rsidR="002752DF" w:rsidRPr="002752DF" w:rsidRDefault="002752DF" w:rsidP="002752DF">
      <w:pPr>
        <w:pStyle w:val="ListParagraph"/>
        <w:numPr>
          <w:ilvl w:val="0"/>
          <w:numId w:val="5"/>
        </w:numPr>
        <w:spacing w:before="120" w:after="120" w:line="240" w:lineRule="auto"/>
        <w:ind w:left="360"/>
        <w:contextualSpacing w:val="0"/>
        <w:rPr>
          <w:rStyle w:val="Hyperlink"/>
          <w:rFonts w:ascii="Verdana" w:hAnsi="Verdana"/>
          <w:color w:val="auto"/>
          <w:sz w:val="24"/>
          <w:szCs w:val="24"/>
        </w:rPr>
      </w:pPr>
      <w:r w:rsidRPr="002752DF">
        <w:rPr>
          <w:rFonts w:ascii="Verdana" w:hAnsi="Verdana"/>
          <w:sz w:val="24"/>
          <w:szCs w:val="24"/>
        </w:rPr>
        <w:fldChar w:fldCharType="begin"/>
      </w:r>
      <w:r w:rsidRPr="002752DF">
        <w:rPr>
          <w:rFonts w:ascii="Verdana" w:hAnsi="Verdana"/>
          <w:sz w:val="24"/>
          <w:szCs w:val="24"/>
        </w:rPr>
        <w:instrText>HYPERLINK "https://thesource.cvshealth.com/nuxeo/thesource/" \l "!/view?docid=772063f7-03f8-400d-a07a-5c7f11d0a10a"</w:instrText>
      </w:r>
      <w:r w:rsidRPr="002752DF">
        <w:rPr>
          <w:rFonts w:ascii="Verdana" w:hAnsi="Verdana"/>
          <w:sz w:val="24"/>
          <w:szCs w:val="24"/>
        </w:rPr>
      </w:r>
      <w:r w:rsidRPr="002752DF">
        <w:rPr>
          <w:rFonts w:ascii="Verdana" w:hAnsi="Verdana"/>
          <w:sz w:val="24"/>
          <w:szCs w:val="24"/>
        </w:rPr>
        <w:fldChar w:fldCharType="separate"/>
      </w:r>
      <w:r w:rsidRPr="002752DF">
        <w:rPr>
          <w:rStyle w:val="Hyperlink"/>
          <w:rFonts w:ascii="Verdana" w:hAnsi="Verdana"/>
          <w:sz w:val="24"/>
          <w:szCs w:val="24"/>
        </w:rPr>
        <w:t>Test Claim</w:t>
      </w:r>
      <w:r w:rsidR="002457DA">
        <w:rPr>
          <w:rStyle w:val="Hyperlink"/>
          <w:rFonts w:ascii="Verdana" w:hAnsi="Verdana"/>
          <w:sz w:val="24"/>
          <w:szCs w:val="24"/>
        </w:rPr>
        <w:t>s</w:t>
      </w:r>
      <w:r w:rsidRPr="002752DF">
        <w:rPr>
          <w:rStyle w:val="Hyperlink"/>
          <w:rFonts w:ascii="Verdana" w:hAnsi="Verdana"/>
          <w:sz w:val="24"/>
          <w:szCs w:val="24"/>
        </w:rPr>
        <w:t xml:space="preserve"> Index (046965)</w:t>
      </w:r>
      <w:r w:rsidRPr="002752DF">
        <w:rPr>
          <w:rFonts w:ascii="Verdana" w:hAnsi="Verdana"/>
          <w:sz w:val="24"/>
          <w:szCs w:val="24"/>
        </w:rPr>
        <w:fldChar w:fldCharType="end"/>
      </w:r>
    </w:p>
    <w:bookmarkEnd w:id="19"/>
    <w:p w14:paraId="5209B555" w14:textId="78BD3159" w:rsidR="002752DF" w:rsidRPr="002752DF" w:rsidRDefault="002752DF" w:rsidP="002752DF">
      <w:pPr>
        <w:pStyle w:val="ListParagraph"/>
        <w:numPr>
          <w:ilvl w:val="0"/>
          <w:numId w:val="5"/>
        </w:numPr>
        <w:spacing w:before="120" w:after="120" w:line="240" w:lineRule="auto"/>
        <w:ind w:left="360"/>
        <w:contextualSpacing w:val="0"/>
        <w:rPr>
          <w:rFonts w:ascii="Verdana" w:hAnsi="Verdana"/>
          <w:b/>
          <w:sz w:val="24"/>
          <w:szCs w:val="24"/>
        </w:rPr>
      </w:pPr>
      <w:r w:rsidRPr="002752DF">
        <w:rPr>
          <w:rFonts w:ascii="Verdana" w:hAnsi="Verdana"/>
          <w:sz w:val="24"/>
          <w:szCs w:val="24"/>
        </w:rPr>
        <w:fldChar w:fldCharType="begin"/>
      </w:r>
      <w:r w:rsidR="002172BC">
        <w:rPr>
          <w:rFonts w:ascii="Verdana" w:hAnsi="Verdana"/>
          <w:sz w:val="24"/>
          <w:szCs w:val="24"/>
        </w:rPr>
        <w:instrText>HYPERLINK "https://thesource.cvshealth.com/nuxeo/thesource/" \l "!/view?docid=bdac0c67-5fee-47ba-a3aa-aab84900cf78"</w:instrText>
      </w:r>
      <w:r w:rsidR="002172BC" w:rsidRPr="002752DF">
        <w:rPr>
          <w:rFonts w:ascii="Verdana" w:hAnsi="Verdana"/>
          <w:sz w:val="24"/>
          <w:szCs w:val="24"/>
        </w:rPr>
      </w:r>
      <w:r w:rsidRPr="002752DF">
        <w:rPr>
          <w:rFonts w:ascii="Verdana" w:hAnsi="Verdana"/>
          <w:sz w:val="24"/>
          <w:szCs w:val="24"/>
        </w:rPr>
        <w:fldChar w:fldCharType="separate"/>
      </w:r>
      <w:r w:rsidRPr="002752DF">
        <w:rPr>
          <w:rStyle w:val="Hyperlink"/>
          <w:rFonts w:ascii="Verdana" w:hAnsi="Verdana"/>
          <w:sz w:val="24"/>
          <w:szCs w:val="24"/>
        </w:rPr>
        <w:t>Log Activity/Capture Activity Codes (005164)</w:t>
      </w:r>
      <w:r w:rsidRPr="002752DF">
        <w:rPr>
          <w:rFonts w:ascii="Verdana" w:hAnsi="Verdana"/>
          <w:sz w:val="24"/>
          <w:szCs w:val="24"/>
        </w:rPr>
        <w:fldChar w:fldCharType="end"/>
      </w:r>
      <w:r w:rsidRPr="002752DF">
        <w:rPr>
          <w:rFonts w:ascii="Verdana" w:hAnsi="Verdana"/>
          <w:sz w:val="24"/>
          <w:szCs w:val="24"/>
        </w:rPr>
        <w:t xml:space="preserve">   </w:t>
      </w:r>
    </w:p>
    <w:p w14:paraId="597E6E92" w14:textId="57B68AFE" w:rsidR="002752DF" w:rsidRPr="002752DF" w:rsidRDefault="002752DF" w:rsidP="002752DF">
      <w:pPr>
        <w:pStyle w:val="ListParagraph"/>
        <w:numPr>
          <w:ilvl w:val="0"/>
          <w:numId w:val="5"/>
        </w:numPr>
        <w:spacing w:before="120" w:after="120" w:line="240" w:lineRule="auto"/>
        <w:ind w:left="360"/>
        <w:contextualSpacing w:val="0"/>
        <w:rPr>
          <w:rFonts w:ascii="Verdana" w:hAnsi="Verdana"/>
          <w:b/>
          <w:sz w:val="24"/>
          <w:szCs w:val="24"/>
        </w:rPr>
      </w:pPr>
      <w:hyperlink r:id="rId14" w:anchor="!/view?docid=c1f1028b-e42c-4b4f-a4cf-cc0b42c91606" w:history="1">
        <w:r w:rsidRPr="002752DF">
          <w:rPr>
            <w:rStyle w:val="Hyperlink"/>
            <w:rFonts w:ascii="Verdana" w:eastAsia="Calibri" w:hAnsi="Verdana" w:cs="Verdana"/>
            <w:sz w:val="24"/>
            <w:szCs w:val="24"/>
          </w:rPr>
          <w:t>Customer Care Abbreviations, Definitions</w:t>
        </w:r>
        <w:r w:rsidR="002457DA">
          <w:rPr>
            <w:rStyle w:val="Hyperlink"/>
            <w:rFonts w:ascii="Verdana" w:eastAsia="Calibri" w:hAnsi="Verdana" w:cs="Verdana"/>
            <w:sz w:val="24"/>
            <w:szCs w:val="24"/>
          </w:rPr>
          <w:t>,</w:t>
        </w:r>
        <w:r w:rsidRPr="002752DF">
          <w:rPr>
            <w:rStyle w:val="Hyperlink"/>
            <w:rFonts w:ascii="Verdana" w:eastAsia="Calibri" w:hAnsi="Verdana" w:cs="Verdana"/>
            <w:sz w:val="24"/>
            <w:szCs w:val="24"/>
          </w:rPr>
          <w:t xml:space="preserve"> and Terms Index (017428)</w:t>
        </w:r>
      </w:hyperlink>
    </w:p>
    <w:p w14:paraId="6264B812" w14:textId="77777777" w:rsidR="002752DF" w:rsidRDefault="002752DF" w:rsidP="002752DF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050D0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4CF66CFF" w14:textId="77777777" w:rsidR="002752DF" w:rsidRPr="00DE7A25" w:rsidRDefault="002752DF" w:rsidP="002752DF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24C0400A" w14:textId="77777777" w:rsidR="002752DF" w:rsidRDefault="002752DF" w:rsidP="002752DF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E658B75" w14:textId="77777777" w:rsidR="002752DF" w:rsidRDefault="002752DF" w:rsidP="002752DF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18A400D1" w14:textId="77777777" w:rsidR="002752DF" w:rsidRDefault="002752DF" w:rsidP="002752DF"/>
    <w:p w14:paraId="795D85E2" w14:textId="77777777" w:rsidR="00A1653F" w:rsidRDefault="00A1653F"/>
    <w:sectPr w:rsidR="00A1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D58"/>
    <w:multiLevelType w:val="hybridMultilevel"/>
    <w:tmpl w:val="02501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3C32DC"/>
    <w:multiLevelType w:val="hybridMultilevel"/>
    <w:tmpl w:val="C6869E7C"/>
    <w:lvl w:ilvl="0" w:tplc="04090003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" w15:restartNumberingAfterBreak="0">
    <w:nsid w:val="37AD33B2"/>
    <w:multiLevelType w:val="hybridMultilevel"/>
    <w:tmpl w:val="C47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632C"/>
    <w:multiLevelType w:val="hybridMultilevel"/>
    <w:tmpl w:val="9AAE96F2"/>
    <w:lvl w:ilvl="0" w:tplc="04090003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4" w15:restartNumberingAfterBreak="0">
    <w:nsid w:val="71674C68"/>
    <w:multiLevelType w:val="hybridMultilevel"/>
    <w:tmpl w:val="E650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7296F"/>
    <w:multiLevelType w:val="hybridMultilevel"/>
    <w:tmpl w:val="1E48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49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088369">
    <w:abstractNumId w:val="0"/>
  </w:num>
  <w:num w:numId="2" w16cid:durableId="2083527154">
    <w:abstractNumId w:val="2"/>
  </w:num>
  <w:num w:numId="3" w16cid:durableId="2111660970">
    <w:abstractNumId w:val="3"/>
  </w:num>
  <w:num w:numId="4" w16cid:durableId="1777478616">
    <w:abstractNumId w:val="1"/>
  </w:num>
  <w:num w:numId="5" w16cid:durableId="1574897461">
    <w:abstractNumId w:val="5"/>
  </w:num>
  <w:num w:numId="6" w16cid:durableId="2018845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DF"/>
    <w:rsid w:val="0002127E"/>
    <w:rsid w:val="000908EA"/>
    <w:rsid w:val="001665CF"/>
    <w:rsid w:val="001832EB"/>
    <w:rsid w:val="00211A7C"/>
    <w:rsid w:val="002172BC"/>
    <w:rsid w:val="002457DA"/>
    <w:rsid w:val="002752DF"/>
    <w:rsid w:val="0029192F"/>
    <w:rsid w:val="002F2CDD"/>
    <w:rsid w:val="00426F5C"/>
    <w:rsid w:val="0043444D"/>
    <w:rsid w:val="005139B0"/>
    <w:rsid w:val="00620474"/>
    <w:rsid w:val="006A2B27"/>
    <w:rsid w:val="009F5C87"/>
    <w:rsid w:val="00A1653F"/>
    <w:rsid w:val="00A22259"/>
    <w:rsid w:val="00A37F67"/>
    <w:rsid w:val="00A7171C"/>
    <w:rsid w:val="00C45D87"/>
    <w:rsid w:val="00C51A02"/>
    <w:rsid w:val="00C77450"/>
    <w:rsid w:val="00D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98CE"/>
  <w15:chartTrackingRefBased/>
  <w15:docId w15:val="{F3374B8D-A2EA-4E8C-A8BF-188C3C09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2DF"/>
    <w:rPr>
      <w:rFonts w:eastAsia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7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7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2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2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2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2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52D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2752D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2D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DF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2DF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2DF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2DF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2DF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2DF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52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D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2D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7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2DF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5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2DF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752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2752D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2DF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paragraph" w:customStyle="1" w:styleId="style-scope">
    <w:name w:val="style-scope"/>
    <w:basedOn w:val="Normal"/>
    <w:rsid w:val="0027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665CF"/>
    <w:pPr>
      <w:spacing w:after="0" w:line="240" w:lineRule="auto"/>
    </w:pPr>
    <w:rPr>
      <w:rFonts w:eastAsiaTheme="minorHAns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hesource.cvshealth.com/nuxeo/thesourc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6</cp:revision>
  <dcterms:created xsi:type="dcterms:W3CDTF">2025-02-19T18:35:00Z</dcterms:created>
  <dcterms:modified xsi:type="dcterms:W3CDTF">2025-09-10T19:13:00Z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2025-02-19T18:37:37Z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da7a9075-9a4b-4182-af69-a825b537339b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