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C9465" w14:textId="77777777" w:rsidR="00064FB1" w:rsidRPr="00064FB1" w:rsidRDefault="00064FB1" w:rsidP="00064FB1">
      <w:pPr>
        <w:pStyle w:val="Heading1"/>
        <w:spacing w:before="120" w:after="120"/>
        <w:rPr>
          <w:rFonts w:ascii="Verdana" w:hAnsi="Verdana"/>
          <w:b/>
          <w:color w:val="auto"/>
          <w:sz w:val="36"/>
        </w:rPr>
      </w:pPr>
      <w:bookmarkStart w:id="0" w:name="_top"/>
      <w:bookmarkEnd w:id="0"/>
      <w:r w:rsidRPr="00064FB1">
        <w:rPr>
          <w:rFonts w:ascii="Verdana" w:hAnsi="Verdana"/>
          <w:b/>
          <w:color w:val="auto"/>
          <w:sz w:val="36"/>
        </w:rPr>
        <w:t>Compass – Disaster / State of Emergency Process</w:t>
      </w:r>
    </w:p>
    <w:p w14:paraId="04359EE4" w14:textId="77777777" w:rsidR="00064FB1" w:rsidRDefault="00064FB1" w:rsidP="00064FB1">
      <w:pPr>
        <w:pStyle w:val="TOC2"/>
        <w:rPr>
          <w:rFonts w:ascii="Verdana" w:hAnsi="Verdana"/>
        </w:rPr>
      </w:pPr>
    </w:p>
    <w:p w14:paraId="181D4D26" w14:textId="77777777" w:rsidR="00064FB1" w:rsidRPr="001D1377" w:rsidRDefault="00064FB1" w:rsidP="001D1377">
      <w:pPr>
        <w:rPr>
          <w:rFonts w:ascii="Verdana" w:eastAsiaTheme="minorEastAsia" w:hAnsi="Verdana" w:cstheme="minorBidi"/>
          <w:noProof/>
          <w:kern w:val="2"/>
          <w14:ligatures w14:val="standardContextual"/>
        </w:rPr>
      </w:pPr>
      <w:r w:rsidRPr="001D1377">
        <w:rPr>
          <w:rFonts w:ascii="Verdana" w:hAnsi="Verdana"/>
        </w:rPr>
        <w:fldChar w:fldCharType="begin"/>
      </w:r>
      <w:r w:rsidRPr="001D1377">
        <w:rPr>
          <w:rFonts w:ascii="Verdana" w:hAnsi="Verdana"/>
        </w:rPr>
        <w:instrText xml:space="preserve"> TOC \o "2-2" \n \p " " \h \z \u </w:instrText>
      </w:r>
      <w:r w:rsidRPr="001D1377">
        <w:rPr>
          <w:rFonts w:ascii="Verdana" w:hAnsi="Verdana"/>
        </w:rPr>
        <w:fldChar w:fldCharType="separate"/>
      </w:r>
      <w:hyperlink w:anchor="_Toc189742733" w:history="1">
        <w:r w:rsidRPr="001D1377">
          <w:rPr>
            <w:rStyle w:val="Hyperlink"/>
            <w:rFonts w:ascii="Verdana" w:eastAsiaTheme="majorEastAsia" w:hAnsi="Verdana"/>
            <w:noProof/>
          </w:rPr>
          <w:t>Reminders</w:t>
        </w:r>
      </w:hyperlink>
    </w:p>
    <w:p w14:paraId="372566C0" w14:textId="77777777" w:rsidR="00064FB1" w:rsidRPr="001D1377" w:rsidRDefault="00064FB1" w:rsidP="001D1377">
      <w:pPr>
        <w:rPr>
          <w:rFonts w:ascii="Verdana" w:eastAsiaTheme="minorEastAsia" w:hAnsi="Verdana" w:cstheme="minorBidi"/>
          <w:noProof/>
          <w:kern w:val="2"/>
          <w14:ligatures w14:val="standardContextual"/>
        </w:rPr>
      </w:pPr>
      <w:hyperlink w:anchor="_Toc189742734" w:history="1">
        <w:r w:rsidRPr="001D1377">
          <w:rPr>
            <w:rStyle w:val="Hyperlink"/>
            <w:rFonts w:ascii="Verdana" w:eastAsiaTheme="majorEastAsia" w:hAnsi="Verdana"/>
            <w:noProof/>
          </w:rPr>
          <w:t>Process</w:t>
        </w:r>
      </w:hyperlink>
    </w:p>
    <w:p w14:paraId="30E39337" w14:textId="77777777" w:rsidR="00064FB1" w:rsidRPr="001D1377" w:rsidRDefault="00064FB1" w:rsidP="001D1377">
      <w:pPr>
        <w:rPr>
          <w:rFonts w:ascii="Verdana" w:eastAsiaTheme="minorEastAsia" w:hAnsi="Verdana" w:cstheme="minorBidi"/>
          <w:noProof/>
          <w:kern w:val="2"/>
          <w14:ligatures w14:val="standardContextual"/>
        </w:rPr>
      </w:pPr>
      <w:hyperlink w:anchor="_Toc189742735" w:history="1">
        <w:r w:rsidRPr="001D1377">
          <w:rPr>
            <w:rStyle w:val="Hyperlink"/>
            <w:rFonts w:ascii="Verdana" w:eastAsiaTheme="majorEastAsia" w:hAnsi="Verdana"/>
            <w:noProof/>
          </w:rPr>
          <w:t>State-Specific Day Supply Allowances</w:t>
        </w:r>
      </w:hyperlink>
    </w:p>
    <w:p w14:paraId="2593790D" w14:textId="77777777" w:rsidR="00064FB1" w:rsidRPr="001D1377" w:rsidRDefault="00064FB1" w:rsidP="001D1377">
      <w:pPr>
        <w:rPr>
          <w:rFonts w:ascii="Verdana" w:eastAsiaTheme="minorEastAsia" w:hAnsi="Verdana" w:cstheme="minorBidi"/>
          <w:noProof/>
          <w:kern w:val="2"/>
          <w14:ligatures w14:val="standardContextual"/>
        </w:rPr>
      </w:pPr>
      <w:hyperlink w:anchor="_Toc189742736" w:history="1">
        <w:r w:rsidRPr="001D1377">
          <w:rPr>
            <w:rStyle w:val="Hyperlink"/>
            <w:rFonts w:ascii="Verdana" w:eastAsiaTheme="majorEastAsia" w:hAnsi="Verdana"/>
            <w:noProof/>
          </w:rPr>
          <w:t>Q&amp;A</w:t>
        </w:r>
      </w:hyperlink>
    </w:p>
    <w:p w14:paraId="2597B9EC" w14:textId="77777777" w:rsidR="00064FB1" w:rsidRPr="001D1377" w:rsidRDefault="00064FB1" w:rsidP="001D1377">
      <w:pPr>
        <w:rPr>
          <w:rFonts w:ascii="Verdana" w:eastAsiaTheme="minorEastAsia" w:hAnsi="Verdana" w:cstheme="minorBidi"/>
          <w:noProof/>
          <w:kern w:val="2"/>
          <w14:ligatures w14:val="standardContextual"/>
        </w:rPr>
      </w:pPr>
      <w:hyperlink w:anchor="_Toc189742737" w:history="1">
        <w:r w:rsidRPr="001D1377">
          <w:rPr>
            <w:rStyle w:val="Hyperlink"/>
            <w:rFonts w:ascii="Verdana" w:eastAsiaTheme="majorEastAsia" w:hAnsi="Verdana"/>
            <w:noProof/>
          </w:rPr>
          <w:t>Related Document</w:t>
        </w:r>
      </w:hyperlink>
    </w:p>
    <w:p w14:paraId="48C4502D" w14:textId="77777777" w:rsidR="00064FB1" w:rsidRDefault="00064FB1" w:rsidP="001D1377">
      <w:r w:rsidRPr="001D1377">
        <w:rPr>
          <w:rFonts w:ascii="Verdana" w:hAnsi="Verdana"/>
        </w:rPr>
        <w:fldChar w:fldCharType="end"/>
      </w:r>
    </w:p>
    <w:p w14:paraId="2E44A617" w14:textId="77777777" w:rsidR="00064FB1" w:rsidRPr="00FE5B77" w:rsidRDefault="00064FB1" w:rsidP="00064FB1">
      <w:pPr>
        <w:rPr>
          <w:rFonts w:ascii="Verdana" w:hAnsi="Verdana"/>
        </w:rPr>
      </w:pPr>
    </w:p>
    <w:p w14:paraId="1AA48EBC" w14:textId="77777777" w:rsidR="00064FB1" w:rsidRPr="00B85F36" w:rsidRDefault="00064FB1" w:rsidP="00064FB1">
      <w:pPr>
        <w:spacing w:before="120" w:after="120"/>
      </w:pPr>
      <w:bookmarkStart w:id="1" w:name="_Overview"/>
      <w:bookmarkEnd w:id="1"/>
      <w:r w:rsidRPr="005D63E1">
        <w:rPr>
          <w:rFonts w:ascii="Verdana" w:hAnsi="Verdana"/>
          <w:b/>
          <w:bCs/>
        </w:rPr>
        <w:t>Description:</w:t>
      </w:r>
      <w:r>
        <w:rPr>
          <w:rFonts w:ascii="Verdana" w:hAnsi="Verdana"/>
        </w:rPr>
        <w:t xml:space="preserve">  Actions taken to assist members in the event of a Disaster/State of Emergency. This may include natural disasters, hurricanes, floods, earthquakes, pandemics, etc. </w:t>
      </w:r>
      <w:r w:rsidRPr="00853F5A">
        <w:rPr>
          <w:rFonts w:ascii="Verdana" w:hAnsi="Verdana"/>
        </w:rPr>
        <w:t>Th</w:t>
      </w:r>
      <w:r>
        <w:rPr>
          <w:rFonts w:ascii="Verdana" w:hAnsi="Verdana"/>
        </w:rPr>
        <w:t xml:space="preserve">is process will ensure the member is not </w:t>
      </w:r>
      <w:r w:rsidRPr="00853F5A">
        <w:rPr>
          <w:rFonts w:ascii="Verdana" w:hAnsi="Verdana"/>
        </w:rPr>
        <w:t>deprived of medication during the emergency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5348" w:rsidRPr="00485348" w14:paraId="64213EDC" w14:textId="77777777" w:rsidTr="00232DB4">
        <w:tc>
          <w:tcPr>
            <w:tcW w:w="5000" w:type="pct"/>
            <w:shd w:val="clear" w:color="auto" w:fill="BFBFBF" w:themeFill="background1" w:themeFillShade="BF"/>
          </w:tcPr>
          <w:p w14:paraId="360475A0" w14:textId="77777777" w:rsidR="00064FB1" w:rsidRPr="00485348" w:rsidRDefault="00064FB1" w:rsidP="00232DB4">
            <w:pPr>
              <w:pStyle w:val="Heading2"/>
              <w:spacing w:before="120" w:after="120"/>
              <w:rPr>
                <w:rFonts w:ascii="Verdana" w:hAnsi="Verdana"/>
                <w:b/>
                <w:bCs/>
                <w:i/>
                <w:iCs/>
                <w:color w:val="000000" w:themeColor="text1"/>
                <w:sz w:val="28"/>
                <w:szCs w:val="28"/>
              </w:rPr>
            </w:pPr>
            <w:bookmarkStart w:id="2" w:name="_Toc189742733"/>
            <w:r w:rsidRPr="00485348">
              <w:rPr>
                <w:rFonts w:ascii="Verdana" w:hAnsi="Verdana"/>
                <w:b/>
                <w:bCs/>
                <w:color w:val="000000" w:themeColor="text1"/>
                <w:sz w:val="28"/>
                <w:szCs w:val="28"/>
              </w:rPr>
              <w:t>Reminders</w:t>
            </w:r>
            <w:bookmarkEnd w:id="2"/>
          </w:p>
        </w:tc>
      </w:tr>
    </w:tbl>
    <w:p w14:paraId="6A755F8D" w14:textId="77777777" w:rsidR="00064FB1" w:rsidRPr="003D54DF" w:rsidRDefault="00064FB1" w:rsidP="00064FB1">
      <w:pPr>
        <w:spacing w:before="120" w:after="120"/>
        <w:rPr>
          <w:rFonts w:ascii="Verdana" w:hAnsi="Verdana"/>
          <w:color w:val="000000"/>
        </w:rPr>
      </w:pPr>
    </w:p>
    <w:p w14:paraId="33DF9810" w14:textId="77777777" w:rsidR="00064FB1" w:rsidRPr="00FB34BE" w:rsidRDefault="00064FB1" w:rsidP="00064FB1">
      <w:pPr>
        <w:spacing w:before="120" w:after="120"/>
        <w:rPr>
          <w:rFonts w:ascii="Verdana" w:hAnsi="Verdana"/>
          <w:b/>
          <w:color w:val="000000"/>
        </w:rPr>
      </w:pPr>
      <w:r w:rsidRPr="00FE5B77">
        <w:rPr>
          <w:rFonts w:ascii="Verdana" w:hAnsi="Verdana"/>
          <w:b/>
          <w:color w:val="000000"/>
        </w:rPr>
        <w:t>All Other Disaster</w:t>
      </w:r>
      <w:r>
        <w:rPr>
          <w:rFonts w:ascii="Verdana" w:hAnsi="Verdana"/>
          <w:b/>
          <w:color w:val="000000"/>
        </w:rPr>
        <w:t xml:space="preserve"> Emergencies</w:t>
      </w:r>
      <w:r w:rsidRPr="00FE5B77">
        <w:rPr>
          <w:rFonts w:ascii="Verdana" w:hAnsi="Verdana"/>
          <w:b/>
          <w:color w:val="000000"/>
        </w:rPr>
        <w:t>:</w:t>
      </w:r>
      <w:r>
        <w:rPr>
          <w:rFonts w:ascii="Verdana" w:hAnsi="Verdana"/>
          <w:b/>
          <w:color w:val="000000"/>
        </w:rPr>
        <w:t xml:space="preserve"> </w:t>
      </w:r>
    </w:p>
    <w:p w14:paraId="23D9709C" w14:textId="77777777" w:rsidR="00064FB1" w:rsidRPr="00BA32C8" w:rsidRDefault="00064FB1" w:rsidP="00064FB1">
      <w:pPr>
        <w:spacing w:before="120" w:after="120"/>
        <w:rPr>
          <w:rFonts w:ascii="Verdana" w:hAnsi="Verdana"/>
          <w:color w:val="000000"/>
        </w:rPr>
      </w:pPr>
      <w:r>
        <w:rPr>
          <w:rFonts w:ascii="Verdana" w:hAnsi="Verdana"/>
          <w:color w:val="000000"/>
        </w:rPr>
        <w:t>We</w:t>
      </w:r>
      <w:r w:rsidRPr="00BA32C8">
        <w:rPr>
          <w:rFonts w:ascii="Verdana" w:hAnsi="Verdana"/>
          <w:color w:val="000000"/>
        </w:rPr>
        <w:t xml:space="preserve"> will allow early refill overrides, when appropriate, for members impacted in affected areas.</w:t>
      </w:r>
      <w:r>
        <w:rPr>
          <w:rFonts w:ascii="Verdana" w:hAnsi="Verdana"/>
          <w:color w:val="000000"/>
        </w:rPr>
        <w:t xml:space="preserve"> </w:t>
      </w:r>
      <w:r w:rsidRPr="00BA32C8">
        <w:rPr>
          <w:rFonts w:ascii="Verdana" w:hAnsi="Verdana"/>
          <w:color w:val="000000"/>
        </w:rPr>
        <w:t xml:space="preserve">Members will be responsible for paying the copay for the prescription. The member can receive a 10-day supply, or a greater amount if authorized by the </w:t>
      </w:r>
      <w:r>
        <w:rPr>
          <w:rFonts w:ascii="Verdana" w:hAnsi="Verdana"/>
          <w:color w:val="000000"/>
        </w:rPr>
        <w:t>S</w:t>
      </w:r>
      <w:r w:rsidRPr="00BA32C8">
        <w:rPr>
          <w:rFonts w:ascii="Verdana" w:hAnsi="Verdana"/>
          <w:color w:val="000000"/>
        </w:rPr>
        <w:t>tate’s Declaration of Emergency</w:t>
      </w:r>
      <w:r>
        <w:rPr>
          <w:rFonts w:ascii="Verdana" w:hAnsi="Verdana"/>
          <w:color w:val="000000"/>
        </w:rPr>
        <w:t xml:space="preserve"> (</w:t>
      </w:r>
      <w:r>
        <w:rPr>
          <w:rFonts w:ascii="Verdana" w:hAnsi="Verdana"/>
        </w:rPr>
        <w:t>refer to</w:t>
      </w:r>
      <w:r>
        <w:rPr>
          <w:rFonts w:ascii="Verdana" w:hAnsi="Verdana"/>
          <w:color w:val="000000"/>
        </w:rPr>
        <w:t xml:space="preserve"> </w:t>
      </w:r>
      <w:hyperlink w:anchor="_State-Specific_Day_Supply" w:history="1">
        <w:r w:rsidRPr="00CE4CFF">
          <w:rPr>
            <w:rStyle w:val="Hyperlink"/>
            <w:rFonts w:ascii="Verdana" w:eastAsiaTheme="majorEastAsia" w:hAnsi="Verdana"/>
          </w:rPr>
          <w:t>State-Specific Day Supply Allowances</w:t>
        </w:r>
      </w:hyperlink>
      <w:r>
        <w:rPr>
          <w:rFonts w:ascii="Verdana" w:hAnsi="Verdana"/>
          <w:color w:val="000000"/>
        </w:rPr>
        <w:t>).</w:t>
      </w:r>
    </w:p>
    <w:p w14:paraId="67C1DF7F" w14:textId="77777777" w:rsidR="00064FB1" w:rsidRPr="00AA1D11" w:rsidRDefault="00064FB1" w:rsidP="00064FB1">
      <w:pPr>
        <w:numPr>
          <w:ilvl w:val="0"/>
          <w:numId w:val="1"/>
        </w:numPr>
        <w:spacing w:before="120" w:after="120"/>
        <w:ind w:left="540"/>
        <w:rPr>
          <w:rFonts w:ascii="Verdana" w:hAnsi="Verdana"/>
          <w:color w:val="000000"/>
        </w:rPr>
      </w:pPr>
      <w:r w:rsidRPr="00BA32C8">
        <w:rPr>
          <w:rFonts w:ascii="Verdana" w:hAnsi="Verdana"/>
          <w:color w:val="000000"/>
        </w:rPr>
        <w:t>Clients may authorize a greater day supply or waive the member copay.</w:t>
      </w:r>
      <w:r>
        <w:rPr>
          <w:rFonts w:ascii="Verdana" w:hAnsi="Verdana"/>
          <w:color w:val="000000"/>
        </w:rPr>
        <w:t xml:space="preserve"> </w:t>
      </w:r>
      <w:r w:rsidRPr="00BA32C8">
        <w:rPr>
          <w:rFonts w:ascii="Verdana" w:hAnsi="Verdana"/>
          <w:color w:val="000000"/>
        </w:rPr>
        <w:t>If so, this will be indicated in the CIF.</w:t>
      </w:r>
    </w:p>
    <w:p w14:paraId="13A7E847" w14:textId="77777777" w:rsidR="00064FB1" w:rsidRDefault="00064FB1" w:rsidP="00064FB1">
      <w:pPr>
        <w:numPr>
          <w:ilvl w:val="0"/>
          <w:numId w:val="1"/>
        </w:numPr>
        <w:spacing w:before="120" w:after="120"/>
        <w:ind w:left="540"/>
        <w:rPr>
          <w:rFonts w:ascii="Verdana" w:hAnsi="Verdana"/>
          <w:color w:val="000000"/>
        </w:rPr>
      </w:pPr>
      <w:r>
        <w:rPr>
          <w:rFonts w:ascii="Verdana" w:hAnsi="Verdana"/>
          <w:color w:val="000000"/>
        </w:rPr>
        <w:t>Clients may opt to Turn ON the SCC-13 code to allow claims to process without the need for an override for some medications.</w:t>
      </w:r>
    </w:p>
    <w:p w14:paraId="2B8696CE" w14:textId="77777777" w:rsidR="00064FB1" w:rsidRDefault="00064FB1" w:rsidP="00064FB1">
      <w:pPr>
        <w:spacing w:before="120" w:after="120"/>
        <w:rPr>
          <w:rFonts w:ascii="Verdana" w:hAnsi="Verdana"/>
          <w:color w:val="000000"/>
        </w:rPr>
      </w:pPr>
    </w:p>
    <w:p w14:paraId="65541A5A" w14:textId="202B9489" w:rsidR="00064FB1" w:rsidRDefault="00064FB1" w:rsidP="00064FB1">
      <w:pPr>
        <w:spacing w:before="120" w:after="120"/>
        <w:rPr>
          <w:rFonts w:ascii="Verdana" w:hAnsi="Verdana"/>
          <w:color w:val="000000"/>
          <w:shd w:val="clear" w:color="auto" w:fill="FFFFFF"/>
        </w:rPr>
      </w:pPr>
      <w:r>
        <w:t xml:space="preserve"> </w:t>
      </w:r>
      <w:r>
        <w:rPr>
          <w:noProof/>
        </w:rPr>
        <w:drawing>
          <wp:inline distT="0" distB="0" distL="0" distR="0" wp14:anchorId="13F42282" wp14:editId="1C7D412B">
            <wp:extent cx="238125" cy="209550"/>
            <wp:effectExtent l="0" t="0" r="9525" b="0"/>
            <wp:docPr id="10027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olor w:val="000000"/>
          <w:shd w:val="clear" w:color="auto" w:fill="FFFFFF"/>
        </w:rPr>
        <w:t xml:space="preserve"> Make sure the </w:t>
      </w:r>
      <w:r w:rsidR="00C97BCE">
        <w:rPr>
          <w:rFonts w:ascii="Verdana" w:hAnsi="Verdana"/>
          <w:color w:val="000000"/>
          <w:shd w:val="clear" w:color="auto" w:fill="FFFFFF"/>
        </w:rPr>
        <w:t>members’</w:t>
      </w:r>
      <w:r>
        <w:rPr>
          <w:rFonts w:ascii="Verdana" w:hAnsi="Verdana"/>
          <w:color w:val="000000"/>
          <w:shd w:val="clear" w:color="auto" w:fill="FFFFFF"/>
        </w:rPr>
        <w:t xml:space="preserve"> demographic information is up to date and they are set up for CMP Alerts to receive notifications. </w:t>
      </w:r>
    </w:p>
    <w:p w14:paraId="6683CD67" w14:textId="77777777" w:rsidR="00064FB1" w:rsidRPr="00627EFB" w:rsidRDefault="00064FB1" w:rsidP="00064FB1">
      <w:pPr>
        <w:spacing w:before="120" w:after="120"/>
        <w:rPr>
          <w:rFonts w:ascii="Verdana" w:hAnsi="Verdana"/>
          <w:color w:val="000000"/>
        </w:rPr>
      </w:pPr>
    </w:p>
    <w:p w14:paraId="696BD908" w14:textId="77777777" w:rsidR="00064FB1" w:rsidRDefault="00064FB1" w:rsidP="00064FB1">
      <w:pPr>
        <w:spacing w:before="120" w:after="120"/>
        <w:rPr>
          <w:rFonts w:ascii="Verdana" w:hAnsi="Verdana"/>
          <w:color w:val="000000"/>
        </w:rPr>
      </w:pPr>
      <w:r w:rsidRPr="004F0A1E">
        <w:rPr>
          <w:rFonts w:ascii="Verdana" w:hAnsi="Verdana"/>
          <w:color w:val="000000"/>
        </w:rPr>
        <w:t xml:space="preserve">For members who may be in other areas that do not have a formal Declaration of Emergency, the CCR will review the CIF to determine what </w:t>
      </w:r>
      <w:r>
        <w:rPr>
          <w:rFonts w:ascii="Verdana" w:hAnsi="Verdana"/>
          <w:color w:val="000000"/>
        </w:rPr>
        <w:t xml:space="preserve">other </w:t>
      </w:r>
      <w:r w:rsidRPr="004F0A1E">
        <w:rPr>
          <w:rFonts w:ascii="Verdana" w:hAnsi="Verdana"/>
          <w:color w:val="000000"/>
        </w:rPr>
        <w:t>options are available.</w:t>
      </w:r>
      <w:r w:rsidRPr="00BA32C8">
        <w:rPr>
          <w:rFonts w:ascii="Verdana" w:hAnsi="Verdana"/>
          <w:color w:val="000000"/>
        </w:rPr>
        <w:t xml:space="preserve"> </w:t>
      </w:r>
    </w:p>
    <w:p w14:paraId="69720855" w14:textId="77777777" w:rsidR="00064FB1" w:rsidRPr="00AA1D11" w:rsidRDefault="00064FB1" w:rsidP="00064FB1">
      <w:pPr>
        <w:spacing w:before="120" w:after="120"/>
        <w:rPr>
          <w:rFonts w:ascii="Verdana" w:hAnsi="Verdana"/>
          <w:color w:val="000000"/>
        </w:rPr>
      </w:pPr>
    </w:p>
    <w:p w14:paraId="56B68B74" w14:textId="77777777" w:rsidR="00064FB1" w:rsidRPr="009A62D8" w:rsidRDefault="00064FB1" w:rsidP="00064FB1">
      <w:pPr>
        <w:jc w:val="right"/>
        <w:rPr>
          <w:rFonts w:ascii="Verdana" w:hAnsi="Verdana"/>
        </w:rPr>
      </w:pPr>
      <w:hyperlink w:anchor="_top" w:history="1">
        <w:r w:rsidRPr="009A62D8">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64FB1" w:rsidRPr="00064FB1" w14:paraId="04B634C2" w14:textId="77777777" w:rsidTr="00232DB4">
        <w:tc>
          <w:tcPr>
            <w:tcW w:w="5000" w:type="pct"/>
            <w:shd w:val="clear" w:color="auto" w:fill="BFBFBF" w:themeFill="background1" w:themeFillShade="BF"/>
          </w:tcPr>
          <w:p w14:paraId="3410D488" w14:textId="77777777" w:rsidR="00064FB1" w:rsidRPr="00064FB1" w:rsidRDefault="00064FB1" w:rsidP="00232DB4">
            <w:pPr>
              <w:pStyle w:val="Heading2"/>
              <w:spacing w:before="120" w:after="120"/>
              <w:rPr>
                <w:rFonts w:ascii="Verdana" w:hAnsi="Verdana"/>
                <w:b/>
                <w:bCs/>
                <w:i/>
                <w:iCs/>
                <w:color w:val="000000" w:themeColor="text1"/>
                <w:sz w:val="28"/>
                <w:szCs w:val="28"/>
              </w:rPr>
            </w:pPr>
            <w:bookmarkStart w:id="3" w:name="_Various_Work_Instructions"/>
            <w:bookmarkStart w:id="4" w:name="_Process"/>
            <w:bookmarkStart w:id="5" w:name="_Various_Work_Instructions1"/>
            <w:bookmarkStart w:id="6" w:name="_Various_Work_Instructions_1"/>
            <w:bookmarkStart w:id="7" w:name="_PeopleSafe_(LINKS)_Process"/>
            <w:bookmarkStart w:id="8" w:name="_Toc189742734"/>
            <w:bookmarkEnd w:id="3"/>
            <w:bookmarkEnd w:id="4"/>
            <w:bookmarkEnd w:id="5"/>
            <w:bookmarkEnd w:id="6"/>
            <w:bookmarkEnd w:id="7"/>
            <w:r w:rsidRPr="00064FB1">
              <w:rPr>
                <w:rFonts w:ascii="Verdana" w:hAnsi="Verdana"/>
                <w:b/>
                <w:bCs/>
                <w:color w:val="000000" w:themeColor="text1"/>
                <w:sz w:val="28"/>
                <w:szCs w:val="28"/>
              </w:rPr>
              <w:t>Process</w:t>
            </w:r>
            <w:bookmarkEnd w:id="8"/>
          </w:p>
        </w:tc>
      </w:tr>
    </w:tbl>
    <w:p w14:paraId="321CCFA6" w14:textId="77777777" w:rsidR="00064FB1" w:rsidRDefault="00064FB1" w:rsidP="00064FB1">
      <w:pPr>
        <w:spacing w:before="120" w:after="120"/>
        <w:rPr>
          <w:rFonts w:ascii="Verdana" w:hAnsi="Verdana"/>
        </w:rPr>
      </w:pPr>
      <w:r>
        <w:rPr>
          <w:rFonts w:ascii="Verdana" w:hAnsi="Verdana"/>
        </w:rPr>
        <w:t>Complete the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8"/>
        <w:gridCol w:w="1389"/>
        <w:gridCol w:w="1290"/>
        <w:gridCol w:w="1094"/>
        <w:gridCol w:w="112"/>
        <w:gridCol w:w="767"/>
        <w:gridCol w:w="2092"/>
        <w:gridCol w:w="5518"/>
      </w:tblGrid>
      <w:tr w:rsidR="00064FB1" w14:paraId="746C2F6D" w14:textId="77777777" w:rsidTr="00DC5BE7">
        <w:tc>
          <w:tcPr>
            <w:tcW w:w="266" w:type="pct"/>
            <w:shd w:val="clear" w:color="auto" w:fill="D9D9D9" w:themeFill="background1" w:themeFillShade="D9"/>
          </w:tcPr>
          <w:p w14:paraId="1656D372" w14:textId="77777777" w:rsidR="00064FB1" w:rsidRDefault="00064FB1" w:rsidP="00232DB4">
            <w:pPr>
              <w:spacing w:before="120" w:after="120"/>
              <w:jc w:val="center"/>
              <w:rPr>
                <w:rFonts w:ascii="Verdana" w:hAnsi="Verdana"/>
                <w:b/>
              </w:rPr>
            </w:pPr>
            <w:r>
              <w:rPr>
                <w:rFonts w:ascii="Verdana" w:hAnsi="Verdana"/>
                <w:b/>
              </w:rPr>
              <w:t>Step</w:t>
            </w:r>
          </w:p>
        </w:tc>
        <w:tc>
          <w:tcPr>
            <w:tcW w:w="4734" w:type="pct"/>
            <w:gridSpan w:val="7"/>
            <w:shd w:val="clear" w:color="auto" w:fill="D9D9D9" w:themeFill="background1" w:themeFillShade="D9"/>
          </w:tcPr>
          <w:p w14:paraId="1BFA8279" w14:textId="77777777" w:rsidR="00064FB1" w:rsidRDefault="00064FB1" w:rsidP="00232DB4">
            <w:pPr>
              <w:spacing w:before="120" w:after="120"/>
              <w:jc w:val="center"/>
              <w:rPr>
                <w:rFonts w:ascii="Verdana" w:hAnsi="Verdana"/>
                <w:b/>
              </w:rPr>
            </w:pPr>
            <w:r>
              <w:rPr>
                <w:rFonts w:ascii="Verdana" w:hAnsi="Verdana"/>
                <w:b/>
              </w:rPr>
              <w:t>Action</w:t>
            </w:r>
          </w:p>
        </w:tc>
      </w:tr>
      <w:tr w:rsidR="00064FB1" w14:paraId="615215E9" w14:textId="77777777" w:rsidTr="00DC5BE7">
        <w:trPr>
          <w:cantSplit/>
          <w:trHeight w:val="1313"/>
        </w:trPr>
        <w:tc>
          <w:tcPr>
            <w:tcW w:w="266" w:type="pct"/>
            <w:vMerge w:val="restart"/>
          </w:tcPr>
          <w:p w14:paraId="75644FC5" w14:textId="77777777" w:rsidR="00064FB1" w:rsidRPr="00756392" w:rsidRDefault="00064FB1" w:rsidP="00232DB4">
            <w:pPr>
              <w:spacing w:before="120" w:after="120"/>
              <w:jc w:val="center"/>
              <w:rPr>
                <w:rFonts w:ascii="Verdana" w:hAnsi="Verdana"/>
                <w:b/>
              </w:rPr>
            </w:pPr>
            <w:r w:rsidRPr="00756392">
              <w:rPr>
                <w:rFonts w:ascii="Verdana" w:hAnsi="Verdana"/>
                <w:b/>
              </w:rPr>
              <w:t xml:space="preserve">1 </w:t>
            </w:r>
          </w:p>
        </w:tc>
        <w:tc>
          <w:tcPr>
            <w:tcW w:w="4734" w:type="pct"/>
            <w:gridSpan w:val="7"/>
            <w:tcBorders>
              <w:bottom w:val="single" w:sz="4" w:space="0" w:color="auto"/>
            </w:tcBorders>
          </w:tcPr>
          <w:p w14:paraId="24553D6B" w14:textId="77777777" w:rsidR="00064FB1" w:rsidRPr="00756392" w:rsidRDefault="00064FB1" w:rsidP="00232DB4">
            <w:pPr>
              <w:spacing w:before="120" w:after="120"/>
              <w:rPr>
                <w:rFonts w:ascii="Verdana" w:hAnsi="Verdana"/>
                <w:color w:val="000000"/>
              </w:rPr>
            </w:pPr>
            <w:r w:rsidRPr="00756392">
              <w:rPr>
                <w:rFonts w:ascii="Verdana" w:hAnsi="Verdana"/>
                <w:color w:val="000000"/>
              </w:rPr>
              <w:t xml:space="preserve">Review the </w:t>
            </w:r>
            <w:r w:rsidRPr="00132995">
              <w:rPr>
                <w:rFonts w:ascii="Verdana" w:hAnsi="Verdana"/>
              </w:rPr>
              <w:t>Disaster Recovery/Severe Weather chart below</w:t>
            </w:r>
            <w:r w:rsidRPr="00756392">
              <w:rPr>
                <w:rFonts w:ascii="Verdana" w:hAnsi="Verdana"/>
                <w:color w:val="000000"/>
              </w:rPr>
              <w:t xml:space="preserve"> to determine if a disaster/state of emergency has been declared in the member’s area.</w:t>
            </w:r>
          </w:p>
          <w:p w14:paraId="7521E74B" w14:textId="77777777" w:rsidR="00064FB1" w:rsidRPr="00756392" w:rsidRDefault="00064FB1" w:rsidP="00232DB4">
            <w:pPr>
              <w:spacing w:before="120" w:after="120"/>
              <w:rPr>
                <w:rFonts w:ascii="Verdana" w:hAnsi="Verdana"/>
                <w:color w:val="000000"/>
              </w:rPr>
            </w:pPr>
          </w:p>
          <w:p w14:paraId="30B315A5" w14:textId="77777777" w:rsidR="00064FB1" w:rsidRPr="00756392" w:rsidRDefault="00064FB1" w:rsidP="00232DB4">
            <w:pPr>
              <w:spacing w:before="120" w:after="120"/>
              <w:rPr>
                <w:rFonts w:ascii="Verdana" w:hAnsi="Verdana"/>
                <w:color w:val="000000"/>
              </w:rPr>
            </w:pPr>
            <w:r w:rsidRPr="00756392">
              <w:rPr>
                <w:rFonts w:ascii="Verdana" w:hAnsi="Verdana"/>
                <w:b/>
              </w:rPr>
              <w:t>Note:</w:t>
            </w:r>
            <w:r w:rsidRPr="00756392">
              <w:rPr>
                <w:rFonts w:ascii="Verdana" w:hAnsi="Verdana"/>
              </w:rPr>
              <w:t xml:space="preserve"> </w:t>
            </w:r>
            <w:r>
              <w:rPr>
                <w:rFonts w:ascii="Verdana" w:hAnsi="Verdana"/>
              </w:rPr>
              <w:t xml:space="preserve"> </w:t>
            </w:r>
            <w:r w:rsidRPr="00756392">
              <w:rPr>
                <w:rFonts w:ascii="Verdana" w:hAnsi="Verdana"/>
              </w:rPr>
              <w:t>Notifications are listed on this chart for 30 days.</w:t>
            </w:r>
          </w:p>
        </w:tc>
      </w:tr>
      <w:tr w:rsidR="00DC5BE7" w14:paraId="52BDED91" w14:textId="77777777" w:rsidTr="00DC5BE7">
        <w:trPr>
          <w:cantSplit/>
          <w:trHeight w:val="440"/>
        </w:trPr>
        <w:tc>
          <w:tcPr>
            <w:tcW w:w="266" w:type="pct"/>
            <w:vMerge/>
          </w:tcPr>
          <w:p w14:paraId="251F639D" w14:textId="77777777" w:rsidR="00064FB1" w:rsidRPr="00756392" w:rsidRDefault="00064FB1" w:rsidP="00232DB4">
            <w:pPr>
              <w:spacing w:before="120" w:after="120"/>
              <w:jc w:val="center"/>
              <w:rPr>
                <w:rFonts w:ascii="Verdana" w:hAnsi="Verdana"/>
                <w:b/>
              </w:rPr>
            </w:pPr>
          </w:p>
        </w:tc>
        <w:tc>
          <w:tcPr>
            <w:tcW w:w="536" w:type="pct"/>
            <w:shd w:val="clear" w:color="auto" w:fill="D9D9D9" w:themeFill="background1" w:themeFillShade="D9"/>
          </w:tcPr>
          <w:p w14:paraId="403D3AF4" w14:textId="77777777" w:rsidR="00064FB1" w:rsidRPr="00132995" w:rsidRDefault="00064FB1" w:rsidP="00232DB4">
            <w:pPr>
              <w:spacing w:before="120" w:after="120"/>
              <w:jc w:val="center"/>
              <w:rPr>
                <w:rFonts w:ascii="Verdana" w:hAnsi="Verdana"/>
                <w:b/>
                <w:bCs/>
                <w:color w:val="000000"/>
              </w:rPr>
            </w:pPr>
            <w:r w:rsidRPr="00132995">
              <w:rPr>
                <w:rFonts w:ascii="Verdana" w:hAnsi="Verdana"/>
                <w:b/>
                <w:bCs/>
                <w:color w:val="000000"/>
              </w:rPr>
              <w:t>Effective Date</w:t>
            </w:r>
          </w:p>
        </w:tc>
        <w:tc>
          <w:tcPr>
            <w:tcW w:w="498" w:type="pct"/>
            <w:shd w:val="clear" w:color="auto" w:fill="D9D9D9" w:themeFill="background1" w:themeFillShade="D9"/>
          </w:tcPr>
          <w:p w14:paraId="080B6FF8" w14:textId="77777777" w:rsidR="00064FB1" w:rsidRPr="00132995" w:rsidRDefault="00064FB1" w:rsidP="00232DB4">
            <w:pPr>
              <w:spacing w:before="120" w:after="120"/>
              <w:jc w:val="center"/>
              <w:rPr>
                <w:rFonts w:ascii="Verdana" w:hAnsi="Verdana"/>
                <w:b/>
                <w:bCs/>
                <w:color w:val="000000"/>
              </w:rPr>
            </w:pPr>
            <w:r w:rsidRPr="00132995">
              <w:rPr>
                <w:rFonts w:ascii="Verdana" w:hAnsi="Verdana"/>
                <w:b/>
                <w:bCs/>
                <w:color w:val="000000"/>
              </w:rPr>
              <w:t>Expiration Date</w:t>
            </w:r>
          </w:p>
        </w:tc>
        <w:tc>
          <w:tcPr>
            <w:tcW w:w="465" w:type="pct"/>
            <w:gridSpan w:val="2"/>
            <w:shd w:val="clear" w:color="auto" w:fill="D9D9D9" w:themeFill="background1" w:themeFillShade="D9"/>
          </w:tcPr>
          <w:p w14:paraId="39D341F4" w14:textId="77777777" w:rsidR="00064FB1" w:rsidRPr="00132995" w:rsidRDefault="00064FB1" w:rsidP="00232DB4">
            <w:pPr>
              <w:spacing w:before="120" w:after="120"/>
              <w:jc w:val="center"/>
              <w:rPr>
                <w:rFonts w:ascii="Verdana" w:hAnsi="Verdana"/>
                <w:b/>
                <w:bCs/>
                <w:color w:val="000000"/>
              </w:rPr>
            </w:pPr>
            <w:r w:rsidRPr="00132995">
              <w:rPr>
                <w:rFonts w:ascii="Verdana" w:hAnsi="Verdana"/>
                <w:b/>
                <w:bCs/>
                <w:color w:val="000000"/>
              </w:rPr>
              <w:t>Event Category</w:t>
            </w:r>
          </w:p>
        </w:tc>
        <w:tc>
          <w:tcPr>
            <w:tcW w:w="296" w:type="pct"/>
            <w:shd w:val="clear" w:color="auto" w:fill="D9D9D9" w:themeFill="background1" w:themeFillShade="D9"/>
          </w:tcPr>
          <w:p w14:paraId="789604B4" w14:textId="77777777" w:rsidR="00064FB1" w:rsidRPr="00132995" w:rsidRDefault="00064FB1" w:rsidP="00232DB4">
            <w:pPr>
              <w:spacing w:before="120" w:after="120"/>
              <w:jc w:val="center"/>
              <w:rPr>
                <w:rFonts w:ascii="Verdana" w:hAnsi="Verdana"/>
                <w:b/>
                <w:bCs/>
                <w:color w:val="000000"/>
              </w:rPr>
            </w:pPr>
            <w:r w:rsidRPr="00132995">
              <w:rPr>
                <w:rFonts w:ascii="Verdana" w:hAnsi="Verdana"/>
                <w:b/>
                <w:bCs/>
                <w:color w:val="000000"/>
              </w:rPr>
              <w:t>State</w:t>
            </w:r>
          </w:p>
        </w:tc>
        <w:tc>
          <w:tcPr>
            <w:tcW w:w="2939" w:type="pct"/>
            <w:gridSpan w:val="2"/>
            <w:shd w:val="clear" w:color="auto" w:fill="D9D9D9" w:themeFill="background1" w:themeFillShade="D9"/>
          </w:tcPr>
          <w:p w14:paraId="2E3F7024" w14:textId="77777777" w:rsidR="00064FB1" w:rsidRPr="00132995" w:rsidRDefault="00064FB1" w:rsidP="00232DB4">
            <w:pPr>
              <w:spacing w:before="120" w:after="120"/>
              <w:jc w:val="center"/>
              <w:rPr>
                <w:rFonts w:ascii="Verdana" w:hAnsi="Verdana"/>
                <w:b/>
                <w:bCs/>
                <w:color w:val="000000"/>
              </w:rPr>
            </w:pPr>
            <w:r w:rsidRPr="00132995">
              <w:rPr>
                <w:rFonts w:ascii="Verdana" w:hAnsi="Verdana"/>
                <w:b/>
                <w:bCs/>
                <w:color w:val="000000"/>
              </w:rPr>
              <w:t>Impacted Counties</w:t>
            </w:r>
          </w:p>
        </w:tc>
      </w:tr>
      <w:tr w:rsidR="00DC5BE7" w14:paraId="7DD22C7B" w14:textId="77777777" w:rsidTr="00DC5BE7">
        <w:trPr>
          <w:cantSplit/>
          <w:trHeight w:val="134"/>
        </w:trPr>
        <w:tc>
          <w:tcPr>
            <w:tcW w:w="266" w:type="pct"/>
            <w:vMerge/>
          </w:tcPr>
          <w:p w14:paraId="0C11AF42" w14:textId="77777777" w:rsidR="00433323" w:rsidRPr="00756392" w:rsidRDefault="00433323" w:rsidP="00850E9A">
            <w:pPr>
              <w:spacing w:before="120" w:after="120"/>
              <w:jc w:val="center"/>
              <w:rPr>
                <w:rFonts w:ascii="Verdana" w:hAnsi="Verdana"/>
                <w:b/>
              </w:rPr>
            </w:pPr>
          </w:p>
        </w:tc>
        <w:tc>
          <w:tcPr>
            <w:tcW w:w="536" w:type="pct"/>
            <w:tcBorders>
              <w:top w:val="single" w:sz="4" w:space="0" w:color="auto"/>
              <w:left w:val="single" w:sz="4" w:space="0" w:color="auto"/>
              <w:bottom w:val="single" w:sz="4" w:space="0" w:color="auto"/>
              <w:right w:val="single" w:sz="4" w:space="0" w:color="auto"/>
            </w:tcBorders>
          </w:tcPr>
          <w:p w14:paraId="1D7D2F40" w14:textId="2ED3A4DC" w:rsidR="00433323" w:rsidRDefault="0081520A" w:rsidP="00850E9A">
            <w:pPr>
              <w:spacing w:before="120" w:after="120"/>
              <w:jc w:val="center"/>
              <w:rPr>
                <w:rFonts w:ascii="Verdana" w:hAnsi="Verdana"/>
                <w:noProof/>
                <w:kern w:val="2"/>
                <w14:ligatures w14:val="standardContextual"/>
              </w:rPr>
            </w:pPr>
            <w:r>
              <w:rPr>
                <w:rFonts w:ascii="Verdana" w:hAnsi="Verdana"/>
                <w:noProof/>
                <w:kern w:val="2"/>
                <w14:ligatures w14:val="standardContextual"/>
              </w:rPr>
              <w:drawing>
                <wp:inline distT="0" distB="0" distL="0" distR="0" wp14:anchorId="08685DBF" wp14:editId="26E1295A">
                  <wp:extent cx="304762" cy="304762"/>
                  <wp:effectExtent l="0" t="0" r="635" b="635"/>
                  <wp:docPr id="160738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58600" name="Picture 2124658600"/>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50AB3">
              <w:rPr>
                <w:rFonts w:ascii="Verdana" w:hAnsi="Verdana"/>
                <w:noProof/>
                <w:kern w:val="2"/>
                <w14:ligatures w14:val="standardContextual"/>
              </w:rPr>
              <w:t>09/05/25</w:t>
            </w:r>
          </w:p>
        </w:tc>
        <w:tc>
          <w:tcPr>
            <w:tcW w:w="498" w:type="pct"/>
            <w:tcBorders>
              <w:top w:val="single" w:sz="4" w:space="0" w:color="auto"/>
              <w:left w:val="single" w:sz="4" w:space="0" w:color="auto"/>
              <w:bottom w:val="single" w:sz="4" w:space="0" w:color="auto"/>
              <w:right w:val="single" w:sz="4" w:space="0" w:color="auto"/>
            </w:tcBorders>
          </w:tcPr>
          <w:p w14:paraId="668A6D89" w14:textId="4ED029AE" w:rsidR="00433323" w:rsidRDefault="00350AB3" w:rsidP="00850E9A">
            <w:pPr>
              <w:spacing w:before="120" w:after="120"/>
              <w:jc w:val="center"/>
              <w:rPr>
                <w:rFonts w:ascii="Verdana" w:hAnsi="Verdana"/>
              </w:rPr>
            </w:pPr>
            <w:r>
              <w:rPr>
                <w:rFonts w:ascii="Verdana" w:hAnsi="Verdana"/>
              </w:rPr>
              <w:t>09/19/25</w:t>
            </w:r>
          </w:p>
        </w:tc>
        <w:tc>
          <w:tcPr>
            <w:tcW w:w="465" w:type="pct"/>
            <w:gridSpan w:val="2"/>
            <w:tcBorders>
              <w:top w:val="single" w:sz="4" w:space="0" w:color="auto"/>
              <w:left w:val="single" w:sz="4" w:space="0" w:color="auto"/>
              <w:bottom w:val="single" w:sz="4" w:space="0" w:color="auto"/>
              <w:right w:val="single" w:sz="4" w:space="0" w:color="auto"/>
            </w:tcBorders>
          </w:tcPr>
          <w:p w14:paraId="6798FEF4" w14:textId="4B1B587C" w:rsidR="00433323" w:rsidRPr="00390325" w:rsidRDefault="00350AB3" w:rsidP="00850E9A">
            <w:pPr>
              <w:spacing w:before="120" w:after="120"/>
              <w:jc w:val="center"/>
              <w:rPr>
                <w:rFonts w:ascii="Verdana" w:hAnsi="Verdana"/>
              </w:rPr>
            </w:pPr>
            <w:r>
              <w:rPr>
                <w:rFonts w:ascii="Verdana" w:hAnsi="Verdana"/>
              </w:rPr>
              <w:t>Hurricane</w:t>
            </w:r>
          </w:p>
        </w:tc>
        <w:tc>
          <w:tcPr>
            <w:tcW w:w="296" w:type="pct"/>
            <w:tcBorders>
              <w:top w:val="single" w:sz="4" w:space="0" w:color="auto"/>
              <w:left w:val="single" w:sz="4" w:space="0" w:color="auto"/>
              <w:bottom w:val="single" w:sz="4" w:space="0" w:color="auto"/>
              <w:right w:val="single" w:sz="4" w:space="0" w:color="auto"/>
            </w:tcBorders>
          </w:tcPr>
          <w:p w14:paraId="7379BCD7" w14:textId="1F2B72FA" w:rsidR="00433323" w:rsidRDefault="00350AB3" w:rsidP="00850E9A">
            <w:pPr>
              <w:spacing w:before="120" w:after="120"/>
              <w:jc w:val="center"/>
              <w:rPr>
                <w:rFonts w:ascii="Verdana" w:hAnsi="Verdana"/>
              </w:rPr>
            </w:pPr>
            <w:r>
              <w:rPr>
                <w:rFonts w:ascii="Verdana" w:hAnsi="Verdana"/>
              </w:rPr>
              <w:t>HI</w:t>
            </w:r>
          </w:p>
        </w:tc>
        <w:tc>
          <w:tcPr>
            <w:tcW w:w="2939" w:type="pct"/>
            <w:gridSpan w:val="2"/>
            <w:tcBorders>
              <w:top w:val="single" w:sz="4" w:space="0" w:color="auto"/>
              <w:left w:val="single" w:sz="4" w:space="0" w:color="auto"/>
              <w:bottom w:val="single" w:sz="4" w:space="0" w:color="auto"/>
              <w:right w:val="single" w:sz="4" w:space="0" w:color="auto"/>
            </w:tcBorders>
          </w:tcPr>
          <w:p w14:paraId="5747041D" w14:textId="77777777" w:rsidR="00433323" w:rsidRDefault="005314BD" w:rsidP="00850E9A">
            <w:pPr>
              <w:spacing w:before="120" w:after="120"/>
              <w:rPr>
                <w:rFonts w:ascii="Verdana" w:hAnsi="Verdana"/>
              </w:rPr>
            </w:pPr>
            <w:r>
              <w:rPr>
                <w:rFonts w:ascii="Verdana" w:hAnsi="Verdana"/>
              </w:rPr>
              <w:t>All</w:t>
            </w:r>
          </w:p>
          <w:p w14:paraId="204E7B05" w14:textId="2006BD02" w:rsidR="005314BD" w:rsidRPr="00390325" w:rsidRDefault="00671178" w:rsidP="00850E9A">
            <w:pPr>
              <w:spacing w:before="120" w:after="120"/>
              <w:rPr>
                <w:rFonts w:ascii="Verdana" w:hAnsi="Verdana"/>
              </w:rPr>
            </w:pPr>
            <w:hyperlink r:id="rId7" w:history="1">
              <w:r w:rsidRPr="00671178">
                <w:rPr>
                  <w:rStyle w:val="Hyperlink"/>
                  <w:rFonts w:ascii="Verdana" w:hAnsi="Verdana"/>
                </w:rPr>
                <w:t>Governor’s website</w:t>
              </w:r>
            </w:hyperlink>
          </w:p>
        </w:tc>
      </w:tr>
      <w:tr w:rsidR="00DC5BE7" w14:paraId="400B3E91" w14:textId="77777777" w:rsidTr="00DC5BE7">
        <w:trPr>
          <w:cantSplit/>
          <w:trHeight w:val="134"/>
        </w:trPr>
        <w:tc>
          <w:tcPr>
            <w:tcW w:w="266" w:type="pct"/>
            <w:vMerge/>
          </w:tcPr>
          <w:p w14:paraId="679742D5" w14:textId="77777777" w:rsidR="00390325" w:rsidRPr="00756392" w:rsidRDefault="00390325" w:rsidP="00850E9A">
            <w:pPr>
              <w:spacing w:before="120" w:after="120"/>
              <w:jc w:val="center"/>
              <w:rPr>
                <w:rFonts w:ascii="Verdana" w:hAnsi="Verdana"/>
                <w:b/>
              </w:rPr>
            </w:pPr>
          </w:p>
        </w:tc>
        <w:tc>
          <w:tcPr>
            <w:tcW w:w="536" w:type="pct"/>
            <w:tcBorders>
              <w:top w:val="single" w:sz="4" w:space="0" w:color="auto"/>
              <w:left w:val="single" w:sz="4" w:space="0" w:color="auto"/>
              <w:bottom w:val="single" w:sz="4" w:space="0" w:color="auto"/>
              <w:right w:val="single" w:sz="4" w:space="0" w:color="auto"/>
            </w:tcBorders>
          </w:tcPr>
          <w:p w14:paraId="30EBC6B6" w14:textId="3D8AB47F" w:rsidR="00390325" w:rsidRPr="008B6F3B" w:rsidRDefault="00390325" w:rsidP="00850E9A">
            <w:pPr>
              <w:spacing w:before="120" w:after="120"/>
              <w:jc w:val="center"/>
              <w:rPr>
                <w:rFonts w:ascii="Verdana" w:hAnsi="Verdana"/>
              </w:rPr>
            </w:pPr>
            <w:r>
              <w:rPr>
                <w:rFonts w:ascii="Verdana" w:hAnsi="Verdana"/>
              </w:rPr>
              <w:t xml:space="preserve"> 08/17/25</w:t>
            </w:r>
          </w:p>
        </w:tc>
        <w:tc>
          <w:tcPr>
            <w:tcW w:w="498" w:type="pct"/>
            <w:tcBorders>
              <w:top w:val="single" w:sz="4" w:space="0" w:color="auto"/>
              <w:left w:val="single" w:sz="4" w:space="0" w:color="auto"/>
              <w:bottom w:val="single" w:sz="4" w:space="0" w:color="auto"/>
              <w:right w:val="single" w:sz="4" w:space="0" w:color="auto"/>
            </w:tcBorders>
          </w:tcPr>
          <w:p w14:paraId="60330C15" w14:textId="446B1AA2" w:rsidR="00390325" w:rsidRPr="008B6F3B" w:rsidRDefault="00390325" w:rsidP="00850E9A">
            <w:pPr>
              <w:spacing w:before="120" w:after="120"/>
              <w:jc w:val="center"/>
              <w:rPr>
                <w:rFonts w:ascii="Verdana" w:hAnsi="Verdana"/>
              </w:rPr>
            </w:pPr>
            <w:r>
              <w:rPr>
                <w:rFonts w:ascii="Verdana" w:hAnsi="Verdana"/>
              </w:rPr>
              <w:t>09/13/25</w:t>
            </w:r>
          </w:p>
        </w:tc>
        <w:tc>
          <w:tcPr>
            <w:tcW w:w="465" w:type="pct"/>
            <w:gridSpan w:val="2"/>
            <w:tcBorders>
              <w:top w:val="single" w:sz="4" w:space="0" w:color="auto"/>
              <w:left w:val="single" w:sz="4" w:space="0" w:color="auto"/>
              <w:bottom w:val="single" w:sz="4" w:space="0" w:color="auto"/>
              <w:right w:val="single" w:sz="4" w:space="0" w:color="auto"/>
            </w:tcBorders>
          </w:tcPr>
          <w:p w14:paraId="216364E9" w14:textId="6629210E" w:rsidR="00390325" w:rsidRPr="008B6F3B" w:rsidRDefault="00390325" w:rsidP="00850E9A">
            <w:pPr>
              <w:spacing w:before="120" w:after="120"/>
              <w:jc w:val="center"/>
              <w:rPr>
                <w:rFonts w:ascii="Verdana" w:hAnsi="Verdana"/>
              </w:rPr>
            </w:pPr>
            <w:r w:rsidRPr="00390325">
              <w:rPr>
                <w:rFonts w:ascii="Verdana" w:hAnsi="Verdana"/>
              </w:rPr>
              <w:t>Wildfires</w:t>
            </w:r>
          </w:p>
        </w:tc>
        <w:tc>
          <w:tcPr>
            <w:tcW w:w="296" w:type="pct"/>
            <w:tcBorders>
              <w:top w:val="single" w:sz="4" w:space="0" w:color="auto"/>
              <w:left w:val="single" w:sz="4" w:space="0" w:color="auto"/>
              <w:bottom w:val="single" w:sz="4" w:space="0" w:color="auto"/>
              <w:right w:val="single" w:sz="4" w:space="0" w:color="auto"/>
            </w:tcBorders>
          </w:tcPr>
          <w:p w14:paraId="7D230BF8" w14:textId="38BE5197" w:rsidR="00390325" w:rsidRPr="008B6F3B" w:rsidRDefault="00390325" w:rsidP="00850E9A">
            <w:pPr>
              <w:spacing w:before="120" w:after="120"/>
              <w:jc w:val="center"/>
              <w:rPr>
                <w:rFonts w:ascii="Verdana" w:hAnsi="Verdana"/>
              </w:rPr>
            </w:pPr>
            <w:r>
              <w:rPr>
                <w:rFonts w:ascii="Verdana" w:hAnsi="Verdana"/>
              </w:rPr>
              <w:t>WY</w:t>
            </w:r>
          </w:p>
        </w:tc>
        <w:tc>
          <w:tcPr>
            <w:tcW w:w="2939" w:type="pct"/>
            <w:gridSpan w:val="2"/>
            <w:tcBorders>
              <w:top w:val="single" w:sz="4" w:space="0" w:color="auto"/>
              <w:left w:val="single" w:sz="4" w:space="0" w:color="auto"/>
              <w:bottom w:val="single" w:sz="4" w:space="0" w:color="auto"/>
              <w:right w:val="single" w:sz="4" w:space="0" w:color="auto"/>
            </w:tcBorders>
          </w:tcPr>
          <w:p w14:paraId="6FBB2BE2" w14:textId="77777777" w:rsidR="00390325" w:rsidRDefault="00390325" w:rsidP="00850E9A">
            <w:pPr>
              <w:spacing w:before="120" w:after="120"/>
              <w:rPr>
                <w:rFonts w:ascii="Verdana" w:hAnsi="Verdana"/>
              </w:rPr>
            </w:pPr>
            <w:r w:rsidRPr="00390325">
              <w:rPr>
                <w:rFonts w:ascii="Verdana" w:hAnsi="Verdana"/>
              </w:rPr>
              <w:t>Hot Springs, Fremont, Park, Washakie</w:t>
            </w:r>
          </w:p>
          <w:p w14:paraId="448F1451" w14:textId="6D13081F" w:rsidR="00390325" w:rsidRPr="008B6F3B" w:rsidRDefault="00E34E5B" w:rsidP="00850E9A">
            <w:pPr>
              <w:spacing w:before="120" w:after="120"/>
              <w:rPr>
                <w:rFonts w:ascii="Verdana" w:hAnsi="Verdana"/>
              </w:rPr>
            </w:pPr>
            <w:hyperlink r:id="rId8" w:history="1">
              <w:r w:rsidRPr="0038587A">
                <w:rPr>
                  <w:rStyle w:val="Hyperlink"/>
                  <w:rFonts w:ascii="Verdana" w:hAnsi="Verdana"/>
                </w:rPr>
                <w:t>https://drive.google.com/file/d/1Sfw3kuER7PLW922xQbppBdj_kQ1LjKrd/view</w:t>
              </w:r>
            </w:hyperlink>
            <w:r>
              <w:rPr>
                <w:rFonts w:ascii="Verdana" w:hAnsi="Verdana"/>
              </w:rPr>
              <w:t xml:space="preserve"> </w:t>
            </w:r>
          </w:p>
        </w:tc>
      </w:tr>
      <w:tr w:rsidR="00DC5BE7" w14:paraId="4467F521" w14:textId="77777777" w:rsidTr="00DC5BE7">
        <w:trPr>
          <w:cantSplit/>
          <w:trHeight w:val="134"/>
        </w:trPr>
        <w:tc>
          <w:tcPr>
            <w:tcW w:w="266" w:type="pct"/>
            <w:vMerge/>
          </w:tcPr>
          <w:p w14:paraId="54B8FA4D" w14:textId="77777777" w:rsidR="00390325" w:rsidRPr="00756392" w:rsidRDefault="00390325" w:rsidP="00850E9A">
            <w:pPr>
              <w:spacing w:before="120" w:after="120"/>
              <w:jc w:val="center"/>
              <w:rPr>
                <w:rFonts w:ascii="Verdana" w:hAnsi="Verdana"/>
                <w:b/>
              </w:rPr>
            </w:pPr>
          </w:p>
        </w:tc>
        <w:tc>
          <w:tcPr>
            <w:tcW w:w="536" w:type="pct"/>
            <w:tcBorders>
              <w:top w:val="single" w:sz="4" w:space="0" w:color="auto"/>
              <w:left w:val="single" w:sz="4" w:space="0" w:color="auto"/>
              <w:bottom w:val="single" w:sz="4" w:space="0" w:color="auto"/>
              <w:right w:val="single" w:sz="4" w:space="0" w:color="auto"/>
            </w:tcBorders>
          </w:tcPr>
          <w:p w14:paraId="5767355C" w14:textId="0D3B417C" w:rsidR="00390325" w:rsidRPr="008B6F3B" w:rsidRDefault="00390325" w:rsidP="00850E9A">
            <w:pPr>
              <w:spacing w:before="120" w:after="120"/>
              <w:jc w:val="center"/>
              <w:rPr>
                <w:rFonts w:ascii="Verdana" w:hAnsi="Verdana"/>
              </w:rPr>
            </w:pPr>
            <w:r>
              <w:rPr>
                <w:rFonts w:ascii="Verdana" w:hAnsi="Verdana"/>
              </w:rPr>
              <w:t xml:space="preserve"> 08/19/25</w:t>
            </w:r>
          </w:p>
        </w:tc>
        <w:tc>
          <w:tcPr>
            <w:tcW w:w="498" w:type="pct"/>
            <w:tcBorders>
              <w:top w:val="single" w:sz="4" w:space="0" w:color="auto"/>
              <w:left w:val="single" w:sz="4" w:space="0" w:color="auto"/>
              <w:bottom w:val="single" w:sz="4" w:space="0" w:color="auto"/>
              <w:right w:val="single" w:sz="4" w:space="0" w:color="auto"/>
            </w:tcBorders>
          </w:tcPr>
          <w:p w14:paraId="2D76FF03" w14:textId="2F74FFDE" w:rsidR="00390325" w:rsidRPr="008B6F3B" w:rsidRDefault="00390325" w:rsidP="00850E9A">
            <w:pPr>
              <w:spacing w:before="120" w:after="120"/>
              <w:jc w:val="center"/>
              <w:rPr>
                <w:rFonts w:ascii="Verdana" w:hAnsi="Verdana"/>
              </w:rPr>
            </w:pPr>
            <w:r>
              <w:rPr>
                <w:rFonts w:ascii="Verdana" w:hAnsi="Verdana"/>
              </w:rPr>
              <w:t>09/19/25</w:t>
            </w:r>
          </w:p>
        </w:tc>
        <w:tc>
          <w:tcPr>
            <w:tcW w:w="465" w:type="pct"/>
            <w:gridSpan w:val="2"/>
            <w:tcBorders>
              <w:top w:val="single" w:sz="4" w:space="0" w:color="auto"/>
              <w:left w:val="single" w:sz="4" w:space="0" w:color="auto"/>
              <w:bottom w:val="single" w:sz="4" w:space="0" w:color="auto"/>
              <w:right w:val="single" w:sz="4" w:space="0" w:color="auto"/>
            </w:tcBorders>
          </w:tcPr>
          <w:p w14:paraId="4921E1D8" w14:textId="747F2511" w:rsidR="00390325" w:rsidRPr="008B6F3B" w:rsidRDefault="00390325" w:rsidP="00850E9A">
            <w:pPr>
              <w:spacing w:before="120" w:after="120"/>
              <w:jc w:val="center"/>
              <w:rPr>
                <w:rFonts w:ascii="Verdana" w:hAnsi="Verdana"/>
              </w:rPr>
            </w:pPr>
            <w:r>
              <w:rPr>
                <w:rFonts w:ascii="Verdana" w:hAnsi="Verdana"/>
              </w:rPr>
              <w:t>Hurricane Erin</w:t>
            </w:r>
          </w:p>
        </w:tc>
        <w:tc>
          <w:tcPr>
            <w:tcW w:w="296" w:type="pct"/>
            <w:tcBorders>
              <w:top w:val="single" w:sz="4" w:space="0" w:color="auto"/>
              <w:left w:val="single" w:sz="4" w:space="0" w:color="auto"/>
              <w:bottom w:val="single" w:sz="4" w:space="0" w:color="auto"/>
              <w:right w:val="single" w:sz="4" w:space="0" w:color="auto"/>
            </w:tcBorders>
          </w:tcPr>
          <w:p w14:paraId="33E1E772" w14:textId="7C823266" w:rsidR="00390325" w:rsidRPr="008B6F3B" w:rsidRDefault="00390325" w:rsidP="00850E9A">
            <w:pPr>
              <w:spacing w:before="120" w:after="120"/>
              <w:jc w:val="center"/>
              <w:rPr>
                <w:rFonts w:ascii="Verdana" w:hAnsi="Verdana"/>
              </w:rPr>
            </w:pPr>
            <w:r>
              <w:rPr>
                <w:rFonts w:ascii="Verdana" w:hAnsi="Verdana"/>
              </w:rPr>
              <w:t>NC</w:t>
            </w:r>
          </w:p>
        </w:tc>
        <w:tc>
          <w:tcPr>
            <w:tcW w:w="2939" w:type="pct"/>
            <w:gridSpan w:val="2"/>
            <w:tcBorders>
              <w:top w:val="single" w:sz="4" w:space="0" w:color="auto"/>
              <w:left w:val="single" w:sz="4" w:space="0" w:color="auto"/>
              <w:bottom w:val="single" w:sz="4" w:space="0" w:color="auto"/>
              <w:right w:val="single" w:sz="4" w:space="0" w:color="auto"/>
            </w:tcBorders>
          </w:tcPr>
          <w:p w14:paraId="2C1086D1" w14:textId="77777777" w:rsidR="00390325" w:rsidRDefault="00390325" w:rsidP="00850E9A">
            <w:pPr>
              <w:spacing w:before="120" w:after="120"/>
              <w:rPr>
                <w:rFonts w:ascii="Verdana" w:hAnsi="Verdana"/>
              </w:rPr>
            </w:pPr>
            <w:r>
              <w:rPr>
                <w:rFonts w:ascii="Verdana" w:hAnsi="Verdana"/>
              </w:rPr>
              <w:t>All</w:t>
            </w:r>
          </w:p>
          <w:p w14:paraId="7C78E14B" w14:textId="7189B616" w:rsidR="00390325" w:rsidRPr="008B6F3B" w:rsidRDefault="00390325" w:rsidP="00850E9A">
            <w:pPr>
              <w:spacing w:before="120" w:after="120"/>
              <w:rPr>
                <w:rFonts w:ascii="Verdana" w:hAnsi="Verdana"/>
              </w:rPr>
            </w:pPr>
            <w:hyperlink r:id="rId9" w:history="1">
              <w:r w:rsidRPr="00390325">
                <w:rPr>
                  <w:rStyle w:val="Hyperlink"/>
                  <w:rFonts w:ascii="Verdana" w:hAnsi="Verdana"/>
                </w:rPr>
                <w:t>Governor website</w:t>
              </w:r>
            </w:hyperlink>
          </w:p>
        </w:tc>
      </w:tr>
      <w:tr w:rsidR="00DC5BE7" w14:paraId="29E84299" w14:textId="77777777" w:rsidTr="00137F51">
        <w:trPr>
          <w:cantSplit/>
          <w:trHeight w:val="809"/>
        </w:trPr>
        <w:tc>
          <w:tcPr>
            <w:tcW w:w="266" w:type="pct"/>
            <w:vMerge/>
          </w:tcPr>
          <w:p w14:paraId="5F7C6C08" w14:textId="77777777" w:rsidR="00DC5BE7" w:rsidRPr="00756392" w:rsidRDefault="00DC5BE7" w:rsidP="00850E9A">
            <w:pPr>
              <w:spacing w:before="120" w:after="120"/>
              <w:jc w:val="center"/>
              <w:rPr>
                <w:rFonts w:ascii="Verdana" w:hAnsi="Verdana"/>
                <w:b/>
              </w:rPr>
            </w:pPr>
          </w:p>
        </w:tc>
        <w:tc>
          <w:tcPr>
            <w:tcW w:w="536" w:type="pct"/>
            <w:tcBorders>
              <w:top w:val="single" w:sz="4" w:space="0" w:color="auto"/>
              <w:left w:val="single" w:sz="4" w:space="0" w:color="auto"/>
              <w:right w:val="single" w:sz="4" w:space="0" w:color="auto"/>
            </w:tcBorders>
          </w:tcPr>
          <w:p w14:paraId="43495C27" w14:textId="354BE141" w:rsidR="00DC5BE7" w:rsidRPr="008B6F3B" w:rsidRDefault="00DC5BE7" w:rsidP="00850E9A">
            <w:pPr>
              <w:spacing w:before="120" w:after="120"/>
              <w:jc w:val="center"/>
              <w:rPr>
                <w:rFonts w:ascii="Verdana" w:hAnsi="Verdana"/>
              </w:rPr>
            </w:pPr>
            <w:r>
              <w:rPr>
                <w:rFonts w:ascii="Verdana" w:hAnsi="Verdana"/>
              </w:rPr>
              <w:t xml:space="preserve"> 08/21/25</w:t>
            </w:r>
          </w:p>
        </w:tc>
        <w:tc>
          <w:tcPr>
            <w:tcW w:w="498" w:type="pct"/>
            <w:tcBorders>
              <w:top w:val="single" w:sz="4" w:space="0" w:color="auto"/>
              <w:left w:val="single" w:sz="4" w:space="0" w:color="auto"/>
              <w:right w:val="single" w:sz="4" w:space="0" w:color="auto"/>
            </w:tcBorders>
          </w:tcPr>
          <w:p w14:paraId="7061178F" w14:textId="2F7BFD86" w:rsidR="00DC5BE7" w:rsidRPr="008B6F3B" w:rsidRDefault="00DC5BE7" w:rsidP="00850E9A">
            <w:pPr>
              <w:spacing w:before="120" w:after="120"/>
              <w:jc w:val="center"/>
              <w:rPr>
                <w:rFonts w:ascii="Verdana" w:hAnsi="Verdana"/>
              </w:rPr>
            </w:pPr>
            <w:r>
              <w:rPr>
                <w:rFonts w:ascii="Verdana" w:hAnsi="Verdana"/>
              </w:rPr>
              <w:t>09/21/25</w:t>
            </w:r>
          </w:p>
        </w:tc>
        <w:tc>
          <w:tcPr>
            <w:tcW w:w="465" w:type="pct"/>
            <w:gridSpan w:val="2"/>
            <w:tcBorders>
              <w:top w:val="single" w:sz="4" w:space="0" w:color="auto"/>
              <w:left w:val="single" w:sz="4" w:space="0" w:color="auto"/>
              <w:right w:val="single" w:sz="4" w:space="0" w:color="auto"/>
            </w:tcBorders>
          </w:tcPr>
          <w:p w14:paraId="57D1CF85" w14:textId="78E88B3C" w:rsidR="00DC5BE7" w:rsidRPr="008B6F3B" w:rsidRDefault="00DC5BE7" w:rsidP="00850E9A">
            <w:pPr>
              <w:spacing w:before="120" w:after="120"/>
              <w:jc w:val="center"/>
              <w:rPr>
                <w:rFonts w:ascii="Verdana" w:hAnsi="Verdana"/>
              </w:rPr>
            </w:pPr>
            <w:r>
              <w:rPr>
                <w:rFonts w:ascii="Verdana" w:hAnsi="Verdana"/>
              </w:rPr>
              <w:t>Hurricane Erin</w:t>
            </w:r>
          </w:p>
        </w:tc>
        <w:tc>
          <w:tcPr>
            <w:tcW w:w="296" w:type="pct"/>
            <w:tcBorders>
              <w:top w:val="single" w:sz="4" w:space="0" w:color="auto"/>
              <w:left w:val="single" w:sz="4" w:space="0" w:color="auto"/>
              <w:right w:val="single" w:sz="4" w:space="0" w:color="auto"/>
            </w:tcBorders>
          </w:tcPr>
          <w:p w14:paraId="271303D9" w14:textId="7FF3EDAC" w:rsidR="00DC5BE7" w:rsidRPr="008B6F3B" w:rsidRDefault="00DC5BE7" w:rsidP="00850E9A">
            <w:pPr>
              <w:spacing w:before="120" w:after="120"/>
              <w:jc w:val="center"/>
              <w:rPr>
                <w:rFonts w:ascii="Verdana" w:hAnsi="Verdana"/>
              </w:rPr>
            </w:pPr>
            <w:r>
              <w:rPr>
                <w:rFonts w:ascii="Verdana" w:hAnsi="Verdana"/>
              </w:rPr>
              <w:t>NJ</w:t>
            </w:r>
          </w:p>
        </w:tc>
        <w:tc>
          <w:tcPr>
            <w:tcW w:w="2939" w:type="pct"/>
            <w:gridSpan w:val="2"/>
            <w:tcBorders>
              <w:top w:val="single" w:sz="4" w:space="0" w:color="auto"/>
              <w:left w:val="single" w:sz="4" w:space="0" w:color="auto"/>
              <w:right w:val="single" w:sz="4" w:space="0" w:color="auto"/>
            </w:tcBorders>
          </w:tcPr>
          <w:p w14:paraId="659A49E0" w14:textId="77777777" w:rsidR="00DC5BE7" w:rsidRDefault="00DC5BE7" w:rsidP="00850E9A">
            <w:pPr>
              <w:spacing w:before="120" w:after="120"/>
              <w:rPr>
                <w:rFonts w:ascii="Verdana" w:hAnsi="Verdana"/>
              </w:rPr>
            </w:pPr>
            <w:r>
              <w:rPr>
                <w:rFonts w:ascii="Verdana" w:hAnsi="Verdana"/>
              </w:rPr>
              <w:t>All</w:t>
            </w:r>
          </w:p>
          <w:p w14:paraId="1F877034" w14:textId="78B0A2BC" w:rsidR="00DC5BE7" w:rsidRPr="008B6F3B" w:rsidRDefault="00DC5BE7" w:rsidP="00850E9A">
            <w:pPr>
              <w:spacing w:before="120" w:after="120"/>
              <w:rPr>
                <w:rFonts w:ascii="Verdana" w:hAnsi="Verdana"/>
              </w:rPr>
            </w:pPr>
            <w:hyperlink r:id="rId10" w:history="1">
              <w:r w:rsidRPr="00390325">
                <w:rPr>
                  <w:rStyle w:val="Hyperlink"/>
                  <w:rFonts w:ascii="Verdana" w:hAnsi="Verdana"/>
                </w:rPr>
                <w:t>Governor website</w:t>
              </w:r>
            </w:hyperlink>
          </w:p>
        </w:tc>
      </w:tr>
      <w:tr w:rsidR="00DC5BE7" w14:paraId="7156CE08" w14:textId="77777777" w:rsidTr="00DC5BE7">
        <w:trPr>
          <w:cantSplit/>
          <w:trHeight w:val="90"/>
        </w:trPr>
        <w:tc>
          <w:tcPr>
            <w:tcW w:w="266" w:type="pct"/>
            <w:vMerge/>
          </w:tcPr>
          <w:p w14:paraId="1D52A6EB" w14:textId="77777777" w:rsidR="006C6296" w:rsidRPr="00756392" w:rsidRDefault="006C6296" w:rsidP="006C6296">
            <w:pPr>
              <w:spacing w:before="120" w:after="120"/>
              <w:jc w:val="center"/>
              <w:rPr>
                <w:rFonts w:ascii="Verdana" w:hAnsi="Verdana"/>
                <w:b/>
              </w:rPr>
            </w:pPr>
          </w:p>
        </w:tc>
        <w:tc>
          <w:tcPr>
            <w:tcW w:w="536" w:type="pct"/>
            <w:tcBorders>
              <w:bottom w:val="single" w:sz="4" w:space="0" w:color="auto"/>
            </w:tcBorders>
            <w:shd w:val="clear" w:color="auto" w:fill="D9D9D9" w:themeFill="background1" w:themeFillShade="D9"/>
          </w:tcPr>
          <w:p w14:paraId="06DA59E5" w14:textId="77777777" w:rsidR="006C6296" w:rsidRPr="00756392" w:rsidRDefault="006C6296" w:rsidP="006C6296">
            <w:pPr>
              <w:spacing w:before="120" w:after="120"/>
              <w:jc w:val="center"/>
              <w:rPr>
                <w:rFonts w:ascii="Verdana" w:hAnsi="Verdana"/>
                <w:color w:val="000000"/>
              </w:rPr>
            </w:pPr>
            <w:r w:rsidRPr="00756392">
              <w:rPr>
                <w:rFonts w:ascii="Verdana" w:hAnsi="Verdana"/>
                <w:b/>
                <w:color w:val="000000"/>
              </w:rPr>
              <w:t>If…</w:t>
            </w:r>
          </w:p>
        </w:tc>
        <w:tc>
          <w:tcPr>
            <w:tcW w:w="4198" w:type="pct"/>
            <w:gridSpan w:val="6"/>
            <w:tcBorders>
              <w:bottom w:val="single" w:sz="4" w:space="0" w:color="auto"/>
            </w:tcBorders>
            <w:shd w:val="clear" w:color="auto" w:fill="D9D9D9" w:themeFill="background1" w:themeFillShade="D9"/>
          </w:tcPr>
          <w:p w14:paraId="01B7557A" w14:textId="77777777" w:rsidR="006C6296" w:rsidRPr="00756392" w:rsidRDefault="006C6296" w:rsidP="006C6296">
            <w:pPr>
              <w:spacing w:before="120" w:after="120"/>
              <w:jc w:val="center"/>
              <w:rPr>
                <w:rFonts w:ascii="Verdana" w:hAnsi="Verdana"/>
                <w:color w:val="000000"/>
              </w:rPr>
            </w:pPr>
            <w:r w:rsidRPr="00756392">
              <w:rPr>
                <w:rFonts w:ascii="Verdana" w:hAnsi="Verdana"/>
                <w:b/>
                <w:color w:val="000000"/>
              </w:rPr>
              <w:t>Then…</w:t>
            </w:r>
          </w:p>
        </w:tc>
      </w:tr>
      <w:tr w:rsidR="00DC5BE7" w14:paraId="5F3FE5FC" w14:textId="77777777" w:rsidTr="00DC5BE7">
        <w:trPr>
          <w:cantSplit/>
          <w:trHeight w:val="90"/>
        </w:trPr>
        <w:tc>
          <w:tcPr>
            <w:tcW w:w="266" w:type="pct"/>
            <w:vMerge/>
          </w:tcPr>
          <w:p w14:paraId="2A2B0943" w14:textId="77777777" w:rsidR="006C6296" w:rsidRPr="00756392" w:rsidRDefault="006C6296" w:rsidP="006C6296">
            <w:pPr>
              <w:spacing w:before="120" w:after="120"/>
              <w:jc w:val="center"/>
              <w:rPr>
                <w:rFonts w:ascii="Verdana" w:hAnsi="Verdana"/>
                <w:b/>
              </w:rPr>
            </w:pPr>
          </w:p>
        </w:tc>
        <w:tc>
          <w:tcPr>
            <w:tcW w:w="536" w:type="pct"/>
            <w:tcBorders>
              <w:bottom w:val="single" w:sz="4" w:space="0" w:color="auto"/>
            </w:tcBorders>
          </w:tcPr>
          <w:p w14:paraId="500F1F96" w14:textId="77777777" w:rsidR="006C6296" w:rsidRPr="00756392" w:rsidRDefault="006C6296" w:rsidP="006C6296">
            <w:pPr>
              <w:spacing w:before="120" w:after="120"/>
              <w:rPr>
                <w:rFonts w:ascii="Verdana" w:hAnsi="Verdana"/>
                <w:color w:val="000000"/>
              </w:rPr>
            </w:pPr>
            <w:r w:rsidRPr="00756392">
              <w:rPr>
                <w:rFonts w:ascii="Verdana" w:hAnsi="Verdana"/>
                <w:color w:val="000000"/>
              </w:rPr>
              <w:t>Yes</w:t>
            </w:r>
          </w:p>
        </w:tc>
        <w:tc>
          <w:tcPr>
            <w:tcW w:w="4198" w:type="pct"/>
            <w:gridSpan w:val="6"/>
            <w:tcBorders>
              <w:bottom w:val="single" w:sz="4" w:space="0" w:color="auto"/>
            </w:tcBorders>
          </w:tcPr>
          <w:p w14:paraId="6F3BABEF" w14:textId="77777777" w:rsidR="006C6296" w:rsidRPr="00756392" w:rsidRDefault="006C6296" w:rsidP="006C6296">
            <w:pPr>
              <w:spacing w:before="120" w:after="120"/>
              <w:rPr>
                <w:rFonts w:ascii="Verdana" w:hAnsi="Verdana"/>
                <w:color w:val="000000"/>
              </w:rPr>
            </w:pPr>
            <w:r w:rsidRPr="00756392">
              <w:rPr>
                <w:rFonts w:ascii="Verdana" w:hAnsi="Verdana"/>
                <w:color w:val="000000"/>
              </w:rPr>
              <w:t>Proceed to Step 2.</w:t>
            </w:r>
          </w:p>
        </w:tc>
      </w:tr>
      <w:tr w:rsidR="00DC5BE7" w14:paraId="0CAE2165" w14:textId="77777777" w:rsidTr="00DC5BE7">
        <w:trPr>
          <w:cantSplit/>
          <w:trHeight w:val="90"/>
        </w:trPr>
        <w:tc>
          <w:tcPr>
            <w:tcW w:w="266" w:type="pct"/>
            <w:vMerge/>
          </w:tcPr>
          <w:p w14:paraId="3166DF9F" w14:textId="77777777" w:rsidR="006C6296" w:rsidRDefault="006C6296" w:rsidP="006C6296">
            <w:pPr>
              <w:spacing w:before="120" w:after="120"/>
              <w:jc w:val="center"/>
              <w:rPr>
                <w:rFonts w:ascii="Verdana" w:hAnsi="Verdana"/>
                <w:b/>
              </w:rPr>
            </w:pPr>
          </w:p>
        </w:tc>
        <w:tc>
          <w:tcPr>
            <w:tcW w:w="536" w:type="pct"/>
            <w:tcBorders>
              <w:bottom w:val="single" w:sz="4" w:space="0" w:color="auto"/>
            </w:tcBorders>
          </w:tcPr>
          <w:p w14:paraId="529D9FE4" w14:textId="77777777" w:rsidR="006C6296" w:rsidRPr="00756392" w:rsidRDefault="006C6296" w:rsidP="006C6296">
            <w:pPr>
              <w:spacing w:before="120" w:after="120"/>
              <w:rPr>
                <w:rFonts w:ascii="Verdana" w:hAnsi="Verdana"/>
                <w:color w:val="000000"/>
              </w:rPr>
            </w:pPr>
            <w:r w:rsidRPr="00756392">
              <w:rPr>
                <w:rFonts w:ascii="Verdana" w:hAnsi="Verdana"/>
                <w:color w:val="000000"/>
              </w:rPr>
              <w:t>No</w:t>
            </w:r>
          </w:p>
        </w:tc>
        <w:tc>
          <w:tcPr>
            <w:tcW w:w="4198" w:type="pct"/>
            <w:gridSpan w:val="6"/>
            <w:tcBorders>
              <w:bottom w:val="single" w:sz="4" w:space="0" w:color="auto"/>
            </w:tcBorders>
          </w:tcPr>
          <w:p w14:paraId="040BD276" w14:textId="77777777" w:rsidR="006C6296" w:rsidRPr="00756392" w:rsidRDefault="006C6296" w:rsidP="006C6296">
            <w:pPr>
              <w:spacing w:before="120" w:after="120"/>
              <w:rPr>
                <w:rFonts w:ascii="Verdana" w:hAnsi="Verdana"/>
                <w:color w:val="000000"/>
              </w:rPr>
            </w:pPr>
            <w:r w:rsidRPr="00756392">
              <w:rPr>
                <w:rFonts w:ascii="Verdana" w:hAnsi="Verdana"/>
                <w:color w:val="000000"/>
              </w:rPr>
              <w:t>Review the CIF to determine if an early refill or other accommodation can be made outside of this disaster emergency process.</w:t>
            </w:r>
            <w:r w:rsidRPr="00756392">
              <w:rPr>
                <w:rFonts w:ascii="Verdana" w:hAnsi="Verdana"/>
                <w:color w:val="000000"/>
              </w:rPr>
              <w:br/>
            </w:r>
            <w:r w:rsidRPr="00756392">
              <w:rPr>
                <w:rFonts w:ascii="Verdana" w:hAnsi="Verdana"/>
                <w:b/>
                <w:bCs/>
                <w:color w:val="000000"/>
              </w:rPr>
              <w:t xml:space="preserve">Example: </w:t>
            </w:r>
            <w:r>
              <w:rPr>
                <w:rFonts w:ascii="Verdana" w:hAnsi="Verdana"/>
                <w:b/>
                <w:bCs/>
                <w:color w:val="000000"/>
              </w:rPr>
              <w:t xml:space="preserve"> </w:t>
            </w:r>
            <w:r w:rsidRPr="00756392">
              <w:rPr>
                <w:rFonts w:ascii="Verdana" w:hAnsi="Verdana"/>
                <w:color w:val="000000"/>
              </w:rPr>
              <w:t>There is no declared state of emergency, but plan allows lost/stolen/damaged override.</w:t>
            </w:r>
          </w:p>
          <w:p w14:paraId="5495AA2B" w14:textId="77777777" w:rsidR="006C6296" w:rsidRPr="00756392" w:rsidRDefault="006C6296" w:rsidP="006C6296">
            <w:pPr>
              <w:numPr>
                <w:ilvl w:val="0"/>
                <w:numId w:val="4"/>
              </w:numPr>
              <w:spacing w:before="120" w:after="120"/>
              <w:ind w:left="511"/>
              <w:rPr>
                <w:rFonts w:ascii="Verdana" w:hAnsi="Verdana"/>
                <w:color w:val="FF0000"/>
              </w:rPr>
            </w:pPr>
            <w:r w:rsidRPr="00756392">
              <w:rPr>
                <w:rFonts w:ascii="Verdana" w:hAnsi="Verdana"/>
                <w:color w:val="000000"/>
              </w:rPr>
              <w:t xml:space="preserve">If no other options are available, inform the member that early refills are not allowed; however, they can pay out of pocket for a short-term supply if needed.  </w:t>
            </w:r>
          </w:p>
        </w:tc>
      </w:tr>
      <w:tr w:rsidR="006C6296" w14:paraId="39A85FA2" w14:textId="77777777" w:rsidTr="00DC5BE7">
        <w:trPr>
          <w:cantSplit/>
          <w:trHeight w:val="270"/>
        </w:trPr>
        <w:tc>
          <w:tcPr>
            <w:tcW w:w="266" w:type="pct"/>
            <w:vMerge w:val="restart"/>
          </w:tcPr>
          <w:p w14:paraId="0F43D724" w14:textId="77777777" w:rsidR="006C6296" w:rsidRDefault="006C6296" w:rsidP="006C6296">
            <w:pPr>
              <w:spacing w:before="120" w:after="120"/>
              <w:jc w:val="center"/>
              <w:rPr>
                <w:rFonts w:ascii="Verdana" w:hAnsi="Verdana"/>
                <w:b/>
              </w:rPr>
            </w:pPr>
            <w:r>
              <w:rPr>
                <w:rFonts w:ascii="Verdana" w:hAnsi="Verdana"/>
                <w:b/>
              </w:rPr>
              <w:t>2</w:t>
            </w:r>
          </w:p>
        </w:tc>
        <w:tc>
          <w:tcPr>
            <w:tcW w:w="4734" w:type="pct"/>
            <w:gridSpan w:val="7"/>
            <w:tcBorders>
              <w:bottom w:val="single" w:sz="4" w:space="0" w:color="auto"/>
            </w:tcBorders>
          </w:tcPr>
          <w:p w14:paraId="38A14370" w14:textId="3FECFF7B" w:rsidR="006C6296" w:rsidRDefault="006C6296" w:rsidP="006C6296">
            <w:pPr>
              <w:spacing w:before="120" w:after="120"/>
              <w:rPr>
                <w:rFonts w:ascii="Verdana" w:hAnsi="Verdana"/>
                <w:color w:val="000000"/>
              </w:rPr>
            </w:pPr>
            <w:r>
              <w:rPr>
                <w:rFonts w:ascii="Verdana" w:hAnsi="Verdana"/>
                <w:color w:val="000000"/>
              </w:rPr>
              <w:t xml:space="preserve">Identify the </w:t>
            </w:r>
            <w:r w:rsidR="00C97BCE">
              <w:rPr>
                <w:rFonts w:ascii="Verdana" w:hAnsi="Verdana"/>
                <w:color w:val="000000"/>
              </w:rPr>
              <w:t>members’</w:t>
            </w:r>
            <w:r>
              <w:rPr>
                <w:rFonts w:ascii="Verdana" w:hAnsi="Verdana"/>
                <w:color w:val="000000"/>
              </w:rPr>
              <w:t xml:space="preserve"> issue as it relates to the disaster emergency.</w:t>
            </w:r>
          </w:p>
          <w:p w14:paraId="1DA504D8" w14:textId="77777777" w:rsidR="006C6296" w:rsidRDefault="006C6296" w:rsidP="006C6296">
            <w:pPr>
              <w:spacing w:before="120" w:after="120"/>
              <w:rPr>
                <w:rFonts w:ascii="Verdana" w:hAnsi="Verdana"/>
                <w:color w:val="000000"/>
              </w:rPr>
            </w:pPr>
          </w:p>
          <w:p w14:paraId="5EB78E2F" w14:textId="77777777" w:rsidR="006C6296" w:rsidRDefault="006C6296" w:rsidP="006C6296">
            <w:pPr>
              <w:spacing w:before="120" w:after="120"/>
              <w:rPr>
                <w:rFonts w:ascii="Verdana" w:hAnsi="Verdana"/>
                <w:color w:val="000000"/>
              </w:rPr>
            </w:pPr>
            <w:r w:rsidRPr="00E51CB4">
              <w:rPr>
                <w:rFonts w:ascii="Verdana" w:hAnsi="Verdana"/>
                <w:b/>
                <w:color w:val="000000"/>
              </w:rPr>
              <w:t>Note:</w:t>
            </w:r>
            <w:r>
              <w:rPr>
                <w:rFonts w:ascii="Verdana" w:hAnsi="Verdana"/>
                <w:color w:val="000000"/>
              </w:rPr>
              <w:t xml:space="preserve">  </w:t>
            </w:r>
          </w:p>
          <w:p w14:paraId="42D6985C" w14:textId="77777777" w:rsidR="006C6296" w:rsidRPr="00756392" w:rsidRDefault="006C6296" w:rsidP="006C6296">
            <w:pPr>
              <w:numPr>
                <w:ilvl w:val="0"/>
                <w:numId w:val="5"/>
              </w:numPr>
              <w:spacing w:before="120" w:after="120"/>
              <w:ind w:left="558"/>
              <w:rPr>
                <w:rFonts w:ascii="Verdana" w:hAnsi="Verdana"/>
                <w:color w:val="FF0000"/>
              </w:rPr>
            </w:pPr>
            <w:r w:rsidRPr="00756392">
              <w:rPr>
                <w:rFonts w:ascii="Verdana" w:hAnsi="Verdana"/>
                <w:color w:val="000000"/>
              </w:rPr>
              <w:t>The member may be out of town or in an unfamiliar area. Offer to check for in-network pharmacies in their area. If no in-network pharmacies are available, check for out-of-network provisions and/or contact the Senior Team to request an exception through the Account Manager.</w:t>
            </w:r>
            <w:r w:rsidRPr="00756392">
              <w:rPr>
                <w:rFonts w:ascii="Verdana" w:hAnsi="Verdana"/>
                <w:color w:val="FF0000"/>
              </w:rPr>
              <w:t xml:space="preserve"> </w:t>
            </w:r>
          </w:p>
          <w:p w14:paraId="3D9FE1DB" w14:textId="77777777" w:rsidR="006C6296" w:rsidRPr="002166A8" w:rsidRDefault="006C6296" w:rsidP="006C6296">
            <w:pPr>
              <w:numPr>
                <w:ilvl w:val="0"/>
                <w:numId w:val="5"/>
              </w:numPr>
              <w:spacing w:before="120" w:after="120"/>
              <w:ind w:left="558"/>
              <w:rPr>
                <w:rFonts w:ascii="Verdana" w:hAnsi="Verdana"/>
                <w:color w:val="000000"/>
              </w:rPr>
            </w:pPr>
            <w:hyperlink r:id="rId11" w:anchor="!/view?docid=a7684ce9-c2bc-4cbc-ab37-c1ffb7789706" w:history="1">
              <w:r w:rsidRPr="00756392">
                <w:rPr>
                  <w:rStyle w:val="Hyperlink"/>
                  <w:rFonts w:ascii="Verdana" w:eastAsiaTheme="majorEastAsia" w:hAnsi="Verdana"/>
                </w:rPr>
                <w:t>New Prescription requests (054208)</w:t>
              </w:r>
            </w:hyperlink>
            <w:r w:rsidRPr="00756392">
              <w:rPr>
                <w:rFonts w:ascii="Verdana" w:hAnsi="Verdana"/>
                <w:color w:val="000000"/>
              </w:rPr>
              <w:t xml:space="preserve"> or </w:t>
            </w:r>
            <w:hyperlink r:id="rId12" w:anchor="!/view?docid=1e31ea60-77a3-4bb9-a619-7340ebf57484" w:history="1">
              <w:r w:rsidRPr="00756392">
                <w:rPr>
                  <w:rStyle w:val="Hyperlink"/>
                  <w:rFonts w:ascii="Verdana" w:eastAsiaTheme="majorEastAsia" w:hAnsi="Verdana" w:cs="Helvetica"/>
                  <w:shd w:val="clear" w:color="auto" w:fill="FFFFFF"/>
                </w:rPr>
                <w:t>Compass - Prescription (Rx) Transfer (053932)</w:t>
              </w:r>
            </w:hyperlink>
            <w:r w:rsidRPr="00756392">
              <w:rPr>
                <w:rFonts w:ascii="Verdana" w:hAnsi="Verdana"/>
                <w:color w:val="000000"/>
              </w:rPr>
              <w:t xml:space="preserve"> may also be possible if the member’s local retail pharmacy is closed.  Before proceeding with these options, ensure the member has enough days’ supply on hand.</w:t>
            </w:r>
          </w:p>
        </w:tc>
      </w:tr>
      <w:tr w:rsidR="00DC5BE7" w14:paraId="3D1025E0" w14:textId="77777777" w:rsidTr="00DC5BE7">
        <w:trPr>
          <w:cantSplit/>
          <w:trHeight w:val="90"/>
        </w:trPr>
        <w:tc>
          <w:tcPr>
            <w:tcW w:w="266" w:type="pct"/>
            <w:vMerge/>
          </w:tcPr>
          <w:p w14:paraId="0B6991DC" w14:textId="77777777" w:rsidR="006C6296" w:rsidRDefault="006C6296" w:rsidP="006C6296">
            <w:pPr>
              <w:spacing w:before="120" w:after="120"/>
              <w:jc w:val="center"/>
              <w:rPr>
                <w:rFonts w:ascii="Verdana" w:hAnsi="Verdana"/>
                <w:b/>
              </w:rPr>
            </w:pPr>
          </w:p>
        </w:tc>
        <w:tc>
          <w:tcPr>
            <w:tcW w:w="536" w:type="pct"/>
            <w:tcBorders>
              <w:bottom w:val="single" w:sz="4" w:space="0" w:color="auto"/>
            </w:tcBorders>
            <w:shd w:val="clear" w:color="auto" w:fill="D9D9D9" w:themeFill="background1" w:themeFillShade="D9"/>
          </w:tcPr>
          <w:p w14:paraId="6C0D6DC0" w14:textId="77777777" w:rsidR="006C6296" w:rsidRPr="00803041" w:rsidRDefault="006C6296" w:rsidP="006C6296">
            <w:pPr>
              <w:spacing w:before="120" w:after="120"/>
              <w:jc w:val="center"/>
              <w:rPr>
                <w:rFonts w:ascii="Verdana" w:hAnsi="Verdana"/>
                <w:b/>
                <w:color w:val="000000"/>
              </w:rPr>
            </w:pPr>
            <w:r w:rsidRPr="00803041">
              <w:rPr>
                <w:rFonts w:ascii="Verdana" w:hAnsi="Verdana"/>
                <w:b/>
                <w:color w:val="000000"/>
              </w:rPr>
              <w:t>If…</w:t>
            </w:r>
          </w:p>
        </w:tc>
        <w:tc>
          <w:tcPr>
            <w:tcW w:w="4198" w:type="pct"/>
            <w:gridSpan w:val="6"/>
            <w:tcBorders>
              <w:bottom w:val="single" w:sz="4" w:space="0" w:color="auto"/>
            </w:tcBorders>
            <w:shd w:val="clear" w:color="auto" w:fill="D9D9D9" w:themeFill="background1" w:themeFillShade="D9"/>
          </w:tcPr>
          <w:p w14:paraId="5A384DDE" w14:textId="77777777" w:rsidR="006C6296" w:rsidRPr="00803041" w:rsidRDefault="006C6296" w:rsidP="006C6296">
            <w:pPr>
              <w:spacing w:before="120" w:after="120"/>
              <w:jc w:val="center"/>
              <w:rPr>
                <w:rFonts w:ascii="Verdana" w:hAnsi="Verdana"/>
                <w:b/>
                <w:color w:val="000000"/>
              </w:rPr>
            </w:pPr>
            <w:r w:rsidRPr="00803041">
              <w:rPr>
                <w:rFonts w:ascii="Verdana" w:hAnsi="Verdana"/>
                <w:b/>
                <w:color w:val="000000"/>
              </w:rPr>
              <w:t>Then…</w:t>
            </w:r>
          </w:p>
        </w:tc>
      </w:tr>
      <w:tr w:rsidR="00DC5BE7" w14:paraId="54FC011B" w14:textId="77777777" w:rsidTr="00DC5BE7">
        <w:trPr>
          <w:cantSplit/>
          <w:trHeight w:val="90"/>
        </w:trPr>
        <w:tc>
          <w:tcPr>
            <w:tcW w:w="266" w:type="pct"/>
            <w:vMerge/>
          </w:tcPr>
          <w:p w14:paraId="2F89CF41" w14:textId="77777777" w:rsidR="006C6296" w:rsidRDefault="006C6296" w:rsidP="006C6296">
            <w:pPr>
              <w:spacing w:before="120" w:after="120"/>
              <w:jc w:val="center"/>
              <w:rPr>
                <w:rFonts w:ascii="Verdana" w:hAnsi="Verdana"/>
                <w:b/>
              </w:rPr>
            </w:pPr>
          </w:p>
        </w:tc>
        <w:tc>
          <w:tcPr>
            <w:tcW w:w="536" w:type="pct"/>
            <w:tcBorders>
              <w:bottom w:val="single" w:sz="4" w:space="0" w:color="auto"/>
            </w:tcBorders>
          </w:tcPr>
          <w:p w14:paraId="54E0B206" w14:textId="77777777" w:rsidR="006C6296" w:rsidRDefault="006C6296" w:rsidP="006C6296">
            <w:pPr>
              <w:spacing w:before="120" w:after="120"/>
              <w:rPr>
                <w:rFonts w:ascii="Verdana" w:hAnsi="Verdana"/>
                <w:color w:val="000000"/>
              </w:rPr>
            </w:pPr>
            <w:r>
              <w:rPr>
                <w:rFonts w:ascii="Verdana" w:hAnsi="Verdana"/>
                <w:color w:val="000000"/>
              </w:rPr>
              <w:t>Pharmacy is attempting to refill the prescription, but it is rejecting for refill too soon</w:t>
            </w:r>
          </w:p>
        </w:tc>
        <w:tc>
          <w:tcPr>
            <w:tcW w:w="4198" w:type="pct"/>
            <w:gridSpan w:val="6"/>
            <w:tcBorders>
              <w:bottom w:val="single" w:sz="4" w:space="0" w:color="auto"/>
            </w:tcBorders>
          </w:tcPr>
          <w:p w14:paraId="4B1A7FF9" w14:textId="77777777" w:rsidR="006C6296" w:rsidRDefault="006C6296" w:rsidP="006C6296">
            <w:pPr>
              <w:spacing w:before="120" w:after="120"/>
              <w:rPr>
                <w:rFonts w:ascii="Verdana" w:hAnsi="Verdana"/>
                <w:color w:val="000000"/>
              </w:rPr>
            </w:pPr>
            <w:r>
              <w:rPr>
                <w:rFonts w:ascii="Verdana" w:hAnsi="Verdana"/>
                <w:color w:val="000000"/>
              </w:rPr>
              <w:t>Advise the member/pharmacy that we can authorize a Refill Too Soon (RTS)</w:t>
            </w:r>
            <w:r w:rsidRPr="00803041">
              <w:rPr>
                <w:rFonts w:ascii="Verdana" w:hAnsi="Verdana"/>
                <w:color w:val="000000"/>
              </w:rPr>
              <w:t xml:space="preserve"> override for up to </w:t>
            </w:r>
            <w:proofErr w:type="gramStart"/>
            <w:r w:rsidRPr="00803041">
              <w:rPr>
                <w:rFonts w:ascii="Verdana" w:hAnsi="Verdana"/>
                <w:color w:val="000000"/>
              </w:rPr>
              <w:t>retail max</w:t>
            </w:r>
            <w:proofErr w:type="gramEnd"/>
            <w:r w:rsidRPr="00803041">
              <w:rPr>
                <w:rFonts w:ascii="Verdana" w:hAnsi="Verdana"/>
                <w:color w:val="000000"/>
              </w:rPr>
              <w:t xml:space="preserve"> allowed quantity.  </w:t>
            </w:r>
          </w:p>
          <w:p w14:paraId="52AC4D98" w14:textId="77777777" w:rsidR="006C6296" w:rsidRDefault="006C6296" w:rsidP="006C6296">
            <w:pPr>
              <w:numPr>
                <w:ilvl w:val="0"/>
                <w:numId w:val="3"/>
              </w:numPr>
              <w:spacing w:before="120" w:after="120"/>
              <w:ind w:left="503"/>
              <w:rPr>
                <w:rFonts w:ascii="Verdana" w:hAnsi="Verdana"/>
                <w:color w:val="000000"/>
              </w:rPr>
            </w:pPr>
            <w:r>
              <w:rPr>
                <w:rFonts w:ascii="Verdana" w:hAnsi="Verdana"/>
                <w:color w:val="000000"/>
              </w:rPr>
              <w:t>The member will be responsible for the copay, unless otherwise noted in the CIF. For example, some plans may allow for a 10-day supply at no charge to the member.</w:t>
            </w:r>
          </w:p>
          <w:p w14:paraId="3729ADC4" w14:textId="77777777" w:rsidR="006C6296" w:rsidRDefault="006C6296" w:rsidP="006C6296">
            <w:pPr>
              <w:spacing w:before="120" w:after="120"/>
              <w:rPr>
                <w:rFonts w:ascii="Verdana" w:hAnsi="Verdana"/>
                <w:color w:val="000000"/>
              </w:rPr>
            </w:pPr>
            <w:r>
              <w:rPr>
                <w:rFonts w:ascii="Verdana" w:hAnsi="Verdana"/>
                <w:color w:val="000000"/>
              </w:rPr>
              <w:t>Proceed to Step 3.</w:t>
            </w:r>
          </w:p>
        </w:tc>
      </w:tr>
      <w:tr w:rsidR="00DC5BE7" w14:paraId="6B840F44" w14:textId="77777777" w:rsidTr="00DC5BE7">
        <w:trPr>
          <w:cantSplit/>
          <w:trHeight w:val="90"/>
        </w:trPr>
        <w:tc>
          <w:tcPr>
            <w:tcW w:w="266" w:type="pct"/>
            <w:vMerge/>
          </w:tcPr>
          <w:p w14:paraId="62C35EE5" w14:textId="77777777" w:rsidR="006C6296" w:rsidRDefault="006C6296" w:rsidP="006C6296">
            <w:pPr>
              <w:spacing w:before="120" w:after="120"/>
              <w:jc w:val="center"/>
              <w:rPr>
                <w:rFonts w:ascii="Verdana" w:hAnsi="Verdana"/>
                <w:b/>
              </w:rPr>
            </w:pPr>
          </w:p>
        </w:tc>
        <w:tc>
          <w:tcPr>
            <w:tcW w:w="536" w:type="pct"/>
            <w:tcBorders>
              <w:bottom w:val="single" w:sz="4" w:space="0" w:color="auto"/>
            </w:tcBorders>
          </w:tcPr>
          <w:p w14:paraId="7C1C5B38" w14:textId="77777777" w:rsidR="006C6296" w:rsidRPr="00803041" w:rsidRDefault="006C6296" w:rsidP="006C6296">
            <w:pPr>
              <w:spacing w:before="120" w:after="120"/>
              <w:rPr>
                <w:rFonts w:ascii="Verdana" w:hAnsi="Verdana"/>
                <w:color w:val="000000"/>
              </w:rPr>
            </w:pPr>
            <w:r>
              <w:rPr>
                <w:rFonts w:ascii="Verdana" w:hAnsi="Verdana"/>
                <w:color w:val="000000"/>
              </w:rPr>
              <w:t>Member will be evacuating and needs more medication to hold them over through the emergency period</w:t>
            </w:r>
          </w:p>
        </w:tc>
        <w:tc>
          <w:tcPr>
            <w:tcW w:w="4198" w:type="pct"/>
            <w:gridSpan w:val="6"/>
            <w:tcBorders>
              <w:bottom w:val="single" w:sz="4" w:space="0" w:color="auto"/>
            </w:tcBorders>
          </w:tcPr>
          <w:p w14:paraId="66E45FFD" w14:textId="77777777" w:rsidR="006C6296" w:rsidRDefault="006C6296" w:rsidP="006C6296">
            <w:pPr>
              <w:spacing w:before="120" w:after="120"/>
              <w:rPr>
                <w:rFonts w:ascii="Verdana" w:hAnsi="Verdana"/>
                <w:color w:val="000000"/>
              </w:rPr>
            </w:pPr>
            <w:r>
              <w:rPr>
                <w:rFonts w:ascii="Verdana" w:hAnsi="Verdana"/>
                <w:color w:val="000000"/>
              </w:rPr>
              <w:t>Advise the member that we can authorize a Refill Too Soon (RTS)</w:t>
            </w:r>
            <w:r w:rsidRPr="00803041">
              <w:rPr>
                <w:rFonts w:ascii="Verdana" w:hAnsi="Verdana"/>
                <w:color w:val="000000"/>
              </w:rPr>
              <w:t xml:space="preserve"> override for up to retail max allowed quantity. </w:t>
            </w:r>
          </w:p>
          <w:p w14:paraId="6243556F" w14:textId="77777777" w:rsidR="006C6296" w:rsidRDefault="006C6296" w:rsidP="006C6296">
            <w:pPr>
              <w:numPr>
                <w:ilvl w:val="0"/>
                <w:numId w:val="3"/>
              </w:numPr>
              <w:spacing w:before="120" w:after="120"/>
              <w:ind w:left="503"/>
              <w:rPr>
                <w:rFonts w:ascii="Verdana" w:hAnsi="Verdana"/>
                <w:color w:val="000000"/>
              </w:rPr>
            </w:pPr>
            <w:r>
              <w:rPr>
                <w:rFonts w:ascii="Verdana" w:hAnsi="Verdana"/>
                <w:color w:val="000000"/>
              </w:rPr>
              <w:t>The member is responsible for the copay, unless otherwise noted in the CIF.</w:t>
            </w:r>
          </w:p>
          <w:p w14:paraId="4C316C13" w14:textId="77777777" w:rsidR="006C6296" w:rsidRDefault="006C6296" w:rsidP="006C6296">
            <w:pPr>
              <w:spacing w:before="120" w:after="120"/>
              <w:ind w:left="503"/>
              <w:rPr>
                <w:rFonts w:ascii="Verdana" w:hAnsi="Verdana"/>
                <w:color w:val="000000"/>
              </w:rPr>
            </w:pPr>
            <w:r w:rsidRPr="00FE5B77">
              <w:rPr>
                <w:rFonts w:ascii="Verdana" w:hAnsi="Verdana"/>
                <w:b/>
                <w:color w:val="000000"/>
              </w:rPr>
              <w:t>Example:</w:t>
            </w:r>
            <w:r>
              <w:rPr>
                <w:rFonts w:ascii="Verdana" w:hAnsi="Verdana"/>
                <w:color w:val="000000"/>
              </w:rPr>
              <w:t xml:space="preserve">  Some plans may allow for a 10-day supply at no charge to the member.</w:t>
            </w:r>
          </w:p>
          <w:p w14:paraId="1F0BEC32" w14:textId="77777777" w:rsidR="006C6296" w:rsidRDefault="006C6296" w:rsidP="006C6296">
            <w:pPr>
              <w:spacing w:before="120" w:after="120"/>
              <w:ind w:left="726"/>
              <w:rPr>
                <w:rFonts w:ascii="Verdana" w:hAnsi="Verdana"/>
                <w:color w:val="000000"/>
              </w:rPr>
            </w:pPr>
          </w:p>
          <w:p w14:paraId="27710518" w14:textId="77777777" w:rsidR="006C6296" w:rsidRDefault="006C6296" w:rsidP="006C6296">
            <w:pPr>
              <w:numPr>
                <w:ilvl w:val="0"/>
                <w:numId w:val="2"/>
              </w:numPr>
              <w:spacing w:before="120" w:after="120"/>
              <w:ind w:left="503"/>
              <w:rPr>
                <w:rFonts w:ascii="Verdana" w:hAnsi="Verdana"/>
                <w:color w:val="000000"/>
              </w:rPr>
            </w:pPr>
            <w:r>
              <w:rPr>
                <w:rFonts w:ascii="Verdana" w:hAnsi="Verdana"/>
                <w:color w:val="000000"/>
              </w:rPr>
              <w:t>The member should ask their pharmacy to submit the prescription to the insurance. If there are any issues, the pharmacy can contact our PBM for assistance.</w:t>
            </w:r>
          </w:p>
          <w:p w14:paraId="35DD35C6" w14:textId="77777777" w:rsidR="006C6296" w:rsidRDefault="006C6296" w:rsidP="006C6296">
            <w:pPr>
              <w:spacing w:before="120" w:after="120"/>
              <w:ind w:left="720"/>
              <w:rPr>
                <w:rFonts w:ascii="Verdana" w:hAnsi="Verdana"/>
                <w:color w:val="000000"/>
              </w:rPr>
            </w:pPr>
          </w:p>
          <w:p w14:paraId="0264AE6C" w14:textId="77777777" w:rsidR="006C6296" w:rsidRDefault="006C6296" w:rsidP="006C6296">
            <w:pPr>
              <w:spacing w:before="120" w:after="120"/>
              <w:rPr>
                <w:rFonts w:ascii="Verdana" w:hAnsi="Verdana"/>
                <w:color w:val="000000"/>
              </w:rPr>
            </w:pPr>
            <w:r>
              <w:rPr>
                <w:rFonts w:ascii="Verdana" w:hAnsi="Verdana"/>
                <w:color w:val="000000"/>
              </w:rPr>
              <w:t>Proceed to Step 3.</w:t>
            </w:r>
          </w:p>
        </w:tc>
      </w:tr>
      <w:tr w:rsidR="00DC5BE7" w14:paraId="38505CC4" w14:textId="77777777" w:rsidTr="00DC5BE7">
        <w:trPr>
          <w:cantSplit/>
          <w:trHeight w:val="90"/>
        </w:trPr>
        <w:tc>
          <w:tcPr>
            <w:tcW w:w="266" w:type="pct"/>
            <w:vMerge/>
          </w:tcPr>
          <w:p w14:paraId="444AA016" w14:textId="77777777" w:rsidR="006C6296" w:rsidRDefault="006C6296" w:rsidP="006C6296">
            <w:pPr>
              <w:spacing w:before="120" w:after="120"/>
              <w:jc w:val="center"/>
              <w:rPr>
                <w:rFonts w:ascii="Verdana" w:hAnsi="Verdana"/>
                <w:b/>
              </w:rPr>
            </w:pPr>
          </w:p>
        </w:tc>
        <w:tc>
          <w:tcPr>
            <w:tcW w:w="536" w:type="pct"/>
            <w:tcBorders>
              <w:bottom w:val="single" w:sz="4" w:space="0" w:color="auto"/>
            </w:tcBorders>
          </w:tcPr>
          <w:p w14:paraId="7DEC4AA0" w14:textId="77777777" w:rsidR="006C6296" w:rsidRDefault="006C6296" w:rsidP="006C6296">
            <w:pPr>
              <w:spacing w:before="120" w:after="120"/>
              <w:rPr>
                <w:rFonts w:ascii="Verdana" w:hAnsi="Verdana"/>
                <w:color w:val="000000"/>
              </w:rPr>
            </w:pPr>
            <w:r w:rsidRPr="00803041">
              <w:rPr>
                <w:rFonts w:ascii="Verdana" w:hAnsi="Verdana"/>
                <w:color w:val="000000"/>
              </w:rPr>
              <w:t xml:space="preserve">Member </w:t>
            </w:r>
            <w:r>
              <w:rPr>
                <w:rFonts w:ascii="Verdana" w:hAnsi="Verdana"/>
                <w:color w:val="000000"/>
              </w:rPr>
              <w:t>has evacuated</w:t>
            </w:r>
            <w:r w:rsidRPr="00803041">
              <w:rPr>
                <w:rFonts w:ascii="Verdana" w:hAnsi="Verdana"/>
                <w:color w:val="000000"/>
              </w:rPr>
              <w:t>, does not have medicatio</w:t>
            </w:r>
            <w:r>
              <w:rPr>
                <w:rFonts w:ascii="Verdana" w:hAnsi="Verdana"/>
                <w:color w:val="000000"/>
              </w:rPr>
              <w:t>n, but has a valid Rx with refills remaining</w:t>
            </w:r>
          </w:p>
        </w:tc>
        <w:tc>
          <w:tcPr>
            <w:tcW w:w="4198" w:type="pct"/>
            <w:gridSpan w:val="6"/>
            <w:tcBorders>
              <w:bottom w:val="single" w:sz="4" w:space="0" w:color="auto"/>
            </w:tcBorders>
          </w:tcPr>
          <w:p w14:paraId="6CF7C5C6" w14:textId="77777777" w:rsidR="006C6296" w:rsidRDefault="006C6296" w:rsidP="006C6296">
            <w:pPr>
              <w:spacing w:before="120" w:after="120"/>
              <w:rPr>
                <w:rFonts w:ascii="Verdana" w:hAnsi="Verdana"/>
                <w:color w:val="000000"/>
              </w:rPr>
            </w:pPr>
            <w:r>
              <w:rPr>
                <w:rFonts w:ascii="Verdana" w:hAnsi="Verdana"/>
                <w:color w:val="000000"/>
              </w:rPr>
              <w:t>Advise the member that we can authorize a Refill Too Soon (RTS)</w:t>
            </w:r>
            <w:r w:rsidRPr="00803041">
              <w:rPr>
                <w:rFonts w:ascii="Verdana" w:hAnsi="Verdana"/>
                <w:color w:val="000000"/>
              </w:rPr>
              <w:t xml:space="preserve"> override for up to retail max allowed quantity.  </w:t>
            </w:r>
          </w:p>
          <w:p w14:paraId="786B1B43" w14:textId="77777777" w:rsidR="006C6296" w:rsidRDefault="006C6296" w:rsidP="006C6296">
            <w:pPr>
              <w:numPr>
                <w:ilvl w:val="0"/>
                <w:numId w:val="3"/>
              </w:numPr>
              <w:spacing w:before="120" w:after="120"/>
              <w:ind w:left="503"/>
              <w:rPr>
                <w:rFonts w:ascii="Verdana" w:hAnsi="Verdana"/>
                <w:color w:val="000000"/>
              </w:rPr>
            </w:pPr>
            <w:r w:rsidRPr="00FE5B77">
              <w:rPr>
                <w:rFonts w:ascii="Verdana" w:hAnsi="Verdana"/>
                <w:color w:val="000000"/>
              </w:rPr>
              <w:t xml:space="preserve">The member </w:t>
            </w:r>
            <w:r>
              <w:rPr>
                <w:rFonts w:ascii="Verdana" w:hAnsi="Verdana"/>
                <w:color w:val="000000"/>
              </w:rPr>
              <w:t>is</w:t>
            </w:r>
            <w:r w:rsidRPr="00FE5B77">
              <w:rPr>
                <w:rFonts w:ascii="Verdana" w:hAnsi="Verdana"/>
                <w:color w:val="000000"/>
              </w:rPr>
              <w:t xml:space="preserve"> responsible for the copay, unless otherwise noted in the CIF. </w:t>
            </w:r>
            <w:r>
              <w:rPr>
                <w:rFonts w:ascii="Verdana" w:hAnsi="Verdana"/>
                <w:color w:val="000000"/>
              </w:rPr>
              <w:t xml:space="preserve"> </w:t>
            </w:r>
            <w:r w:rsidRPr="00FE5B77">
              <w:rPr>
                <w:rFonts w:ascii="Verdana" w:hAnsi="Verdana"/>
                <w:color w:val="000000"/>
              </w:rPr>
              <w:t xml:space="preserve">For example, some plans may allow for a 10-day supply at no charge to the member. </w:t>
            </w:r>
          </w:p>
          <w:p w14:paraId="4001CD8E" w14:textId="77777777" w:rsidR="006C6296" w:rsidRPr="00FE5B77" w:rsidRDefault="006C6296" w:rsidP="006C6296">
            <w:pPr>
              <w:numPr>
                <w:ilvl w:val="0"/>
                <w:numId w:val="3"/>
              </w:numPr>
              <w:spacing w:before="120" w:after="120"/>
              <w:ind w:left="503"/>
              <w:rPr>
                <w:rFonts w:ascii="Verdana" w:hAnsi="Verdana"/>
                <w:color w:val="000000"/>
              </w:rPr>
            </w:pPr>
            <w:r w:rsidRPr="00FE5B77">
              <w:rPr>
                <w:rFonts w:ascii="Verdana" w:hAnsi="Verdana"/>
                <w:color w:val="000000"/>
              </w:rPr>
              <w:t>The member should ask their pharmacy to submit the prescription to the insurance. If there are any issues, the pharmacy can contact our PBM for assistance.</w:t>
            </w:r>
          </w:p>
          <w:p w14:paraId="20378FF0" w14:textId="77777777" w:rsidR="006C6296" w:rsidRDefault="006C6296" w:rsidP="006C6296">
            <w:pPr>
              <w:spacing w:before="120" w:after="120"/>
              <w:ind w:left="720"/>
              <w:rPr>
                <w:rFonts w:ascii="Verdana" w:hAnsi="Verdana"/>
                <w:color w:val="000000"/>
              </w:rPr>
            </w:pPr>
          </w:p>
          <w:p w14:paraId="0E99AB61" w14:textId="77777777" w:rsidR="006C6296" w:rsidRDefault="006C6296" w:rsidP="006C6296">
            <w:pPr>
              <w:spacing w:before="120" w:after="120"/>
              <w:rPr>
                <w:rFonts w:ascii="Verdana" w:hAnsi="Verdana"/>
                <w:color w:val="000000"/>
              </w:rPr>
            </w:pPr>
            <w:r>
              <w:rPr>
                <w:rFonts w:ascii="Verdana" w:hAnsi="Verdana"/>
                <w:color w:val="000000"/>
              </w:rPr>
              <w:t>Proceed to Step 3.</w:t>
            </w:r>
          </w:p>
        </w:tc>
      </w:tr>
      <w:tr w:rsidR="00DC5BE7" w14:paraId="46047723" w14:textId="77777777" w:rsidTr="00DC5BE7">
        <w:trPr>
          <w:cantSplit/>
          <w:trHeight w:val="90"/>
        </w:trPr>
        <w:tc>
          <w:tcPr>
            <w:tcW w:w="266" w:type="pct"/>
            <w:vMerge/>
          </w:tcPr>
          <w:p w14:paraId="7E038B57" w14:textId="77777777" w:rsidR="006C6296" w:rsidRDefault="006C6296" w:rsidP="006C6296">
            <w:pPr>
              <w:spacing w:before="120" w:after="120"/>
              <w:jc w:val="center"/>
              <w:rPr>
                <w:rFonts w:ascii="Verdana" w:hAnsi="Verdana"/>
                <w:b/>
              </w:rPr>
            </w:pPr>
          </w:p>
        </w:tc>
        <w:tc>
          <w:tcPr>
            <w:tcW w:w="536" w:type="pct"/>
            <w:tcBorders>
              <w:bottom w:val="single" w:sz="4" w:space="0" w:color="auto"/>
            </w:tcBorders>
          </w:tcPr>
          <w:p w14:paraId="69057506" w14:textId="77777777" w:rsidR="006C6296" w:rsidRPr="00803041" w:rsidRDefault="006C6296" w:rsidP="006C6296">
            <w:pPr>
              <w:spacing w:before="120" w:after="120"/>
              <w:rPr>
                <w:rFonts w:ascii="Verdana" w:hAnsi="Verdana"/>
                <w:color w:val="000000"/>
              </w:rPr>
            </w:pPr>
            <w:r w:rsidRPr="00803041">
              <w:rPr>
                <w:rFonts w:ascii="Verdana" w:hAnsi="Verdana"/>
                <w:color w:val="000000"/>
              </w:rPr>
              <w:t xml:space="preserve">Member </w:t>
            </w:r>
            <w:r>
              <w:rPr>
                <w:rFonts w:ascii="Verdana" w:hAnsi="Verdana"/>
                <w:color w:val="000000"/>
              </w:rPr>
              <w:t>has evacuated</w:t>
            </w:r>
            <w:r w:rsidRPr="00803041">
              <w:rPr>
                <w:rFonts w:ascii="Verdana" w:hAnsi="Verdana"/>
                <w:color w:val="000000"/>
              </w:rPr>
              <w:t xml:space="preserve">, does not have medication, </w:t>
            </w:r>
            <w:r>
              <w:rPr>
                <w:rFonts w:ascii="Verdana" w:hAnsi="Verdana"/>
                <w:color w:val="000000"/>
              </w:rPr>
              <w:t xml:space="preserve">is </w:t>
            </w:r>
            <w:r w:rsidRPr="00803041">
              <w:rPr>
                <w:rFonts w:ascii="Verdana" w:hAnsi="Verdana"/>
                <w:color w:val="000000"/>
              </w:rPr>
              <w:t xml:space="preserve">unable to reach </w:t>
            </w:r>
            <w:r>
              <w:rPr>
                <w:rFonts w:ascii="Verdana" w:hAnsi="Verdana"/>
                <w:color w:val="000000"/>
              </w:rPr>
              <w:t>the prescriber and Rx is expired or has no refills remaining</w:t>
            </w:r>
          </w:p>
        </w:tc>
        <w:tc>
          <w:tcPr>
            <w:tcW w:w="4198" w:type="pct"/>
            <w:gridSpan w:val="6"/>
            <w:tcBorders>
              <w:bottom w:val="single" w:sz="4" w:space="0" w:color="auto"/>
            </w:tcBorders>
          </w:tcPr>
          <w:p w14:paraId="11676117" w14:textId="77777777" w:rsidR="006C6296" w:rsidRPr="00432307" w:rsidRDefault="006C6296" w:rsidP="006C6296">
            <w:pPr>
              <w:spacing w:before="120" w:after="120"/>
              <w:rPr>
                <w:rFonts w:ascii="Verdana" w:hAnsi="Verdana"/>
                <w:color w:val="000000"/>
              </w:rPr>
            </w:pPr>
            <w:r w:rsidRPr="00432307">
              <w:rPr>
                <w:rFonts w:ascii="Verdana" w:hAnsi="Verdana"/>
                <w:color w:val="000000"/>
              </w:rPr>
              <w:t xml:space="preserve">Advise the member to go to a network pharmacy in the area and explain the situation. The pharmacy will determine if medication can be provided to the member. </w:t>
            </w:r>
          </w:p>
        </w:tc>
      </w:tr>
      <w:tr w:rsidR="006C6296" w14:paraId="10D178B7" w14:textId="77777777" w:rsidTr="00DC5BE7">
        <w:trPr>
          <w:cantSplit/>
          <w:trHeight w:val="270"/>
        </w:trPr>
        <w:tc>
          <w:tcPr>
            <w:tcW w:w="266" w:type="pct"/>
            <w:vMerge w:val="restart"/>
          </w:tcPr>
          <w:p w14:paraId="345B5401" w14:textId="77777777" w:rsidR="006C6296" w:rsidRDefault="006C6296" w:rsidP="006C6296">
            <w:pPr>
              <w:spacing w:before="120" w:after="120"/>
              <w:jc w:val="center"/>
              <w:rPr>
                <w:rFonts w:ascii="Verdana" w:hAnsi="Verdana"/>
                <w:b/>
              </w:rPr>
            </w:pPr>
            <w:r>
              <w:rPr>
                <w:rFonts w:ascii="Verdana" w:hAnsi="Verdana"/>
                <w:b/>
              </w:rPr>
              <w:t>3</w:t>
            </w:r>
          </w:p>
        </w:tc>
        <w:tc>
          <w:tcPr>
            <w:tcW w:w="4734" w:type="pct"/>
            <w:gridSpan w:val="7"/>
            <w:tcBorders>
              <w:bottom w:val="single" w:sz="4" w:space="0" w:color="auto"/>
            </w:tcBorders>
          </w:tcPr>
          <w:p w14:paraId="2EB27F7C" w14:textId="77777777" w:rsidR="006C6296" w:rsidRDefault="006C6296" w:rsidP="006C6296">
            <w:pPr>
              <w:spacing w:before="120" w:after="120"/>
              <w:rPr>
                <w:rFonts w:ascii="Verdana" w:hAnsi="Verdana"/>
                <w:color w:val="000000"/>
              </w:rPr>
            </w:pPr>
            <w:r>
              <w:rPr>
                <w:rFonts w:ascii="Verdana" w:hAnsi="Verdana"/>
                <w:color w:val="000000"/>
              </w:rPr>
              <w:t xml:space="preserve">Check the Overrides section of the CIF for Disaster/Emergency overrides. </w:t>
            </w:r>
          </w:p>
        </w:tc>
      </w:tr>
      <w:tr w:rsidR="00DC5BE7" w14:paraId="6FE41209" w14:textId="77777777" w:rsidTr="00DC5BE7">
        <w:trPr>
          <w:cantSplit/>
          <w:trHeight w:val="90"/>
        </w:trPr>
        <w:tc>
          <w:tcPr>
            <w:tcW w:w="266" w:type="pct"/>
            <w:vMerge/>
          </w:tcPr>
          <w:p w14:paraId="4F10AE97" w14:textId="77777777" w:rsidR="006C6296" w:rsidRDefault="006C6296" w:rsidP="006C6296">
            <w:pPr>
              <w:spacing w:before="120" w:after="120"/>
              <w:jc w:val="center"/>
              <w:rPr>
                <w:rFonts w:ascii="Verdana" w:hAnsi="Verdana"/>
                <w:b/>
              </w:rPr>
            </w:pPr>
          </w:p>
        </w:tc>
        <w:tc>
          <w:tcPr>
            <w:tcW w:w="536" w:type="pct"/>
            <w:tcBorders>
              <w:bottom w:val="single" w:sz="4" w:space="0" w:color="auto"/>
            </w:tcBorders>
            <w:shd w:val="clear" w:color="auto" w:fill="D9D9D9" w:themeFill="background1" w:themeFillShade="D9"/>
          </w:tcPr>
          <w:p w14:paraId="4E06B3D7" w14:textId="77777777" w:rsidR="006C6296" w:rsidRPr="005E7783" w:rsidRDefault="006C6296" w:rsidP="006C6296">
            <w:pPr>
              <w:spacing w:before="120" w:after="120"/>
              <w:jc w:val="center"/>
              <w:rPr>
                <w:rFonts w:ascii="Verdana" w:hAnsi="Verdana"/>
                <w:b/>
                <w:color w:val="000000"/>
              </w:rPr>
            </w:pPr>
            <w:r w:rsidRPr="005E7783">
              <w:rPr>
                <w:rFonts w:ascii="Verdana" w:hAnsi="Verdana"/>
                <w:b/>
                <w:color w:val="000000"/>
              </w:rPr>
              <w:t>If</w:t>
            </w:r>
            <w:r>
              <w:rPr>
                <w:rFonts w:ascii="Verdana" w:hAnsi="Verdana"/>
                <w:b/>
                <w:color w:val="000000"/>
              </w:rPr>
              <w:t xml:space="preserve"> CIF says</w:t>
            </w:r>
            <w:r w:rsidRPr="005E7783">
              <w:rPr>
                <w:rFonts w:ascii="Verdana" w:hAnsi="Verdana"/>
                <w:b/>
                <w:color w:val="000000"/>
              </w:rPr>
              <w:t>…</w:t>
            </w:r>
          </w:p>
        </w:tc>
        <w:tc>
          <w:tcPr>
            <w:tcW w:w="4198" w:type="pct"/>
            <w:gridSpan w:val="6"/>
            <w:tcBorders>
              <w:bottom w:val="single" w:sz="4" w:space="0" w:color="auto"/>
            </w:tcBorders>
            <w:shd w:val="clear" w:color="auto" w:fill="D9D9D9" w:themeFill="background1" w:themeFillShade="D9"/>
          </w:tcPr>
          <w:p w14:paraId="722E28E7" w14:textId="77777777" w:rsidR="006C6296" w:rsidRPr="005E7783" w:rsidRDefault="006C6296" w:rsidP="006C6296">
            <w:pPr>
              <w:spacing w:before="120" w:after="120"/>
              <w:jc w:val="center"/>
              <w:rPr>
                <w:rFonts w:ascii="Verdana" w:hAnsi="Verdana"/>
                <w:b/>
                <w:color w:val="000000"/>
              </w:rPr>
            </w:pPr>
            <w:r w:rsidRPr="005E7783">
              <w:rPr>
                <w:rFonts w:ascii="Verdana" w:hAnsi="Verdana"/>
                <w:b/>
                <w:color w:val="000000"/>
              </w:rPr>
              <w:t>Then…</w:t>
            </w:r>
          </w:p>
        </w:tc>
      </w:tr>
      <w:tr w:rsidR="00DC5BE7" w14:paraId="1514CF5D" w14:textId="77777777" w:rsidTr="00DC5BE7">
        <w:trPr>
          <w:cantSplit/>
          <w:trHeight w:val="51"/>
        </w:trPr>
        <w:tc>
          <w:tcPr>
            <w:tcW w:w="266" w:type="pct"/>
            <w:vMerge/>
          </w:tcPr>
          <w:p w14:paraId="1B94E7AC" w14:textId="77777777" w:rsidR="006C6296" w:rsidRDefault="006C6296" w:rsidP="006C6296">
            <w:pPr>
              <w:spacing w:before="120" w:after="120"/>
              <w:jc w:val="center"/>
              <w:rPr>
                <w:rFonts w:ascii="Verdana" w:hAnsi="Verdana"/>
                <w:b/>
              </w:rPr>
            </w:pPr>
          </w:p>
        </w:tc>
        <w:tc>
          <w:tcPr>
            <w:tcW w:w="536" w:type="pct"/>
            <w:vMerge w:val="restart"/>
          </w:tcPr>
          <w:p w14:paraId="3A886376" w14:textId="77777777" w:rsidR="006C6296" w:rsidRDefault="006C6296" w:rsidP="006C6296">
            <w:pPr>
              <w:spacing w:before="120" w:after="120"/>
              <w:rPr>
                <w:rFonts w:ascii="Verdana" w:hAnsi="Verdana"/>
                <w:color w:val="000000"/>
              </w:rPr>
            </w:pPr>
            <w:r>
              <w:rPr>
                <w:rFonts w:ascii="Verdana" w:hAnsi="Verdana"/>
                <w:color w:val="000000"/>
              </w:rPr>
              <w:t>Yes</w:t>
            </w:r>
          </w:p>
        </w:tc>
        <w:tc>
          <w:tcPr>
            <w:tcW w:w="4198" w:type="pct"/>
            <w:gridSpan w:val="6"/>
            <w:tcBorders>
              <w:bottom w:val="single" w:sz="4" w:space="0" w:color="auto"/>
            </w:tcBorders>
          </w:tcPr>
          <w:p w14:paraId="1D5C85A1" w14:textId="4406DF6C" w:rsidR="006C6296" w:rsidRPr="00F02A14" w:rsidRDefault="006C6296" w:rsidP="006C6296">
            <w:pPr>
              <w:spacing w:before="120" w:after="120"/>
              <w:rPr>
                <w:rFonts w:ascii="Verdana" w:hAnsi="Verdana"/>
                <w:color w:val="000000"/>
              </w:rPr>
            </w:pPr>
            <w:r w:rsidRPr="00F02A14">
              <w:rPr>
                <w:rFonts w:ascii="Verdana" w:hAnsi="Verdana"/>
                <w:color w:val="000000"/>
              </w:rPr>
              <w:t xml:space="preserve">Refer to </w:t>
            </w:r>
            <w:hyperlink r:id="rId13" w:anchor="!/view?docid=44418b02-7e70-41cc-bb2e-bb38164a951f" w:history="1">
              <w:r w:rsidRPr="00F02A14">
                <w:rPr>
                  <w:rStyle w:val="Hyperlink"/>
                  <w:rFonts w:ascii="Verdana" w:eastAsiaTheme="majorEastAsia" w:hAnsi="Verdana" w:cs="Helvetica"/>
                  <w:shd w:val="clear" w:color="auto" w:fill="FFFFFF"/>
                </w:rPr>
                <w:t>Compass – Plan Benefit Override (PBO) Guide (061708)</w:t>
              </w:r>
            </w:hyperlink>
            <w:r w:rsidR="00C4474E">
              <w:rPr>
                <w:rStyle w:val="Hyperlink"/>
                <w:rFonts w:ascii="Verdana" w:eastAsiaTheme="majorEastAsia" w:hAnsi="Verdana" w:cs="Helvetica"/>
                <w:color w:val="auto"/>
                <w:u w:val="none"/>
                <w:shd w:val="clear" w:color="auto" w:fill="FFFFFF"/>
              </w:rPr>
              <w:t xml:space="preserve"> </w:t>
            </w:r>
            <w:r w:rsidR="00C4474E" w:rsidRPr="00C4474E">
              <w:rPr>
                <w:rStyle w:val="Hyperlink"/>
                <w:rFonts w:ascii="Verdana" w:eastAsiaTheme="majorEastAsia" w:hAnsi="Verdana" w:cs="Helvetica"/>
                <w:color w:val="000000" w:themeColor="text1"/>
                <w:u w:val="none"/>
                <w:shd w:val="clear" w:color="auto" w:fill="FFFFFF"/>
              </w:rPr>
              <w:t>a</w:t>
            </w:r>
            <w:r w:rsidRPr="00C4474E">
              <w:rPr>
                <w:rStyle w:val="Hyperlink"/>
                <w:rFonts w:ascii="Verdana" w:eastAsiaTheme="majorEastAsia" w:hAnsi="Verdana" w:cs="Helvetica"/>
                <w:color w:val="auto"/>
                <w:u w:val="none"/>
                <w:shd w:val="clear" w:color="auto" w:fill="FFFFFF"/>
              </w:rPr>
              <w:t>nd assist with entering</w:t>
            </w:r>
            <w:r w:rsidRPr="00C4474E">
              <w:rPr>
                <w:rFonts w:ascii="Verdana" w:hAnsi="Verdana"/>
                <w:color w:val="000000"/>
              </w:rPr>
              <w:t xml:space="preserve"> </w:t>
            </w:r>
            <w:r w:rsidRPr="00F02A14">
              <w:rPr>
                <w:rFonts w:ascii="Verdana" w:hAnsi="Verdana"/>
                <w:color w:val="000000"/>
              </w:rPr>
              <w:t>the override according to the CIF guidelines.</w:t>
            </w:r>
          </w:p>
          <w:p w14:paraId="017F2A37" w14:textId="77777777" w:rsidR="006C6296" w:rsidRPr="00F02A14" w:rsidRDefault="006C6296" w:rsidP="006C6296">
            <w:pPr>
              <w:spacing w:before="120" w:after="120"/>
              <w:rPr>
                <w:rFonts w:ascii="Verdana" w:hAnsi="Verdana"/>
                <w:color w:val="000000"/>
              </w:rPr>
            </w:pPr>
            <w:r w:rsidRPr="00F02A14">
              <w:rPr>
                <w:rFonts w:ascii="Verdana" w:hAnsi="Verdana"/>
                <w:b/>
                <w:color w:val="000000"/>
              </w:rPr>
              <w:t>Example:</w:t>
            </w:r>
            <w:r w:rsidRPr="00F02A14">
              <w:rPr>
                <w:rFonts w:ascii="Verdana" w:hAnsi="Verdana"/>
                <w:color w:val="000000"/>
              </w:rPr>
              <w:t xml:space="preserve">  Some clients may authorize a greater day supply or waive the copay.</w:t>
            </w:r>
          </w:p>
          <w:p w14:paraId="0683205A" w14:textId="77777777" w:rsidR="006C6296" w:rsidRDefault="006C6296" w:rsidP="006C6296">
            <w:pPr>
              <w:numPr>
                <w:ilvl w:val="0"/>
                <w:numId w:val="6"/>
              </w:numPr>
              <w:spacing w:before="120" w:after="120"/>
              <w:ind w:left="526"/>
              <w:rPr>
                <w:rFonts w:ascii="Verdana" w:hAnsi="Verdana"/>
                <w:color w:val="000000"/>
              </w:rPr>
            </w:pPr>
            <w:r w:rsidRPr="00BA32C8">
              <w:rPr>
                <w:rFonts w:ascii="Verdana" w:hAnsi="Verdana"/>
                <w:color w:val="000000"/>
              </w:rPr>
              <w:t>The day supply allowed will be based on the amount authorized in the Declaration of Emergency for the member’s state.</w:t>
            </w:r>
          </w:p>
          <w:p w14:paraId="6F7CE227" w14:textId="77777777" w:rsidR="006C6296" w:rsidRPr="00BA32C8" w:rsidRDefault="006C6296" w:rsidP="006C6296">
            <w:pPr>
              <w:spacing w:before="120" w:after="120"/>
              <w:rPr>
                <w:rFonts w:ascii="Verdana" w:hAnsi="Verdana"/>
                <w:color w:val="000000"/>
              </w:rPr>
            </w:pPr>
          </w:p>
          <w:p w14:paraId="24FCE61E" w14:textId="77777777" w:rsidR="006C6296" w:rsidRPr="00F02A14" w:rsidRDefault="006C6296" w:rsidP="006C6296">
            <w:pPr>
              <w:spacing w:before="120" w:after="120"/>
              <w:rPr>
                <w:rFonts w:ascii="Verdana" w:hAnsi="Verdana"/>
                <w:color w:val="000000"/>
              </w:rPr>
            </w:pPr>
            <w:r w:rsidRPr="00F02A14">
              <w:rPr>
                <w:rFonts w:ascii="Verdana" w:hAnsi="Verdana"/>
                <w:b/>
                <w:color w:val="000000"/>
              </w:rPr>
              <w:t>Note:</w:t>
            </w:r>
            <w:r w:rsidRPr="00F02A14">
              <w:rPr>
                <w:rFonts w:ascii="Verdana" w:hAnsi="Verdana"/>
                <w:color w:val="000000"/>
              </w:rPr>
              <w:t xml:space="preserve">  When a State of Emergency is declared in the member’s area, we can override Refill Too Soon rejections to ensure there is no break in the member’s therapy, even if the CIF says “No” for Disaster Emergency overrides. The member will be responsible for their copay.</w:t>
            </w:r>
          </w:p>
        </w:tc>
      </w:tr>
      <w:tr w:rsidR="00DC5BE7" w14:paraId="4FFCD32B" w14:textId="77777777" w:rsidTr="00DC5BE7">
        <w:trPr>
          <w:cantSplit/>
          <w:trHeight w:val="48"/>
        </w:trPr>
        <w:tc>
          <w:tcPr>
            <w:tcW w:w="266" w:type="pct"/>
            <w:vMerge/>
          </w:tcPr>
          <w:p w14:paraId="5A63DAAE" w14:textId="77777777" w:rsidR="006C6296" w:rsidRDefault="006C6296" w:rsidP="006C6296">
            <w:pPr>
              <w:spacing w:before="120" w:after="120"/>
              <w:jc w:val="center"/>
              <w:rPr>
                <w:rFonts w:ascii="Verdana" w:hAnsi="Verdana"/>
                <w:b/>
              </w:rPr>
            </w:pPr>
          </w:p>
        </w:tc>
        <w:tc>
          <w:tcPr>
            <w:tcW w:w="536" w:type="pct"/>
            <w:vMerge/>
          </w:tcPr>
          <w:p w14:paraId="43C93262" w14:textId="77777777" w:rsidR="006C6296" w:rsidRDefault="006C6296" w:rsidP="006C6296">
            <w:pPr>
              <w:spacing w:before="120" w:after="120"/>
              <w:rPr>
                <w:rFonts w:ascii="Verdana" w:hAnsi="Verdana"/>
                <w:color w:val="000000"/>
              </w:rPr>
            </w:pPr>
          </w:p>
        </w:tc>
        <w:tc>
          <w:tcPr>
            <w:tcW w:w="936" w:type="pct"/>
            <w:gridSpan w:val="2"/>
            <w:tcBorders>
              <w:bottom w:val="single" w:sz="4" w:space="0" w:color="auto"/>
            </w:tcBorders>
            <w:shd w:val="clear" w:color="auto" w:fill="D9D9D9" w:themeFill="background1" w:themeFillShade="D9"/>
          </w:tcPr>
          <w:p w14:paraId="189EA608" w14:textId="77777777" w:rsidR="006C6296" w:rsidRDefault="006C6296" w:rsidP="006C6296">
            <w:pPr>
              <w:spacing w:before="120" w:after="120"/>
              <w:jc w:val="center"/>
              <w:rPr>
                <w:rFonts w:ascii="Verdana" w:hAnsi="Verdana"/>
                <w:color w:val="000000"/>
              </w:rPr>
            </w:pPr>
            <w:r w:rsidRPr="00B07DCC">
              <w:rPr>
                <w:rFonts w:ascii="Verdana" w:hAnsi="Verdana"/>
                <w:b/>
              </w:rPr>
              <w:t>If...</w:t>
            </w:r>
          </w:p>
        </w:tc>
        <w:tc>
          <w:tcPr>
            <w:tcW w:w="3262" w:type="pct"/>
            <w:gridSpan w:val="4"/>
            <w:tcBorders>
              <w:bottom w:val="single" w:sz="4" w:space="0" w:color="auto"/>
            </w:tcBorders>
            <w:shd w:val="clear" w:color="auto" w:fill="D9D9D9" w:themeFill="background1" w:themeFillShade="D9"/>
          </w:tcPr>
          <w:p w14:paraId="19543EE0" w14:textId="77777777" w:rsidR="006C6296" w:rsidRDefault="006C6296" w:rsidP="006C6296">
            <w:pPr>
              <w:spacing w:before="120" w:after="120"/>
              <w:jc w:val="center"/>
              <w:rPr>
                <w:rFonts w:ascii="Verdana" w:hAnsi="Verdana"/>
                <w:color w:val="000000"/>
              </w:rPr>
            </w:pPr>
            <w:r w:rsidRPr="00B07DCC">
              <w:rPr>
                <w:rFonts w:ascii="Verdana" w:hAnsi="Verdana"/>
                <w:b/>
              </w:rPr>
              <w:t>Then...</w:t>
            </w:r>
          </w:p>
        </w:tc>
      </w:tr>
      <w:tr w:rsidR="00DC5BE7" w14:paraId="2DDEDB71" w14:textId="77777777" w:rsidTr="00DC5BE7">
        <w:trPr>
          <w:cantSplit/>
          <w:trHeight w:val="48"/>
        </w:trPr>
        <w:tc>
          <w:tcPr>
            <w:tcW w:w="266" w:type="pct"/>
            <w:vMerge/>
          </w:tcPr>
          <w:p w14:paraId="313DF083" w14:textId="77777777" w:rsidR="006C6296" w:rsidRDefault="006C6296" w:rsidP="006C6296">
            <w:pPr>
              <w:spacing w:before="120" w:after="120"/>
              <w:jc w:val="center"/>
              <w:rPr>
                <w:rFonts w:ascii="Verdana" w:hAnsi="Verdana"/>
                <w:b/>
              </w:rPr>
            </w:pPr>
          </w:p>
        </w:tc>
        <w:tc>
          <w:tcPr>
            <w:tcW w:w="536" w:type="pct"/>
            <w:vMerge/>
          </w:tcPr>
          <w:p w14:paraId="3040ADE7" w14:textId="77777777" w:rsidR="006C6296" w:rsidRDefault="006C6296" w:rsidP="006C6296">
            <w:pPr>
              <w:spacing w:before="120" w:after="120"/>
              <w:rPr>
                <w:rFonts w:ascii="Verdana" w:hAnsi="Verdana"/>
                <w:color w:val="000000"/>
              </w:rPr>
            </w:pPr>
          </w:p>
        </w:tc>
        <w:tc>
          <w:tcPr>
            <w:tcW w:w="936" w:type="pct"/>
            <w:gridSpan w:val="2"/>
            <w:tcBorders>
              <w:bottom w:val="single" w:sz="4" w:space="0" w:color="auto"/>
            </w:tcBorders>
          </w:tcPr>
          <w:p w14:paraId="3C5C485E" w14:textId="77777777" w:rsidR="006C6296" w:rsidRPr="005B15D2" w:rsidRDefault="006C6296" w:rsidP="006C6296">
            <w:pPr>
              <w:spacing w:before="120" w:after="120"/>
              <w:rPr>
                <w:rFonts w:ascii="Verdana" w:hAnsi="Verdana"/>
                <w:color w:val="000000"/>
              </w:rPr>
            </w:pPr>
            <w:r w:rsidRPr="005B15D2">
              <w:rPr>
                <w:rFonts w:ascii="Verdana" w:hAnsi="Verdana"/>
              </w:rPr>
              <w:t>The days’ supply is included in the Declaration of Emergency</w:t>
            </w:r>
          </w:p>
        </w:tc>
        <w:tc>
          <w:tcPr>
            <w:tcW w:w="3262" w:type="pct"/>
            <w:gridSpan w:val="4"/>
            <w:tcBorders>
              <w:bottom w:val="single" w:sz="4" w:space="0" w:color="auto"/>
            </w:tcBorders>
          </w:tcPr>
          <w:p w14:paraId="3B5102A2" w14:textId="77777777" w:rsidR="006C6296" w:rsidRPr="005B15D2" w:rsidRDefault="006C6296" w:rsidP="006C6296">
            <w:pPr>
              <w:spacing w:before="120" w:after="120"/>
              <w:rPr>
                <w:rFonts w:ascii="Verdana" w:hAnsi="Verdana"/>
                <w:color w:val="000000"/>
              </w:rPr>
            </w:pPr>
            <w:r w:rsidRPr="005B15D2">
              <w:rPr>
                <w:rFonts w:ascii="Verdana" w:hAnsi="Verdana"/>
              </w:rPr>
              <w:t>The override can be entered for up to the amount listed.</w:t>
            </w:r>
          </w:p>
        </w:tc>
      </w:tr>
      <w:tr w:rsidR="00DC5BE7" w14:paraId="669303EF" w14:textId="77777777" w:rsidTr="00DC5BE7">
        <w:trPr>
          <w:cantSplit/>
          <w:trHeight w:val="23"/>
        </w:trPr>
        <w:tc>
          <w:tcPr>
            <w:tcW w:w="266" w:type="pct"/>
            <w:vMerge/>
          </w:tcPr>
          <w:p w14:paraId="599548AE" w14:textId="77777777" w:rsidR="006C6296" w:rsidRDefault="006C6296" w:rsidP="006C6296">
            <w:pPr>
              <w:spacing w:before="120" w:after="120"/>
              <w:jc w:val="center"/>
              <w:rPr>
                <w:rFonts w:ascii="Verdana" w:hAnsi="Verdana"/>
                <w:b/>
              </w:rPr>
            </w:pPr>
          </w:p>
        </w:tc>
        <w:tc>
          <w:tcPr>
            <w:tcW w:w="536" w:type="pct"/>
            <w:vMerge/>
          </w:tcPr>
          <w:p w14:paraId="4F1211C1" w14:textId="77777777" w:rsidR="006C6296" w:rsidRDefault="006C6296" w:rsidP="006C6296">
            <w:pPr>
              <w:spacing w:before="120" w:after="120"/>
              <w:rPr>
                <w:rFonts w:ascii="Verdana" w:hAnsi="Verdana"/>
                <w:color w:val="000000"/>
              </w:rPr>
            </w:pPr>
          </w:p>
        </w:tc>
        <w:tc>
          <w:tcPr>
            <w:tcW w:w="936" w:type="pct"/>
            <w:gridSpan w:val="2"/>
            <w:vMerge w:val="restart"/>
          </w:tcPr>
          <w:p w14:paraId="033FEB17" w14:textId="77777777" w:rsidR="006C6296" w:rsidRPr="005B15D2" w:rsidRDefault="006C6296" w:rsidP="006C6296">
            <w:pPr>
              <w:tabs>
                <w:tab w:val="left" w:pos="3660"/>
              </w:tabs>
              <w:spacing w:before="120" w:after="120"/>
              <w:rPr>
                <w:rFonts w:ascii="Verdana" w:hAnsi="Verdana"/>
                <w:color w:val="000000"/>
              </w:rPr>
            </w:pPr>
            <w:r w:rsidRPr="005B15D2">
              <w:rPr>
                <w:rFonts w:ascii="Verdana" w:hAnsi="Verdana"/>
              </w:rPr>
              <w:t>No days’ supply is mentioned in the Declaration of Emergency</w:t>
            </w:r>
          </w:p>
        </w:tc>
        <w:tc>
          <w:tcPr>
            <w:tcW w:w="3262" w:type="pct"/>
            <w:gridSpan w:val="4"/>
            <w:tcBorders>
              <w:bottom w:val="single" w:sz="4" w:space="0" w:color="auto"/>
            </w:tcBorders>
          </w:tcPr>
          <w:p w14:paraId="462A79E4" w14:textId="77777777" w:rsidR="006C6296" w:rsidRPr="005B15D2" w:rsidRDefault="006C6296" w:rsidP="006C6296">
            <w:pPr>
              <w:spacing w:before="120" w:after="120"/>
              <w:rPr>
                <w:rFonts w:ascii="Verdana" w:hAnsi="Verdana"/>
                <w:color w:val="000000"/>
              </w:rPr>
            </w:pPr>
            <w:r w:rsidRPr="005B15D2">
              <w:rPr>
                <w:rFonts w:ascii="Verdana" w:hAnsi="Verdana"/>
              </w:rPr>
              <w:t>Refer to the</w:t>
            </w:r>
            <w:r w:rsidRPr="005B15D2">
              <w:rPr>
                <w:rFonts w:ascii="Verdana" w:hAnsi="Verdana"/>
                <w:color w:val="FF0000"/>
              </w:rPr>
              <w:t xml:space="preserve"> </w:t>
            </w:r>
            <w:hyperlink w:anchor="_State-Specific_Day_Supply" w:history="1">
              <w:r w:rsidRPr="005B15D2">
                <w:rPr>
                  <w:rStyle w:val="Hyperlink"/>
                  <w:rFonts w:ascii="Verdana" w:eastAsiaTheme="majorEastAsia" w:hAnsi="Verdana"/>
                </w:rPr>
                <w:t>State-Specific Day Supply Allowances</w:t>
              </w:r>
            </w:hyperlink>
            <w:r w:rsidRPr="005B15D2">
              <w:rPr>
                <w:rFonts w:ascii="Verdana" w:hAnsi="Verdana"/>
                <w:color w:val="000000"/>
              </w:rPr>
              <w:t>.</w:t>
            </w:r>
          </w:p>
        </w:tc>
      </w:tr>
      <w:tr w:rsidR="00DC5BE7" w14:paraId="459F4B41" w14:textId="77777777" w:rsidTr="00DC5BE7">
        <w:trPr>
          <w:cantSplit/>
          <w:trHeight w:val="22"/>
        </w:trPr>
        <w:tc>
          <w:tcPr>
            <w:tcW w:w="266" w:type="pct"/>
            <w:vMerge/>
          </w:tcPr>
          <w:p w14:paraId="310ACC14" w14:textId="77777777" w:rsidR="006C6296" w:rsidRDefault="006C6296" w:rsidP="006C6296">
            <w:pPr>
              <w:spacing w:before="120" w:after="120"/>
              <w:jc w:val="center"/>
              <w:rPr>
                <w:rFonts w:ascii="Verdana" w:hAnsi="Verdana"/>
                <w:b/>
              </w:rPr>
            </w:pPr>
          </w:p>
        </w:tc>
        <w:tc>
          <w:tcPr>
            <w:tcW w:w="536" w:type="pct"/>
            <w:vMerge/>
          </w:tcPr>
          <w:p w14:paraId="0643F675" w14:textId="77777777" w:rsidR="006C6296" w:rsidRDefault="006C6296" w:rsidP="006C6296">
            <w:pPr>
              <w:spacing w:before="120" w:after="120"/>
              <w:rPr>
                <w:rFonts w:ascii="Verdana" w:hAnsi="Verdana"/>
                <w:color w:val="000000"/>
              </w:rPr>
            </w:pPr>
          </w:p>
        </w:tc>
        <w:tc>
          <w:tcPr>
            <w:tcW w:w="936" w:type="pct"/>
            <w:gridSpan w:val="2"/>
            <w:vMerge/>
          </w:tcPr>
          <w:p w14:paraId="78529C26" w14:textId="77777777" w:rsidR="006C6296" w:rsidRPr="005B15D2" w:rsidRDefault="006C6296" w:rsidP="006C6296">
            <w:pPr>
              <w:tabs>
                <w:tab w:val="left" w:pos="3660"/>
              </w:tabs>
              <w:spacing w:before="120" w:after="120"/>
              <w:rPr>
                <w:rFonts w:ascii="Verdana" w:hAnsi="Verdana"/>
              </w:rPr>
            </w:pPr>
          </w:p>
        </w:tc>
        <w:tc>
          <w:tcPr>
            <w:tcW w:w="1122" w:type="pct"/>
            <w:gridSpan w:val="3"/>
            <w:tcBorders>
              <w:bottom w:val="single" w:sz="4" w:space="0" w:color="auto"/>
            </w:tcBorders>
            <w:shd w:val="clear" w:color="auto" w:fill="D9D9D9" w:themeFill="background1" w:themeFillShade="D9"/>
          </w:tcPr>
          <w:p w14:paraId="143D601C" w14:textId="77777777" w:rsidR="006C6296" w:rsidRPr="005B15D2" w:rsidRDefault="006C6296" w:rsidP="006C6296">
            <w:pPr>
              <w:spacing w:before="120" w:after="120"/>
              <w:jc w:val="center"/>
              <w:rPr>
                <w:rFonts w:ascii="Verdana" w:hAnsi="Verdana"/>
              </w:rPr>
            </w:pPr>
            <w:r w:rsidRPr="005B15D2">
              <w:rPr>
                <w:rFonts w:ascii="Verdana" w:hAnsi="Verdana"/>
                <w:b/>
              </w:rPr>
              <w:t>If the state is...</w:t>
            </w:r>
          </w:p>
        </w:tc>
        <w:tc>
          <w:tcPr>
            <w:tcW w:w="2140" w:type="pct"/>
            <w:tcBorders>
              <w:bottom w:val="single" w:sz="4" w:space="0" w:color="auto"/>
            </w:tcBorders>
            <w:shd w:val="clear" w:color="auto" w:fill="D9D9D9" w:themeFill="background1" w:themeFillShade="D9"/>
          </w:tcPr>
          <w:p w14:paraId="119CC0DB" w14:textId="77777777" w:rsidR="006C6296" w:rsidRPr="005B15D2" w:rsidRDefault="006C6296" w:rsidP="006C6296">
            <w:pPr>
              <w:spacing w:before="120" w:after="120"/>
              <w:jc w:val="center"/>
              <w:rPr>
                <w:rFonts w:ascii="Verdana" w:hAnsi="Verdana"/>
              </w:rPr>
            </w:pPr>
            <w:r w:rsidRPr="005B15D2">
              <w:rPr>
                <w:rFonts w:ascii="Verdana" w:hAnsi="Verdana"/>
                <w:b/>
              </w:rPr>
              <w:t>Then the override can be entered for up to...</w:t>
            </w:r>
          </w:p>
        </w:tc>
      </w:tr>
      <w:tr w:rsidR="00DC5BE7" w14:paraId="51DF62F2" w14:textId="77777777" w:rsidTr="00DC5BE7">
        <w:trPr>
          <w:cantSplit/>
          <w:trHeight w:val="22"/>
        </w:trPr>
        <w:tc>
          <w:tcPr>
            <w:tcW w:w="266" w:type="pct"/>
            <w:vMerge/>
          </w:tcPr>
          <w:p w14:paraId="0B16D136" w14:textId="77777777" w:rsidR="006C6296" w:rsidRDefault="006C6296" w:rsidP="006C6296">
            <w:pPr>
              <w:spacing w:before="120" w:after="120"/>
              <w:jc w:val="center"/>
              <w:rPr>
                <w:rFonts w:ascii="Verdana" w:hAnsi="Verdana"/>
                <w:b/>
              </w:rPr>
            </w:pPr>
          </w:p>
        </w:tc>
        <w:tc>
          <w:tcPr>
            <w:tcW w:w="536" w:type="pct"/>
            <w:vMerge/>
          </w:tcPr>
          <w:p w14:paraId="0564BADF" w14:textId="77777777" w:rsidR="006C6296" w:rsidRDefault="006C6296" w:rsidP="006C6296">
            <w:pPr>
              <w:spacing w:before="120" w:after="120"/>
              <w:rPr>
                <w:rFonts w:ascii="Verdana" w:hAnsi="Verdana"/>
                <w:color w:val="000000"/>
              </w:rPr>
            </w:pPr>
          </w:p>
        </w:tc>
        <w:tc>
          <w:tcPr>
            <w:tcW w:w="936" w:type="pct"/>
            <w:gridSpan w:val="2"/>
            <w:vMerge/>
          </w:tcPr>
          <w:p w14:paraId="04619D9C" w14:textId="77777777" w:rsidR="006C6296" w:rsidRPr="005B15D2" w:rsidRDefault="006C6296" w:rsidP="006C6296">
            <w:pPr>
              <w:tabs>
                <w:tab w:val="left" w:pos="3660"/>
              </w:tabs>
              <w:spacing w:before="120" w:after="120"/>
              <w:rPr>
                <w:rFonts w:ascii="Verdana" w:hAnsi="Verdana"/>
              </w:rPr>
            </w:pPr>
          </w:p>
        </w:tc>
        <w:tc>
          <w:tcPr>
            <w:tcW w:w="1122" w:type="pct"/>
            <w:gridSpan w:val="3"/>
            <w:tcBorders>
              <w:bottom w:val="single" w:sz="4" w:space="0" w:color="auto"/>
            </w:tcBorders>
          </w:tcPr>
          <w:p w14:paraId="2FE81DAC" w14:textId="77777777" w:rsidR="006C6296" w:rsidRPr="005B15D2" w:rsidRDefault="006C6296" w:rsidP="006C6296">
            <w:pPr>
              <w:spacing w:before="120" w:after="120"/>
              <w:rPr>
                <w:rFonts w:ascii="Verdana" w:hAnsi="Verdana"/>
              </w:rPr>
            </w:pPr>
            <w:r w:rsidRPr="005B15D2">
              <w:rPr>
                <w:rFonts w:ascii="Verdana" w:hAnsi="Verdana"/>
              </w:rPr>
              <w:t>Included in the table</w:t>
            </w:r>
          </w:p>
        </w:tc>
        <w:tc>
          <w:tcPr>
            <w:tcW w:w="2140" w:type="pct"/>
            <w:tcBorders>
              <w:bottom w:val="single" w:sz="4" w:space="0" w:color="auto"/>
            </w:tcBorders>
          </w:tcPr>
          <w:p w14:paraId="76C72B91" w14:textId="77777777" w:rsidR="006C6296" w:rsidRPr="005B15D2" w:rsidRDefault="006C6296" w:rsidP="006C6296">
            <w:pPr>
              <w:tabs>
                <w:tab w:val="left" w:pos="1095"/>
              </w:tabs>
              <w:spacing w:before="120" w:after="120"/>
              <w:rPr>
                <w:rFonts w:ascii="Verdana" w:hAnsi="Verdana"/>
              </w:rPr>
            </w:pPr>
            <w:r w:rsidRPr="005B15D2">
              <w:rPr>
                <w:rFonts w:ascii="Verdana" w:hAnsi="Verdana"/>
              </w:rPr>
              <w:t>The amount listed.</w:t>
            </w:r>
          </w:p>
        </w:tc>
      </w:tr>
      <w:tr w:rsidR="00DC5BE7" w14:paraId="0CCE6E58" w14:textId="77777777" w:rsidTr="00DC5BE7">
        <w:trPr>
          <w:cantSplit/>
          <w:trHeight w:val="623"/>
        </w:trPr>
        <w:tc>
          <w:tcPr>
            <w:tcW w:w="266" w:type="pct"/>
            <w:vMerge/>
            <w:tcBorders>
              <w:bottom w:val="single" w:sz="4" w:space="0" w:color="auto"/>
            </w:tcBorders>
          </w:tcPr>
          <w:p w14:paraId="01E3AEC4" w14:textId="77777777" w:rsidR="006C6296" w:rsidRDefault="006C6296" w:rsidP="006C6296">
            <w:pPr>
              <w:spacing w:before="120" w:after="120"/>
              <w:jc w:val="center"/>
              <w:rPr>
                <w:rFonts w:ascii="Verdana" w:hAnsi="Verdana"/>
                <w:b/>
              </w:rPr>
            </w:pPr>
          </w:p>
        </w:tc>
        <w:tc>
          <w:tcPr>
            <w:tcW w:w="536" w:type="pct"/>
            <w:vMerge/>
            <w:tcBorders>
              <w:bottom w:val="single" w:sz="4" w:space="0" w:color="auto"/>
            </w:tcBorders>
          </w:tcPr>
          <w:p w14:paraId="16B4484F" w14:textId="77777777" w:rsidR="006C6296" w:rsidRDefault="006C6296" w:rsidP="006C6296">
            <w:pPr>
              <w:spacing w:before="120" w:after="120"/>
              <w:rPr>
                <w:rFonts w:ascii="Verdana" w:hAnsi="Verdana"/>
                <w:color w:val="000000"/>
              </w:rPr>
            </w:pPr>
          </w:p>
        </w:tc>
        <w:tc>
          <w:tcPr>
            <w:tcW w:w="936" w:type="pct"/>
            <w:gridSpan w:val="2"/>
            <w:vMerge/>
            <w:tcBorders>
              <w:bottom w:val="single" w:sz="4" w:space="0" w:color="auto"/>
            </w:tcBorders>
          </w:tcPr>
          <w:p w14:paraId="1D46AD89" w14:textId="77777777" w:rsidR="006C6296" w:rsidRPr="005B15D2" w:rsidRDefault="006C6296" w:rsidP="006C6296">
            <w:pPr>
              <w:tabs>
                <w:tab w:val="left" w:pos="3660"/>
              </w:tabs>
              <w:spacing w:before="120" w:after="120"/>
              <w:rPr>
                <w:rFonts w:ascii="Verdana" w:hAnsi="Verdana"/>
              </w:rPr>
            </w:pPr>
          </w:p>
        </w:tc>
        <w:tc>
          <w:tcPr>
            <w:tcW w:w="1122" w:type="pct"/>
            <w:gridSpan w:val="3"/>
            <w:tcBorders>
              <w:bottom w:val="single" w:sz="4" w:space="0" w:color="auto"/>
            </w:tcBorders>
          </w:tcPr>
          <w:p w14:paraId="3B7C190B" w14:textId="77777777" w:rsidR="006C6296" w:rsidRPr="005B15D2" w:rsidRDefault="006C6296" w:rsidP="006C6296">
            <w:pPr>
              <w:tabs>
                <w:tab w:val="left" w:pos="3240"/>
              </w:tabs>
              <w:spacing w:before="120" w:after="120"/>
              <w:rPr>
                <w:rFonts w:ascii="Verdana" w:hAnsi="Verdana"/>
              </w:rPr>
            </w:pPr>
            <w:r w:rsidRPr="005B15D2">
              <w:rPr>
                <w:rFonts w:ascii="Verdana" w:hAnsi="Verdana"/>
              </w:rPr>
              <w:t>NOT included in the table</w:t>
            </w:r>
          </w:p>
        </w:tc>
        <w:tc>
          <w:tcPr>
            <w:tcW w:w="2140" w:type="pct"/>
            <w:tcBorders>
              <w:bottom w:val="single" w:sz="4" w:space="0" w:color="auto"/>
            </w:tcBorders>
          </w:tcPr>
          <w:p w14:paraId="22D97E49" w14:textId="77777777" w:rsidR="006C6296" w:rsidRPr="005B15D2" w:rsidRDefault="006C6296" w:rsidP="006C6296">
            <w:pPr>
              <w:tabs>
                <w:tab w:val="left" w:pos="1620"/>
              </w:tabs>
              <w:spacing w:before="120" w:after="120"/>
              <w:rPr>
                <w:rFonts w:ascii="Verdana" w:hAnsi="Verdana"/>
              </w:rPr>
            </w:pPr>
            <w:r w:rsidRPr="005B15D2">
              <w:rPr>
                <w:rFonts w:ascii="Verdana" w:hAnsi="Verdana"/>
              </w:rPr>
              <w:t>A 10-day supply.</w:t>
            </w:r>
          </w:p>
        </w:tc>
      </w:tr>
      <w:tr w:rsidR="00A67EC1" w14:paraId="4A491B1B" w14:textId="77777777" w:rsidTr="00DC5BE7">
        <w:trPr>
          <w:cantSplit/>
          <w:trHeight w:val="686"/>
        </w:trPr>
        <w:tc>
          <w:tcPr>
            <w:tcW w:w="266" w:type="pct"/>
            <w:vMerge/>
          </w:tcPr>
          <w:p w14:paraId="666BE5CE" w14:textId="77777777" w:rsidR="006C6296" w:rsidRDefault="006C6296" w:rsidP="006C6296">
            <w:pPr>
              <w:spacing w:before="120" w:after="120"/>
              <w:jc w:val="center"/>
              <w:rPr>
                <w:rFonts w:ascii="Verdana" w:hAnsi="Verdana"/>
                <w:b/>
              </w:rPr>
            </w:pPr>
          </w:p>
        </w:tc>
        <w:tc>
          <w:tcPr>
            <w:tcW w:w="536" w:type="pct"/>
          </w:tcPr>
          <w:p w14:paraId="545C06BF" w14:textId="77777777" w:rsidR="006C6296" w:rsidRDefault="006C6296" w:rsidP="006C6296">
            <w:pPr>
              <w:spacing w:before="120" w:after="120"/>
              <w:rPr>
                <w:rFonts w:ascii="Verdana" w:hAnsi="Verdana"/>
                <w:color w:val="000000"/>
              </w:rPr>
            </w:pPr>
            <w:r>
              <w:rPr>
                <w:rFonts w:ascii="Verdana" w:hAnsi="Verdana"/>
                <w:color w:val="000000"/>
              </w:rPr>
              <w:t>No</w:t>
            </w:r>
          </w:p>
        </w:tc>
        <w:tc>
          <w:tcPr>
            <w:tcW w:w="4198" w:type="pct"/>
            <w:gridSpan w:val="6"/>
          </w:tcPr>
          <w:p w14:paraId="697BB157" w14:textId="77777777" w:rsidR="006C6296" w:rsidRPr="005B15D2" w:rsidRDefault="006C6296" w:rsidP="006C6296">
            <w:pPr>
              <w:spacing w:before="120" w:after="120"/>
              <w:rPr>
                <w:rFonts w:ascii="Verdana" w:hAnsi="Verdana"/>
                <w:color w:val="000000"/>
              </w:rPr>
            </w:pPr>
            <w:r w:rsidRPr="005B15D2">
              <w:rPr>
                <w:rFonts w:ascii="Verdana" w:hAnsi="Verdana"/>
                <w:color w:val="000000"/>
              </w:rPr>
              <w:t>Look for additional options allowed by the plan in the CIF</w:t>
            </w:r>
            <w:r w:rsidRPr="005B15D2">
              <w:rPr>
                <w:rFonts w:ascii="Verdana" w:hAnsi="Verdana"/>
                <w:color w:val="000000"/>
              </w:rPr>
              <w:br/>
            </w:r>
            <w:r w:rsidRPr="005B15D2">
              <w:rPr>
                <w:rFonts w:ascii="Verdana" w:hAnsi="Verdana"/>
                <w:b/>
                <w:bCs/>
                <w:color w:val="000000"/>
              </w:rPr>
              <w:t xml:space="preserve">Example: </w:t>
            </w:r>
            <w:r>
              <w:rPr>
                <w:rFonts w:ascii="Verdana" w:hAnsi="Verdana"/>
                <w:b/>
                <w:bCs/>
                <w:color w:val="000000"/>
              </w:rPr>
              <w:t xml:space="preserve"> </w:t>
            </w:r>
            <w:r w:rsidRPr="005B15D2">
              <w:rPr>
                <w:rFonts w:ascii="Verdana" w:hAnsi="Verdana"/>
                <w:color w:val="000000"/>
              </w:rPr>
              <w:t>Lost/Stolen/Damaged override.</w:t>
            </w:r>
          </w:p>
          <w:p w14:paraId="494F3C48" w14:textId="77777777" w:rsidR="006C6296" w:rsidRPr="005B15D2" w:rsidRDefault="006C6296" w:rsidP="006C6296">
            <w:pPr>
              <w:spacing w:before="120" w:after="120"/>
              <w:rPr>
                <w:rFonts w:ascii="Verdana" w:hAnsi="Verdana"/>
                <w:color w:val="000000"/>
              </w:rPr>
            </w:pPr>
          </w:p>
          <w:p w14:paraId="7FC882A6" w14:textId="77777777" w:rsidR="006C6296" w:rsidRPr="00132995" w:rsidRDefault="006C6296" w:rsidP="006C6296">
            <w:pPr>
              <w:pStyle w:val="ListParagraph"/>
              <w:numPr>
                <w:ilvl w:val="0"/>
                <w:numId w:val="6"/>
              </w:numPr>
              <w:spacing w:before="120" w:after="120"/>
              <w:rPr>
                <w:rFonts w:ascii="Verdana" w:hAnsi="Verdana"/>
                <w:color w:val="000000"/>
              </w:rPr>
            </w:pPr>
            <w:r w:rsidRPr="00132995">
              <w:rPr>
                <w:rFonts w:ascii="Verdana" w:hAnsi="Verdana"/>
                <w:color w:val="000000"/>
              </w:rPr>
              <w:t xml:space="preserve">If there is not an appropriate option and the member will be </w:t>
            </w:r>
            <w:hyperlink r:id="rId14" w:anchor="!/view?docid=91f73b9d-e568-48dd-9ab4-88cb2654d4c9" w:history="1">
              <w:r w:rsidRPr="0026748D">
                <w:rPr>
                  <w:rStyle w:val="Hyperlink"/>
                  <w:rFonts w:ascii="Verdana" w:eastAsiaTheme="majorEastAsia" w:hAnsi="Verdana"/>
                </w:rPr>
                <w:t>low or out of medication (063003)</w:t>
              </w:r>
            </w:hyperlink>
            <w:r w:rsidRPr="00132995">
              <w:rPr>
                <w:rFonts w:ascii="Verdana" w:hAnsi="Verdana"/>
                <w:color w:val="000000"/>
              </w:rPr>
              <w:t xml:space="preserve">. </w:t>
            </w:r>
          </w:p>
        </w:tc>
      </w:tr>
    </w:tbl>
    <w:p w14:paraId="71A1BDF0" w14:textId="77777777" w:rsidR="00064FB1" w:rsidRDefault="00064FB1" w:rsidP="00064FB1">
      <w:pPr>
        <w:spacing w:before="120" w:after="120"/>
        <w:jc w:val="right"/>
        <w:rPr>
          <w:rFonts w:ascii="Verdana" w:hAnsi="Verdana"/>
        </w:rPr>
      </w:pPr>
      <w:bookmarkStart w:id="9" w:name="_OSU_Converted_Clients"/>
      <w:bookmarkEnd w:id="9"/>
    </w:p>
    <w:p w14:paraId="650085F0" w14:textId="77777777" w:rsidR="00064FB1" w:rsidRPr="009A62D8" w:rsidRDefault="00064FB1" w:rsidP="00064FB1">
      <w:pPr>
        <w:jc w:val="right"/>
        <w:rPr>
          <w:rFonts w:ascii="Verdana" w:hAnsi="Verdana"/>
        </w:rPr>
      </w:pPr>
      <w:hyperlink w:anchor="_top" w:history="1">
        <w:r w:rsidRPr="009A62D8">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4FB1" w:rsidRPr="00064FB1" w14:paraId="29460BBA" w14:textId="77777777" w:rsidTr="00232DB4">
        <w:tc>
          <w:tcPr>
            <w:tcW w:w="5000" w:type="pct"/>
            <w:shd w:val="clear" w:color="auto" w:fill="BFBFBF" w:themeFill="background1" w:themeFillShade="BF"/>
          </w:tcPr>
          <w:p w14:paraId="601F3BCD" w14:textId="77777777" w:rsidR="00064FB1" w:rsidRPr="00064FB1" w:rsidRDefault="00064FB1" w:rsidP="00232DB4">
            <w:pPr>
              <w:pStyle w:val="Heading2"/>
              <w:spacing w:before="120" w:after="120"/>
              <w:rPr>
                <w:rFonts w:ascii="Verdana" w:hAnsi="Verdana"/>
                <w:b/>
                <w:bCs/>
                <w:i/>
                <w:iCs/>
                <w:color w:val="000000" w:themeColor="text1"/>
                <w:sz w:val="28"/>
                <w:szCs w:val="28"/>
              </w:rPr>
            </w:pPr>
            <w:bookmarkStart w:id="10" w:name="_State-Specific_Day_Supply"/>
            <w:bookmarkStart w:id="11" w:name="_Toc189742735"/>
            <w:bookmarkEnd w:id="10"/>
            <w:r w:rsidRPr="00064FB1">
              <w:rPr>
                <w:rFonts w:ascii="Verdana" w:hAnsi="Verdana"/>
                <w:b/>
                <w:bCs/>
                <w:color w:val="000000" w:themeColor="text1"/>
                <w:sz w:val="28"/>
                <w:szCs w:val="28"/>
              </w:rPr>
              <w:t>State-Specific Day Supply Allowances</w:t>
            </w:r>
            <w:bookmarkEnd w:id="11"/>
          </w:p>
        </w:tc>
      </w:tr>
    </w:tbl>
    <w:p w14:paraId="7F3CB9C1" w14:textId="77777777" w:rsidR="00064FB1" w:rsidRDefault="00064FB1" w:rsidP="00064FB1">
      <w:pPr>
        <w:pStyle w:val="NormalWeb"/>
        <w:spacing w:before="120" w:beforeAutospacing="0" w:after="120" w:afterAutospacing="0"/>
        <w:textAlignment w:val="top"/>
        <w:rPr>
          <w:rFonts w:ascii="Verdana" w:hAnsi="Verdana"/>
        </w:rPr>
      </w:pPr>
    </w:p>
    <w:p w14:paraId="57AF237D" w14:textId="3009E759" w:rsidR="00064FB1" w:rsidRPr="00132995" w:rsidRDefault="00064FB1" w:rsidP="00064FB1">
      <w:pPr>
        <w:spacing w:before="120" w:after="120"/>
        <w:rPr>
          <w:rFonts w:ascii="Verdana" w:hAnsi="Verdana"/>
        </w:rPr>
      </w:pPr>
      <w:r w:rsidRPr="00132995">
        <w:rPr>
          <w:rFonts w:ascii="Verdana" w:hAnsi="Verdana"/>
        </w:rPr>
        <w:t xml:space="preserve">We will allow up to </w:t>
      </w:r>
      <w:proofErr w:type="gramStart"/>
      <w:r w:rsidRPr="00132995">
        <w:rPr>
          <w:rFonts w:ascii="Verdana" w:hAnsi="Verdana"/>
        </w:rPr>
        <w:t>the day</w:t>
      </w:r>
      <w:proofErr w:type="gramEnd"/>
      <w:r w:rsidRPr="00132995">
        <w:rPr>
          <w:rFonts w:ascii="Verdana" w:hAnsi="Verdana"/>
        </w:rPr>
        <w:t xml:space="preserve"> supply authorized in a state’s Declaration of Emergency.  The </w:t>
      </w:r>
      <w:r w:rsidR="00054F21" w:rsidRPr="00132995">
        <w:rPr>
          <w:rFonts w:ascii="Verdana" w:hAnsi="Verdana"/>
        </w:rPr>
        <w:t>table below</w:t>
      </w:r>
      <w:r w:rsidRPr="00132995">
        <w:rPr>
          <w:rFonts w:ascii="Verdana" w:hAnsi="Verdana"/>
        </w:rPr>
        <w:t xml:space="preserve"> provides a list of states where the state law specifically allows more than the 10-day supply (Our PBM’s baseline).  If a state is not listed below, then the 10-day supply will be allowed.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9394"/>
      </w:tblGrid>
      <w:tr w:rsidR="00064FB1" w:rsidRPr="00B07DCC" w14:paraId="00084037" w14:textId="77777777" w:rsidTr="00232DB4">
        <w:tc>
          <w:tcPr>
            <w:tcW w:w="1373" w:type="pct"/>
            <w:shd w:val="clear" w:color="auto" w:fill="D9D9D9" w:themeFill="background1" w:themeFillShade="D9"/>
          </w:tcPr>
          <w:p w14:paraId="74F14E58" w14:textId="77777777" w:rsidR="00064FB1" w:rsidRPr="00132995" w:rsidRDefault="00064FB1" w:rsidP="00232DB4">
            <w:pPr>
              <w:spacing w:before="120" w:after="120"/>
              <w:jc w:val="center"/>
              <w:rPr>
                <w:rFonts w:ascii="Verdana" w:hAnsi="Verdana"/>
                <w:b/>
                <w:bCs/>
              </w:rPr>
            </w:pPr>
            <w:r w:rsidRPr="00132995">
              <w:rPr>
                <w:rFonts w:ascii="Verdana" w:hAnsi="Verdana"/>
                <w:b/>
                <w:bCs/>
              </w:rPr>
              <w:t>State</w:t>
            </w:r>
          </w:p>
        </w:tc>
        <w:tc>
          <w:tcPr>
            <w:tcW w:w="3627" w:type="pct"/>
            <w:shd w:val="clear" w:color="auto" w:fill="D9D9D9" w:themeFill="background1" w:themeFillShade="D9"/>
          </w:tcPr>
          <w:p w14:paraId="6857814C" w14:textId="77777777" w:rsidR="00064FB1" w:rsidRPr="00132995" w:rsidRDefault="00064FB1" w:rsidP="00232DB4">
            <w:pPr>
              <w:spacing w:before="120" w:after="120"/>
              <w:jc w:val="center"/>
              <w:rPr>
                <w:rFonts w:ascii="Verdana" w:hAnsi="Verdana"/>
                <w:b/>
                <w:bCs/>
              </w:rPr>
            </w:pPr>
            <w:r w:rsidRPr="00132995">
              <w:rPr>
                <w:rFonts w:ascii="Verdana" w:hAnsi="Verdana"/>
                <w:b/>
                <w:bCs/>
              </w:rPr>
              <w:t>Days’ Supply Allowed when State of Emergency is Declared</w:t>
            </w:r>
          </w:p>
        </w:tc>
      </w:tr>
      <w:tr w:rsidR="00064FB1" w:rsidRPr="00B07DCC" w14:paraId="5A068BAD" w14:textId="77777777" w:rsidTr="00232DB4">
        <w:tc>
          <w:tcPr>
            <w:tcW w:w="1373" w:type="pct"/>
          </w:tcPr>
          <w:p w14:paraId="57943E45"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AZ</w:t>
            </w:r>
          </w:p>
        </w:tc>
        <w:tc>
          <w:tcPr>
            <w:tcW w:w="3627" w:type="pct"/>
          </w:tcPr>
          <w:p w14:paraId="6D25B10F"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30 days</w:t>
            </w:r>
          </w:p>
        </w:tc>
      </w:tr>
      <w:tr w:rsidR="00064FB1" w:rsidRPr="00B07DCC" w14:paraId="29823402" w14:textId="77777777" w:rsidTr="00232DB4">
        <w:tc>
          <w:tcPr>
            <w:tcW w:w="1373" w:type="pct"/>
          </w:tcPr>
          <w:p w14:paraId="4829562C"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FL</w:t>
            </w:r>
          </w:p>
        </w:tc>
        <w:tc>
          <w:tcPr>
            <w:tcW w:w="3627" w:type="pct"/>
          </w:tcPr>
          <w:p w14:paraId="74DBA628"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30 days</w:t>
            </w:r>
          </w:p>
        </w:tc>
      </w:tr>
      <w:tr w:rsidR="00064FB1" w:rsidRPr="00B07DCC" w14:paraId="2E86A241" w14:textId="77777777" w:rsidTr="00232DB4">
        <w:tc>
          <w:tcPr>
            <w:tcW w:w="1373" w:type="pct"/>
          </w:tcPr>
          <w:p w14:paraId="031204BA"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LA</w:t>
            </w:r>
          </w:p>
        </w:tc>
        <w:tc>
          <w:tcPr>
            <w:tcW w:w="3627" w:type="pct"/>
          </w:tcPr>
          <w:p w14:paraId="654BF86F" w14:textId="77777777" w:rsidR="00064FB1" w:rsidRPr="00B07DCC" w:rsidRDefault="00064FB1" w:rsidP="00232DB4">
            <w:pPr>
              <w:pStyle w:val="NormalWeb"/>
              <w:spacing w:before="120" w:beforeAutospacing="0" w:after="120" w:afterAutospacing="0"/>
              <w:textAlignment w:val="top"/>
              <w:rPr>
                <w:rFonts w:ascii="Verdana" w:hAnsi="Verdana"/>
              </w:rPr>
            </w:pPr>
            <w:r>
              <w:rPr>
                <w:rFonts w:ascii="Verdana" w:hAnsi="Verdana"/>
              </w:rPr>
              <w:t>9</w:t>
            </w:r>
            <w:r w:rsidRPr="00B07DCC">
              <w:rPr>
                <w:rFonts w:ascii="Verdana" w:hAnsi="Verdana"/>
              </w:rPr>
              <w:t>0 days</w:t>
            </w:r>
          </w:p>
        </w:tc>
      </w:tr>
      <w:tr w:rsidR="00064FB1" w:rsidRPr="00B07DCC" w14:paraId="23A8D2FA" w14:textId="77777777" w:rsidTr="00232DB4">
        <w:trPr>
          <w:trHeight w:val="323"/>
        </w:trPr>
        <w:tc>
          <w:tcPr>
            <w:tcW w:w="1373" w:type="pct"/>
          </w:tcPr>
          <w:p w14:paraId="7E0B5F9E"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MA</w:t>
            </w:r>
          </w:p>
        </w:tc>
        <w:tc>
          <w:tcPr>
            <w:tcW w:w="3627" w:type="pct"/>
          </w:tcPr>
          <w:p w14:paraId="15601F98"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30 days</w:t>
            </w:r>
          </w:p>
        </w:tc>
      </w:tr>
      <w:tr w:rsidR="00064FB1" w:rsidRPr="00B07DCC" w14:paraId="370AF9AA" w14:textId="77777777" w:rsidTr="00232DB4">
        <w:tc>
          <w:tcPr>
            <w:tcW w:w="1373" w:type="pct"/>
          </w:tcPr>
          <w:p w14:paraId="1EB2829C"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MD</w:t>
            </w:r>
          </w:p>
        </w:tc>
        <w:tc>
          <w:tcPr>
            <w:tcW w:w="3627" w:type="pct"/>
          </w:tcPr>
          <w:p w14:paraId="41496095" w14:textId="77777777" w:rsidR="00064FB1" w:rsidRPr="00B07DCC" w:rsidRDefault="00064FB1" w:rsidP="00232DB4">
            <w:pPr>
              <w:pStyle w:val="NormalWeb"/>
              <w:spacing w:before="120" w:beforeAutospacing="0" w:after="120" w:afterAutospacing="0"/>
              <w:textAlignment w:val="top"/>
              <w:rPr>
                <w:rFonts w:ascii="Verdana" w:hAnsi="Verdana"/>
              </w:rPr>
            </w:pPr>
            <w:r>
              <w:rPr>
                <w:rFonts w:ascii="Verdana" w:hAnsi="Verdana"/>
              </w:rPr>
              <w:t>30</w:t>
            </w:r>
            <w:r w:rsidRPr="00B07DCC">
              <w:rPr>
                <w:rFonts w:ascii="Verdana" w:hAnsi="Verdana"/>
              </w:rPr>
              <w:t xml:space="preserve"> days</w:t>
            </w:r>
            <w:r>
              <w:rPr>
                <w:rFonts w:ascii="Verdana" w:hAnsi="Verdana"/>
              </w:rPr>
              <w:t xml:space="preserve"> </w:t>
            </w:r>
          </w:p>
        </w:tc>
      </w:tr>
      <w:tr w:rsidR="00064FB1" w:rsidRPr="00B07DCC" w14:paraId="31ED5A7F" w14:textId="77777777" w:rsidTr="00232DB4">
        <w:tc>
          <w:tcPr>
            <w:tcW w:w="1373" w:type="pct"/>
          </w:tcPr>
          <w:p w14:paraId="3B18B7D0"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NC</w:t>
            </w:r>
          </w:p>
        </w:tc>
        <w:tc>
          <w:tcPr>
            <w:tcW w:w="3627" w:type="pct"/>
          </w:tcPr>
          <w:p w14:paraId="3E508439"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90 days</w:t>
            </w:r>
          </w:p>
        </w:tc>
      </w:tr>
      <w:tr w:rsidR="00064FB1" w:rsidRPr="00B07DCC" w14:paraId="1E217BAF" w14:textId="77777777" w:rsidTr="00232DB4">
        <w:tc>
          <w:tcPr>
            <w:tcW w:w="1373" w:type="pct"/>
          </w:tcPr>
          <w:p w14:paraId="79B5812A" w14:textId="77777777" w:rsidR="00064FB1" w:rsidRPr="00FE5B77" w:rsidRDefault="00064FB1" w:rsidP="00232DB4">
            <w:pPr>
              <w:pStyle w:val="NormalWeb"/>
              <w:spacing w:before="120" w:beforeAutospacing="0" w:after="120" w:afterAutospacing="0"/>
              <w:textAlignment w:val="top"/>
              <w:rPr>
                <w:rFonts w:ascii="Verdana" w:hAnsi="Verdana"/>
                <w:b/>
              </w:rPr>
            </w:pPr>
            <w:r>
              <w:rPr>
                <w:rFonts w:ascii="Verdana" w:hAnsi="Verdana"/>
                <w:b/>
              </w:rPr>
              <w:t>NY</w:t>
            </w:r>
          </w:p>
        </w:tc>
        <w:tc>
          <w:tcPr>
            <w:tcW w:w="3627" w:type="pct"/>
          </w:tcPr>
          <w:p w14:paraId="43292FF4" w14:textId="77777777" w:rsidR="00064FB1" w:rsidRPr="002A08F4" w:rsidRDefault="00064FB1" w:rsidP="00232DB4">
            <w:pPr>
              <w:spacing w:before="120" w:after="120" w:line="312" w:lineRule="atLeast"/>
              <w:rPr>
                <w:rFonts w:ascii="Verdana" w:hAnsi="Verdana"/>
              </w:rPr>
            </w:pPr>
            <w:r w:rsidRPr="0094797D">
              <w:rPr>
                <w:rFonts w:ascii="Verdana" w:hAnsi="Verdana" w:cs="Arial"/>
                <w:color w:val="000000"/>
              </w:rPr>
              <w:t>30 days (Commercial and Exchange Only)</w:t>
            </w:r>
          </w:p>
        </w:tc>
      </w:tr>
      <w:tr w:rsidR="00064FB1" w:rsidRPr="00B07DCC" w14:paraId="78164222" w14:textId="77777777" w:rsidTr="00232DB4">
        <w:tc>
          <w:tcPr>
            <w:tcW w:w="1373" w:type="pct"/>
          </w:tcPr>
          <w:p w14:paraId="0592AC77"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OK</w:t>
            </w:r>
          </w:p>
        </w:tc>
        <w:tc>
          <w:tcPr>
            <w:tcW w:w="3627" w:type="pct"/>
          </w:tcPr>
          <w:p w14:paraId="66EEF412"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 xml:space="preserve">30 days </w:t>
            </w:r>
          </w:p>
        </w:tc>
      </w:tr>
      <w:tr w:rsidR="00064FB1" w:rsidRPr="00B07DCC" w14:paraId="7E04156B" w14:textId="77777777" w:rsidTr="00232DB4">
        <w:tc>
          <w:tcPr>
            <w:tcW w:w="1373" w:type="pct"/>
          </w:tcPr>
          <w:p w14:paraId="08F40C43"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OR</w:t>
            </w:r>
          </w:p>
        </w:tc>
        <w:tc>
          <w:tcPr>
            <w:tcW w:w="3627" w:type="pct"/>
          </w:tcPr>
          <w:p w14:paraId="15872E33"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30 days</w:t>
            </w:r>
          </w:p>
        </w:tc>
      </w:tr>
      <w:tr w:rsidR="00064FB1" w:rsidRPr="00B07DCC" w14:paraId="548B2DA3" w14:textId="77777777" w:rsidTr="00232DB4">
        <w:tc>
          <w:tcPr>
            <w:tcW w:w="1373" w:type="pct"/>
          </w:tcPr>
          <w:p w14:paraId="7DB6A13A"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SC</w:t>
            </w:r>
          </w:p>
        </w:tc>
        <w:tc>
          <w:tcPr>
            <w:tcW w:w="3627" w:type="pct"/>
          </w:tcPr>
          <w:p w14:paraId="62543BE8" w14:textId="77777777" w:rsidR="00064FB1" w:rsidRPr="00B07DCC" w:rsidRDefault="00064FB1" w:rsidP="00232DB4">
            <w:pPr>
              <w:pStyle w:val="NormalWeb"/>
              <w:spacing w:before="120" w:beforeAutospacing="0" w:after="120" w:afterAutospacing="0"/>
              <w:textAlignment w:val="top"/>
              <w:rPr>
                <w:rFonts w:ascii="Verdana" w:hAnsi="Verdana"/>
              </w:rPr>
            </w:pPr>
            <w:r>
              <w:rPr>
                <w:rFonts w:ascii="Verdana" w:hAnsi="Verdana"/>
              </w:rPr>
              <w:t>30</w:t>
            </w:r>
            <w:r w:rsidRPr="00B07DCC">
              <w:rPr>
                <w:rFonts w:ascii="Verdana" w:hAnsi="Verdana"/>
              </w:rPr>
              <w:t xml:space="preserve"> days </w:t>
            </w:r>
          </w:p>
        </w:tc>
      </w:tr>
      <w:tr w:rsidR="00064FB1" w:rsidRPr="00B07DCC" w14:paraId="7B11AD47" w14:textId="77777777" w:rsidTr="00232DB4">
        <w:tc>
          <w:tcPr>
            <w:tcW w:w="1373" w:type="pct"/>
          </w:tcPr>
          <w:p w14:paraId="7A62B7CE" w14:textId="77777777" w:rsidR="00064FB1" w:rsidRPr="00FE5B77" w:rsidRDefault="00064FB1" w:rsidP="00232DB4">
            <w:pPr>
              <w:pStyle w:val="NormalWeb"/>
              <w:spacing w:before="120" w:beforeAutospacing="0" w:after="120" w:afterAutospacing="0"/>
              <w:textAlignment w:val="top"/>
              <w:rPr>
                <w:rFonts w:ascii="Verdana" w:hAnsi="Verdana"/>
                <w:b/>
              </w:rPr>
            </w:pPr>
            <w:r w:rsidRPr="00FE5B77">
              <w:rPr>
                <w:rFonts w:ascii="Verdana" w:hAnsi="Verdana"/>
                <w:b/>
              </w:rPr>
              <w:t>TX</w:t>
            </w:r>
          </w:p>
        </w:tc>
        <w:tc>
          <w:tcPr>
            <w:tcW w:w="3627" w:type="pct"/>
          </w:tcPr>
          <w:p w14:paraId="383241C3" w14:textId="77777777" w:rsidR="00064FB1" w:rsidRPr="00B07DCC" w:rsidRDefault="00064FB1" w:rsidP="00232DB4">
            <w:pPr>
              <w:pStyle w:val="NormalWeb"/>
              <w:spacing w:before="120" w:beforeAutospacing="0" w:after="120" w:afterAutospacing="0"/>
              <w:textAlignment w:val="top"/>
              <w:rPr>
                <w:rFonts w:ascii="Verdana" w:hAnsi="Verdana"/>
              </w:rPr>
            </w:pPr>
            <w:r w:rsidRPr="00B07DCC">
              <w:rPr>
                <w:rFonts w:ascii="Verdana" w:hAnsi="Verdana"/>
              </w:rPr>
              <w:t>30 days</w:t>
            </w:r>
          </w:p>
        </w:tc>
      </w:tr>
    </w:tbl>
    <w:p w14:paraId="70317C05" w14:textId="77777777" w:rsidR="00064FB1" w:rsidRDefault="00064FB1" w:rsidP="00064FB1">
      <w:pPr>
        <w:pStyle w:val="NormalWeb"/>
        <w:spacing w:before="120" w:beforeAutospacing="0" w:after="120" w:afterAutospacing="0"/>
        <w:textAlignment w:val="top"/>
        <w:rPr>
          <w:rFonts w:ascii="Verdana" w:hAnsi="Verdana"/>
          <w:b/>
          <w:color w:val="000000"/>
        </w:rPr>
      </w:pPr>
      <w:bookmarkStart w:id="12" w:name="_Available_Task_Types"/>
      <w:bookmarkStart w:id="13" w:name="_Various_Work_Instructions_2"/>
      <w:bookmarkStart w:id="14" w:name="_Working_“Immediate_Need”"/>
      <w:bookmarkStart w:id="15" w:name="_Log_Activity:"/>
      <w:bookmarkStart w:id="16" w:name="_Log_Activity_03/24/2020"/>
      <w:bookmarkEnd w:id="12"/>
      <w:bookmarkEnd w:id="13"/>
      <w:bookmarkEnd w:id="14"/>
      <w:bookmarkEnd w:id="15"/>
      <w:bookmarkEnd w:id="16"/>
    </w:p>
    <w:p w14:paraId="356FB624" w14:textId="77777777" w:rsidR="00064FB1" w:rsidRPr="00132995" w:rsidRDefault="00064FB1" w:rsidP="00064FB1">
      <w:pPr>
        <w:jc w:val="right"/>
        <w:rPr>
          <w:rFonts w:ascii="Verdana" w:hAnsi="Verdana"/>
        </w:rPr>
      </w:pPr>
      <w:hyperlink w:anchor="_top" w:history="1">
        <w:r w:rsidRPr="00132995">
          <w:rPr>
            <w:rStyle w:val="Hyperlink"/>
            <w:rFonts w:ascii="Verdana" w:eastAsiaTheme="majorEastAsia" w:hAnsi="Verdana"/>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64FB1" w:rsidRPr="00064FB1" w14:paraId="5CA88598" w14:textId="77777777" w:rsidTr="00232DB4">
        <w:tc>
          <w:tcPr>
            <w:tcW w:w="5000" w:type="pct"/>
            <w:shd w:val="clear" w:color="auto" w:fill="BFBFBF" w:themeFill="background1" w:themeFillShade="BF"/>
          </w:tcPr>
          <w:p w14:paraId="19AB5354" w14:textId="7C37A1B0" w:rsidR="00064FB1" w:rsidRPr="00064FB1" w:rsidRDefault="00064FB1" w:rsidP="00232DB4">
            <w:pPr>
              <w:pStyle w:val="Heading2"/>
              <w:spacing w:before="120" w:after="120"/>
              <w:rPr>
                <w:rFonts w:ascii="Verdana" w:hAnsi="Verdana"/>
                <w:b/>
                <w:bCs/>
                <w:i/>
                <w:iCs/>
                <w:color w:val="000000" w:themeColor="text1"/>
                <w:sz w:val="28"/>
                <w:szCs w:val="28"/>
              </w:rPr>
            </w:pPr>
            <w:bookmarkStart w:id="17" w:name="_Toc189742736"/>
            <w:r w:rsidRPr="00064FB1">
              <w:rPr>
                <w:rFonts w:ascii="Verdana" w:hAnsi="Verdana"/>
                <w:b/>
                <w:bCs/>
                <w:color w:val="000000" w:themeColor="text1"/>
                <w:sz w:val="28"/>
                <w:szCs w:val="28"/>
              </w:rPr>
              <w:t>Q&amp;A</w:t>
            </w:r>
            <w:bookmarkEnd w:id="17"/>
          </w:p>
        </w:tc>
      </w:tr>
    </w:tbl>
    <w:p w14:paraId="481A0E61" w14:textId="77777777" w:rsidR="00064FB1" w:rsidRDefault="00064FB1" w:rsidP="00064FB1">
      <w:pPr>
        <w:spacing w:before="120" w:after="120" w:line="259" w:lineRule="atLeast"/>
        <w:rPr>
          <w:rFonts w:ascii="Verdana" w:hAnsi="Verdana"/>
          <w:color w:val="000000" w:themeColor="text1"/>
        </w:rPr>
      </w:pPr>
    </w:p>
    <w:p w14:paraId="2AA68A3D" w14:textId="77777777" w:rsidR="00064FB1" w:rsidRDefault="00064FB1" w:rsidP="00064FB1">
      <w:pPr>
        <w:spacing w:before="120" w:after="120" w:line="259" w:lineRule="atLeast"/>
        <w:rPr>
          <w:rFonts w:ascii="Verdana" w:hAnsi="Verdana"/>
          <w:color w:val="000000" w:themeColor="text1"/>
        </w:rPr>
      </w:pPr>
      <w:r w:rsidRPr="20ACBC60">
        <w:rPr>
          <w:rFonts w:ascii="Verdana" w:hAnsi="Verdana"/>
          <w:color w:val="000000" w:themeColor="text1"/>
        </w:rPr>
        <w:t xml:space="preserve">Refer to as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1"/>
        <w:gridCol w:w="2870"/>
        <w:gridCol w:w="9409"/>
      </w:tblGrid>
      <w:tr w:rsidR="00064FB1" w:rsidRPr="002E1E21" w14:paraId="6754DB86" w14:textId="77777777" w:rsidTr="00232DB4">
        <w:tc>
          <w:tcPr>
            <w:tcW w:w="259" w:type="pct"/>
            <w:shd w:val="clear" w:color="auto" w:fill="D9D9D9" w:themeFill="background1" w:themeFillShade="D9"/>
            <w:tcMar>
              <w:top w:w="0" w:type="dxa"/>
              <w:left w:w="101" w:type="dxa"/>
              <w:bottom w:w="0" w:type="dxa"/>
              <w:right w:w="101" w:type="dxa"/>
            </w:tcMar>
            <w:hideMark/>
          </w:tcPr>
          <w:p w14:paraId="52120852" w14:textId="77777777" w:rsidR="00064FB1" w:rsidRPr="00132995" w:rsidRDefault="00064FB1" w:rsidP="00232DB4">
            <w:pPr>
              <w:spacing w:before="120" w:after="120"/>
              <w:jc w:val="center"/>
              <w:rPr>
                <w:rFonts w:ascii="Verdana" w:hAnsi="Verdana" w:cstheme="minorHAnsi"/>
              </w:rPr>
            </w:pPr>
            <w:r w:rsidRPr="00132995">
              <w:rPr>
                <w:rFonts w:ascii="Verdana" w:hAnsi="Verdana" w:cstheme="minorHAnsi"/>
                <w:b/>
                <w:bCs/>
              </w:rPr>
              <w:t>#</w:t>
            </w:r>
          </w:p>
        </w:tc>
        <w:tc>
          <w:tcPr>
            <w:tcW w:w="1108" w:type="pct"/>
            <w:shd w:val="clear" w:color="auto" w:fill="D9D9D9" w:themeFill="background1" w:themeFillShade="D9"/>
            <w:tcMar>
              <w:top w:w="0" w:type="dxa"/>
              <w:left w:w="101" w:type="dxa"/>
              <w:bottom w:w="0" w:type="dxa"/>
              <w:right w:w="101" w:type="dxa"/>
            </w:tcMar>
            <w:hideMark/>
          </w:tcPr>
          <w:p w14:paraId="18D61A8B" w14:textId="77777777" w:rsidR="00064FB1" w:rsidRPr="00132995" w:rsidRDefault="00064FB1" w:rsidP="00232DB4">
            <w:pPr>
              <w:spacing w:before="120" w:after="120"/>
              <w:jc w:val="center"/>
              <w:rPr>
                <w:rFonts w:ascii="Verdana" w:hAnsi="Verdana" w:cstheme="minorHAnsi"/>
              </w:rPr>
            </w:pPr>
            <w:r w:rsidRPr="00132995">
              <w:rPr>
                <w:rFonts w:ascii="Verdana" w:hAnsi="Verdana" w:cstheme="minorHAnsi"/>
                <w:b/>
                <w:bCs/>
              </w:rPr>
              <w:t>Question / Statement</w:t>
            </w:r>
          </w:p>
        </w:tc>
        <w:tc>
          <w:tcPr>
            <w:tcW w:w="3633" w:type="pct"/>
            <w:shd w:val="clear" w:color="auto" w:fill="D9D9D9" w:themeFill="background1" w:themeFillShade="D9"/>
            <w:tcMar>
              <w:top w:w="0" w:type="dxa"/>
              <w:left w:w="101" w:type="dxa"/>
              <w:bottom w:w="0" w:type="dxa"/>
              <w:right w:w="101" w:type="dxa"/>
            </w:tcMar>
            <w:hideMark/>
          </w:tcPr>
          <w:p w14:paraId="68C4F76C" w14:textId="77777777" w:rsidR="00064FB1" w:rsidRPr="00132995" w:rsidRDefault="00064FB1" w:rsidP="00232DB4">
            <w:pPr>
              <w:spacing w:before="120" w:after="120"/>
              <w:jc w:val="center"/>
              <w:rPr>
                <w:rFonts w:ascii="Verdana" w:hAnsi="Verdana" w:cstheme="minorHAnsi"/>
              </w:rPr>
            </w:pPr>
            <w:r w:rsidRPr="00132995">
              <w:rPr>
                <w:rFonts w:ascii="Verdana" w:hAnsi="Verdana" w:cstheme="minorHAnsi"/>
                <w:b/>
                <w:bCs/>
              </w:rPr>
              <w:t>Action / Resolution</w:t>
            </w:r>
          </w:p>
        </w:tc>
      </w:tr>
      <w:tr w:rsidR="00064FB1" w:rsidRPr="00DE32B6" w14:paraId="63C53C4F" w14:textId="77777777" w:rsidTr="00232DB4">
        <w:tc>
          <w:tcPr>
            <w:tcW w:w="259" w:type="pct"/>
            <w:tcMar>
              <w:top w:w="0" w:type="dxa"/>
              <w:left w:w="101" w:type="dxa"/>
              <w:bottom w:w="0" w:type="dxa"/>
              <w:right w:w="101" w:type="dxa"/>
            </w:tcMar>
          </w:tcPr>
          <w:p w14:paraId="3D769618" w14:textId="77777777" w:rsidR="00064FB1" w:rsidRPr="006344D9" w:rsidRDefault="00064FB1" w:rsidP="00232DB4">
            <w:pPr>
              <w:spacing w:before="120" w:after="120"/>
              <w:jc w:val="center"/>
              <w:rPr>
                <w:rFonts w:ascii="Verdana" w:hAnsi="Verdana" w:cstheme="minorHAnsi"/>
                <w:b/>
                <w:bCs/>
              </w:rPr>
            </w:pPr>
            <w:r w:rsidRPr="006344D9">
              <w:rPr>
                <w:rFonts w:ascii="Verdana" w:hAnsi="Verdana" w:cstheme="minorHAnsi"/>
                <w:b/>
                <w:bCs/>
              </w:rPr>
              <w:t>1</w:t>
            </w:r>
          </w:p>
        </w:tc>
        <w:tc>
          <w:tcPr>
            <w:tcW w:w="1108" w:type="pct"/>
            <w:tcMar>
              <w:top w:w="0" w:type="dxa"/>
              <w:left w:w="101" w:type="dxa"/>
              <w:bottom w:w="0" w:type="dxa"/>
              <w:right w:w="101" w:type="dxa"/>
            </w:tcMar>
          </w:tcPr>
          <w:p w14:paraId="0968FE93" w14:textId="77777777" w:rsidR="00064FB1" w:rsidRPr="006344D9" w:rsidRDefault="00064FB1" w:rsidP="00232DB4">
            <w:pPr>
              <w:spacing w:before="120" w:after="120"/>
              <w:rPr>
                <w:rFonts w:ascii="Verdana" w:hAnsi="Verdana" w:cstheme="minorHAnsi"/>
                <w:b/>
                <w:bCs/>
              </w:rPr>
            </w:pPr>
            <w:r w:rsidRPr="006344D9">
              <w:rPr>
                <w:rFonts w:ascii="Verdana" w:hAnsi="Verdana" w:cstheme="minorHAnsi"/>
                <w:b/>
                <w:bCs/>
              </w:rPr>
              <w:t>How has mail service been affected by this event?</w:t>
            </w:r>
            <w:r w:rsidRPr="006344D9">
              <w:rPr>
                <w:rFonts w:ascii="Verdana" w:hAnsi="Verdana" w:cstheme="minorHAnsi"/>
                <w:b/>
                <w:bCs/>
              </w:rPr>
              <w:tab/>
            </w:r>
          </w:p>
        </w:tc>
        <w:tc>
          <w:tcPr>
            <w:tcW w:w="3633" w:type="pct"/>
            <w:tcMar>
              <w:top w:w="0" w:type="dxa"/>
              <w:left w:w="101" w:type="dxa"/>
              <w:bottom w:w="0" w:type="dxa"/>
              <w:right w:w="101" w:type="dxa"/>
            </w:tcMar>
          </w:tcPr>
          <w:p w14:paraId="1BFAF771" w14:textId="31DBB682" w:rsidR="00064FB1" w:rsidRPr="00132995" w:rsidRDefault="00064FB1" w:rsidP="00232DB4">
            <w:pPr>
              <w:spacing w:before="120" w:after="120"/>
              <w:rPr>
                <w:rFonts w:ascii="Verdana" w:hAnsi="Verdana" w:cs="Arial"/>
              </w:rPr>
            </w:pPr>
            <w:r w:rsidRPr="00132995">
              <w:rPr>
                <w:rFonts w:ascii="Verdana" w:hAnsi="Verdana" w:cs="Arial"/>
              </w:rPr>
              <w:t xml:space="preserve">UPS service disruptions can be confirmed at the following </w:t>
            </w:r>
            <w:r w:rsidR="00C4474E" w:rsidRPr="00C4474E">
              <w:rPr>
                <w:rFonts w:ascii="Verdana" w:hAnsi="Verdana" w:cs="Arial"/>
              </w:rPr>
              <w:t>hyper</w:t>
            </w:r>
            <w:r w:rsidRPr="00C4474E">
              <w:rPr>
                <w:rFonts w:ascii="Verdana" w:hAnsi="Verdana" w:cs="Arial"/>
              </w:rPr>
              <w:t>li</w:t>
            </w:r>
            <w:r w:rsidRPr="00132995">
              <w:rPr>
                <w:rFonts w:ascii="Verdana" w:hAnsi="Verdana" w:cs="Arial"/>
              </w:rPr>
              <w:t>nk:</w:t>
            </w:r>
            <w:r w:rsidRPr="00132995">
              <w:rPr>
                <w:rFonts w:ascii="Verdana" w:hAnsi="Verdana" w:cs="Calibri"/>
              </w:rPr>
              <w:t xml:space="preserve"> </w:t>
            </w:r>
            <w:hyperlink r:id="rId15" w:history="1">
              <w:r w:rsidRPr="00132995">
                <w:rPr>
                  <w:rStyle w:val="Hyperlink"/>
                  <w:rFonts w:ascii="Verdana" w:eastAsiaTheme="majorEastAsia" w:hAnsi="Verdana" w:cs="Arial"/>
                </w:rPr>
                <w:t>https://www.ups.com/us/en/service-alerts.page</w:t>
              </w:r>
            </w:hyperlink>
          </w:p>
          <w:p w14:paraId="05F359B6" w14:textId="77777777" w:rsidR="00064FB1" w:rsidRPr="006344D9" w:rsidRDefault="00064FB1" w:rsidP="00232DB4">
            <w:pPr>
              <w:spacing w:before="120" w:after="120"/>
              <w:rPr>
                <w:rFonts w:ascii="Verdana" w:hAnsi="Verdana" w:cstheme="minorHAnsi"/>
                <w:b/>
                <w:bCs/>
                <w:color w:val="000000" w:themeColor="text1"/>
              </w:rPr>
            </w:pPr>
          </w:p>
        </w:tc>
      </w:tr>
      <w:tr w:rsidR="00064FB1" w:rsidRPr="00DE32B6" w14:paraId="5F240F66" w14:textId="77777777" w:rsidTr="00232DB4">
        <w:tc>
          <w:tcPr>
            <w:tcW w:w="259" w:type="pct"/>
            <w:tcMar>
              <w:top w:w="0" w:type="dxa"/>
              <w:left w:w="101" w:type="dxa"/>
              <w:bottom w:w="0" w:type="dxa"/>
              <w:right w:w="101" w:type="dxa"/>
            </w:tcMar>
            <w:hideMark/>
          </w:tcPr>
          <w:p w14:paraId="20A78E73" w14:textId="77777777" w:rsidR="00064FB1" w:rsidRPr="006344D9" w:rsidRDefault="00064FB1" w:rsidP="00232DB4">
            <w:pPr>
              <w:spacing w:before="120" w:after="120"/>
              <w:jc w:val="center"/>
              <w:rPr>
                <w:rFonts w:ascii="Verdana" w:hAnsi="Verdana" w:cstheme="minorHAnsi"/>
              </w:rPr>
            </w:pPr>
            <w:r w:rsidRPr="006344D9">
              <w:rPr>
                <w:rFonts w:ascii="Verdana" w:hAnsi="Verdana" w:cstheme="minorHAnsi"/>
                <w:b/>
                <w:bCs/>
              </w:rPr>
              <w:t>2</w:t>
            </w:r>
          </w:p>
        </w:tc>
        <w:tc>
          <w:tcPr>
            <w:tcW w:w="1108" w:type="pct"/>
            <w:tcMar>
              <w:top w:w="0" w:type="dxa"/>
              <w:left w:w="101" w:type="dxa"/>
              <w:bottom w:w="0" w:type="dxa"/>
              <w:right w:w="101" w:type="dxa"/>
            </w:tcMar>
            <w:hideMark/>
          </w:tcPr>
          <w:p w14:paraId="57108CE5" w14:textId="77777777" w:rsidR="00064FB1" w:rsidRPr="006344D9" w:rsidRDefault="00064FB1" w:rsidP="00232DB4">
            <w:pPr>
              <w:spacing w:before="120" w:after="120"/>
              <w:rPr>
                <w:rFonts w:ascii="Verdana" w:hAnsi="Verdana" w:cstheme="minorHAnsi"/>
              </w:rPr>
            </w:pPr>
            <w:r w:rsidRPr="006344D9">
              <w:rPr>
                <w:rFonts w:ascii="Verdana" w:hAnsi="Verdana" w:cstheme="minorHAnsi"/>
                <w:b/>
                <w:bCs/>
              </w:rPr>
              <w:t>Are there any problems in having my medication delivered to my area?</w:t>
            </w:r>
          </w:p>
        </w:tc>
        <w:tc>
          <w:tcPr>
            <w:tcW w:w="3633" w:type="pct"/>
            <w:tcMar>
              <w:top w:w="0" w:type="dxa"/>
              <w:left w:w="101" w:type="dxa"/>
              <w:bottom w:w="0" w:type="dxa"/>
              <w:right w:w="101" w:type="dxa"/>
            </w:tcMar>
            <w:hideMark/>
          </w:tcPr>
          <w:p w14:paraId="30FA1318" w14:textId="77777777" w:rsidR="00064FB1" w:rsidRDefault="00064FB1" w:rsidP="00232DB4">
            <w:pPr>
              <w:spacing w:before="120" w:after="120"/>
              <w:rPr>
                <w:rFonts w:ascii="Verdana" w:hAnsi="Verdana" w:cstheme="minorHAnsi"/>
              </w:rPr>
            </w:pPr>
            <w:r w:rsidRPr="006344D9">
              <w:rPr>
                <w:rFonts w:ascii="Verdana" w:hAnsi="Verdana" w:cstheme="minorHAnsi"/>
              </w:rPr>
              <w:t>(Since retail pharmacies may be closed or may have delayed openings and closings, Customer Care should encourage members to first call their local retail pharmacy to be sure they</w:t>
            </w:r>
            <w:r>
              <w:rPr>
                <w:rFonts w:ascii="Verdana" w:hAnsi="Verdana" w:cstheme="minorHAnsi"/>
              </w:rPr>
              <w:t xml:space="preserve"> a</w:t>
            </w:r>
            <w:r w:rsidRPr="006344D9">
              <w:rPr>
                <w:rFonts w:ascii="Verdana" w:hAnsi="Verdana" w:cstheme="minorHAnsi"/>
              </w:rPr>
              <w:t xml:space="preserve">re open.) </w:t>
            </w:r>
          </w:p>
          <w:p w14:paraId="04BB5AC3" w14:textId="77777777" w:rsidR="00064FB1" w:rsidRPr="006344D9" w:rsidRDefault="00064FB1" w:rsidP="00232DB4">
            <w:pPr>
              <w:spacing w:before="120" w:after="120"/>
              <w:rPr>
                <w:rFonts w:ascii="Verdana" w:hAnsi="Verdana" w:cstheme="minorHAnsi"/>
              </w:rPr>
            </w:pPr>
          </w:p>
          <w:p w14:paraId="2295928E" w14:textId="180F6BF6" w:rsidR="00064FB1" w:rsidRPr="006344D9" w:rsidRDefault="00064FB1" w:rsidP="00232DB4">
            <w:pPr>
              <w:spacing w:before="120" w:after="120"/>
              <w:rPr>
                <w:rFonts w:ascii="Verdana" w:eastAsiaTheme="minorHAnsi" w:hAnsi="Verdana" w:cstheme="minorHAnsi"/>
              </w:rPr>
            </w:pPr>
            <w:r w:rsidRPr="00C4474E">
              <w:rPr>
                <w:rFonts w:ascii="Verdana" w:hAnsi="Verdana" w:cstheme="minorHAnsi"/>
                <w:b/>
              </w:rPr>
              <w:t>N</w:t>
            </w:r>
            <w:r w:rsidR="00C4474E" w:rsidRPr="00C4474E">
              <w:rPr>
                <w:rFonts w:ascii="Verdana" w:hAnsi="Verdana" w:cstheme="minorHAnsi"/>
                <w:b/>
              </w:rPr>
              <w:t>ote</w:t>
            </w:r>
            <w:r w:rsidRPr="00C4474E">
              <w:rPr>
                <w:rFonts w:ascii="Verdana" w:hAnsi="Verdana" w:cstheme="minorHAnsi"/>
                <w:b/>
              </w:rPr>
              <w:t>:</w:t>
            </w:r>
            <w:r w:rsidRPr="006344D9">
              <w:rPr>
                <w:rFonts w:ascii="Verdana" w:hAnsi="Verdana" w:cstheme="minorHAnsi"/>
              </w:rPr>
              <w:t xml:space="preserve">  For members who contact us, we will direct them to their local post office for information on delivery in their area. If their medication is not readily available for delivery or pick up at their local postal office, we will encourage them to call the Customer Care number on their prescription ID card. To assist those members who find themselves without access to their medicine, a representative should review the Client Information Form (CIF) directions and if necessary, work with their Supervisor and the Account Manager to authorize an override not currently documented in the CIF. </w:t>
            </w:r>
          </w:p>
        </w:tc>
      </w:tr>
      <w:tr w:rsidR="00064FB1" w:rsidRPr="00DE32B6" w14:paraId="53E7BF2E" w14:textId="77777777" w:rsidTr="00232DB4">
        <w:tc>
          <w:tcPr>
            <w:tcW w:w="259" w:type="pct"/>
            <w:tcMar>
              <w:top w:w="0" w:type="dxa"/>
              <w:left w:w="101" w:type="dxa"/>
              <w:bottom w:w="0" w:type="dxa"/>
              <w:right w:w="101" w:type="dxa"/>
            </w:tcMar>
          </w:tcPr>
          <w:p w14:paraId="056FB6A4" w14:textId="77777777" w:rsidR="00064FB1" w:rsidRPr="006344D9" w:rsidRDefault="00064FB1" w:rsidP="00232DB4">
            <w:pPr>
              <w:spacing w:before="120" w:after="120"/>
              <w:jc w:val="center"/>
              <w:rPr>
                <w:rFonts w:ascii="Verdana" w:hAnsi="Verdana" w:cstheme="minorHAnsi"/>
                <w:b/>
                <w:bCs/>
              </w:rPr>
            </w:pPr>
            <w:r w:rsidRPr="006344D9">
              <w:rPr>
                <w:rFonts w:ascii="Verdana" w:hAnsi="Verdana" w:cstheme="minorHAnsi"/>
                <w:b/>
                <w:bCs/>
              </w:rPr>
              <w:t>3</w:t>
            </w:r>
          </w:p>
        </w:tc>
        <w:tc>
          <w:tcPr>
            <w:tcW w:w="1108" w:type="pct"/>
            <w:tcMar>
              <w:top w:w="0" w:type="dxa"/>
              <w:left w:w="101" w:type="dxa"/>
              <w:bottom w:w="0" w:type="dxa"/>
              <w:right w:w="101" w:type="dxa"/>
            </w:tcMar>
          </w:tcPr>
          <w:p w14:paraId="29BE6B59" w14:textId="77777777" w:rsidR="00064FB1" w:rsidRPr="006344D9" w:rsidRDefault="00064FB1" w:rsidP="00232DB4">
            <w:pPr>
              <w:spacing w:before="120" w:after="120"/>
              <w:rPr>
                <w:rFonts w:ascii="Verdana" w:hAnsi="Verdana" w:cstheme="minorHAnsi"/>
                <w:b/>
                <w:bCs/>
              </w:rPr>
            </w:pPr>
            <w:r>
              <w:rPr>
                <w:rFonts w:ascii="Verdana" w:hAnsi="Verdana" w:cstheme="minorHAnsi"/>
                <w:b/>
                <w:bCs/>
              </w:rPr>
              <w:t>If my medication was on the way and is not delayed, how can I receive my medication?</w:t>
            </w:r>
          </w:p>
        </w:tc>
        <w:tc>
          <w:tcPr>
            <w:tcW w:w="3633" w:type="pct"/>
            <w:tcMar>
              <w:top w:w="0" w:type="dxa"/>
              <w:left w:w="101" w:type="dxa"/>
              <w:bottom w:w="0" w:type="dxa"/>
              <w:right w:w="101" w:type="dxa"/>
            </w:tcMar>
          </w:tcPr>
          <w:p w14:paraId="092910E6" w14:textId="0394A2E3" w:rsidR="00064FB1" w:rsidRPr="00132995" w:rsidRDefault="00617E9A" w:rsidP="00232DB4">
            <w:pPr>
              <w:pStyle w:val="ListParagraph"/>
              <w:numPr>
                <w:ilvl w:val="0"/>
                <w:numId w:val="7"/>
              </w:numPr>
              <w:spacing w:before="120" w:after="120"/>
              <w:rPr>
                <w:rFonts w:ascii="Verdana" w:hAnsi="Verdana" w:cstheme="minorHAnsi"/>
              </w:rPr>
            </w:pPr>
            <w:r>
              <w:rPr>
                <w:rFonts w:ascii="Verdana" w:hAnsi="Verdana" w:cstheme="minorHAnsi"/>
              </w:rPr>
              <w:t>C</w:t>
            </w:r>
            <w:r w:rsidR="00064FB1" w:rsidRPr="00132995">
              <w:rPr>
                <w:rFonts w:ascii="Verdana" w:hAnsi="Verdana" w:cstheme="minorHAnsi"/>
              </w:rPr>
              <w:t>heck with your local post office to see if the medication is being held.</w:t>
            </w:r>
          </w:p>
          <w:p w14:paraId="0779F9AF" w14:textId="322A51A7" w:rsidR="00064FB1" w:rsidRPr="00132995" w:rsidRDefault="00064FB1" w:rsidP="00232DB4">
            <w:pPr>
              <w:pStyle w:val="ListParagraph"/>
              <w:numPr>
                <w:ilvl w:val="0"/>
                <w:numId w:val="7"/>
              </w:numPr>
              <w:spacing w:before="120" w:after="120"/>
              <w:rPr>
                <w:rFonts w:ascii="Verdana" w:hAnsi="Verdana" w:cstheme="minorHAnsi"/>
              </w:rPr>
            </w:pPr>
            <w:r w:rsidRPr="00132995">
              <w:rPr>
                <w:rFonts w:ascii="Verdana" w:hAnsi="Verdana" w:cstheme="minorHAnsi"/>
              </w:rPr>
              <w:t xml:space="preserve">Until </w:t>
            </w:r>
            <w:r w:rsidR="00054F21" w:rsidRPr="00132995">
              <w:rPr>
                <w:rFonts w:ascii="Verdana" w:hAnsi="Verdana" w:cstheme="minorHAnsi"/>
              </w:rPr>
              <w:t>the postal</w:t>
            </w:r>
            <w:r w:rsidRPr="00132995">
              <w:rPr>
                <w:rFonts w:ascii="Verdana" w:hAnsi="Verdana" w:cstheme="minorHAnsi"/>
              </w:rPr>
              <w:t xml:space="preserve"> service is back to normal for your home address, if you can provide an alternate address, we can ship your medication to that location.</w:t>
            </w:r>
          </w:p>
          <w:p w14:paraId="6D6C75E7" w14:textId="77777777" w:rsidR="00064FB1" w:rsidRPr="00132995" w:rsidRDefault="00064FB1" w:rsidP="00617E9A">
            <w:pPr>
              <w:pStyle w:val="ListParagraph"/>
              <w:numPr>
                <w:ilvl w:val="0"/>
                <w:numId w:val="6"/>
              </w:numPr>
              <w:spacing w:before="120" w:after="120"/>
              <w:rPr>
                <w:rFonts w:ascii="Verdana" w:hAnsi="Verdana" w:cstheme="minorHAnsi"/>
              </w:rPr>
            </w:pPr>
            <w:r w:rsidRPr="00132995">
              <w:rPr>
                <w:rFonts w:ascii="Verdana" w:hAnsi="Verdana" w:cstheme="minorHAnsi"/>
              </w:rPr>
              <w:t>If you are not within the post office area, go to a retail pharmacy to get a short-term supply.</w:t>
            </w:r>
          </w:p>
          <w:p w14:paraId="74F41C1F" w14:textId="77777777" w:rsidR="00064FB1" w:rsidRPr="006344D9" w:rsidRDefault="00064FB1" w:rsidP="00232DB4">
            <w:pPr>
              <w:spacing w:before="120" w:after="120"/>
              <w:rPr>
                <w:rFonts w:ascii="Verdana" w:hAnsi="Verdana" w:cstheme="minorHAnsi"/>
              </w:rPr>
            </w:pPr>
          </w:p>
        </w:tc>
      </w:tr>
      <w:tr w:rsidR="00064FB1" w:rsidRPr="00DE32B6" w14:paraId="5DB1EA7D" w14:textId="77777777" w:rsidTr="00232DB4">
        <w:trPr>
          <w:trHeight w:val="29"/>
        </w:trPr>
        <w:tc>
          <w:tcPr>
            <w:tcW w:w="259" w:type="pct"/>
            <w:tcMar>
              <w:top w:w="0" w:type="dxa"/>
              <w:left w:w="101" w:type="dxa"/>
              <w:bottom w:w="0" w:type="dxa"/>
              <w:right w:w="101" w:type="dxa"/>
            </w:tcMar>
          </w:tcPr>
          <w:p w14:paraId="7C9E3388" w14:textId="77777777" w:rsidR="00064FB1" w:rsidRPr="006344D9" w:rsidRDefault="00064FB1" w:rsidP="00232DB4">
            <w:pPr>
              <w:spacing w:before="120" w:after="120"/>
              <w:jc w:val="center"/>
              <w:rPr>
                <w:rFonts w:ascii="Verdana" w:hAnsi="Verdana" w:cstheme="minorHAnsi"/>
                <w:b/>
                <w:bCs/>
              </w:rPr>
            </w:pPr>
            <w:r w:rsidRPr="006344D9">
              <w:rPr>
                <w:rFonts w:ascii="Verdana" w:hAnsi="Verdana" w:cstheme="minorHAnsi"/>
                <w:b/>
                <w:bCs/>
              </w:rPr>
              <w:t xml:space="preserve">4 </w:t>
            </w:r>
          </w:p>
        </w:tc>
        <w:tc>
          <w:tcPr>
            <w:tcW w:w="1108" w:type="pct"/>
            <w:tcMar>
              <w:top w:w="0" w:type="dxa"/>
              <w:left w:w="101" w:type="dxa"/>
              <w:bottom w:w="0" w:type="dxa"/>
              <w:right w:w="101" w:type="dxa"/>
            </w:tcMar>
          </w:tcPr>
          <w:p w14:paraId="5C2BD0DB" w14:textId="77777777" w:rsidR="00064FB1" w:rsidRPr="006344D9" w:rsidRDefault="00064FB1" w:rsidP="00232DB4">
            <w:pPr>
              <w:spacing w:before="120" w:after="120"/>
              <w:rPr>
                <w:rFonts w:ascii="Verdana" w:hAnsi="Verdana" w:cstheme="minorHAnsi"/>
                <w:b/>
                <w:bCs/>
              </w:rPr>
            </w:pPr>
            <w:r w:rsidRPr="006344D9">
              <w:rPr>
                <w:rFonts w:ascii="Verdana" w:hAnsi="Verdana" w:cstheme="minorHAnsi"/>
                <w:b/>
                <w:bCs/>
              </w:rPr>
              <w:t>I am unable to leave my house and am running out of medication. How can I receive my refill quickly?</w:t>
            </w:r>
          </w:p>
        </w:tc>
        <w:tc>
          <w:tcPr>
            <w:tcW w:w="3633" w:type="pct"/>
            <w:tcMar>
              <w:top w:w="0" w:type="dxa"/>
              <w:left w:w="101" w:type="dxa"/>
              <w:bottom w:w="0" w:type="dxa"/>
              <w:right w:w="101" w:type="dxa"/>
            </w:tcMar>
          </w:tcPr>
          <w:p w14:paraId="17F8437E" w14:textId="7F02382A" w:rsidR="00064FB1" w:rsidRDefault="00064FB1" w:rsidP="00232DB4">
            <w:pPr>
              <w:pStyle w:val="ListParagraph"/>
              <w:spacing w:before="120" w:after="120" w:line="259" w:lineRule="atLeast"/>
              <w:ind w:left="0"/>
              <w:contextualSpacing w:val="0"/>
              <w:rPr>
                <w:rFonts w:ascii="Verdana" w:hAnsi="Verdana" w:cstheme="minorHAnsi"/>
                <w:bCs/>
              </w:rPr>
            </w:pPr>
            <w:r w:rsidRPr="006344D9">
              <w:rPr>
                <w:rFonts w:ascii="Verdana" w:hAnsi="Verdana" w:cstheme="minorHAnsi"/>
                <w:b/>
                <w:bCs/>
              </w:rPr>
              <w:t xml:space="preserve">Action for </w:t>
            </w:r>
            <w:r w:rsidR="00167DCE" w:rsidRPr="00167DCE">
              <w:rPr>
                <w:rFonts w:ascii="Verdana" w:hAnsi="Verdana" w:cstheme="minorHAnsi"/>
                <w:b/>
                <w:bCs/>
              </w:rPr>
              <w:t>Representatives</w:t>
            </w:r>
            <w:r w:rsidRPr="00167DCE">
              <w:rPr>
                <w:rFonts w:ascii="Verdana" w:hAnsi="Verdana" w:cstheme="minorHAnsi"/>
                <w:b/>
                <w:bCs/>
              </w:rPr>
              <w:t>:</w:t>
            </w:r>
            <w:r w:rsidRPr="006344D9">
              <w:rPr>
                <w:rFonts w:ascii="Verdana" w:hAnsi="Verdana" w:cstheme="minorHAnsi"/>
                <w:bCs/>
              </w:rPr>
              <w:t xml:space="preserve">  </w:t>
            </w:r>
          </w:p>
          <w:p w14:paraId="2A41FBC3" w14:textId="5307339D" w:rsidR="00064FB1" w:rsidRDefault="00064FB1" w:rsidP="00232DB4">
            <w:pPr>
              <w:pStyle w:val="ListParagraph"/>
              <w:spacing w:before="120" w:after="120" w:line="259" w:lineRule="atLeast"/>
              <w:ind w:left="0"/>
              <w:contextualSpacing w:val="0"/>
              <w:rPr>
                <w:rFonts w:ascii="Verdana" w:hAnsi="Verdana" w:cstheme="minorHAnsi"/>
                <w:bCs/>
              </w:rPr>
            </w:pPr>
            <w:r w:rsidRPr="006344D9">
              <w:rPr>
                <w:rFonts w:ascii="Verdana" w:hAnsi="Verdana" w:cstheme="minorHAnsi"/>
                <w:bCs/>
              </w:rPr>
              <w:t xml:space="preserve">Since a formal emergency has been declared for specific states listed in the Background Section, follow emergency directives for the short-term supply. </w:t>
            </w:r>
            <w:r w:rsidR="00167DCE">
              <w:rPr>
                <w:rFonts w:ascii="Verdana" w:hAnsi="Verdana" w:cstheme="minorHAnsi"/>
                <w:bCs/>
              </w:rPr>
              <w:t>B</w:t>
            </w:r>
            <w:r w:rsidRPr="006344D9">
              <w:rPr>
                <w:rFonts w:ascii="Verdana" w:hAnsi="Verdana" w:cstheme="minorHAnsi"/>
                <w:bCs/>
              </w:rPr>
              <w:t xml:space="preserve">e aware that in some cases, retail stores may be authorized to dispense more than the standard 10-day supply. </w:t>
            </w:r>
          </w:p>
          <w:p w14:paraId="40642A27" w14:textId="0775B363" w:rsidR="00064FB1" w:rsidRPr="006344D9" w:rsidRDefault="00064FB1" w:rsidP="00232DB4">
            <w:pPr>
              <w:pStyle w:val="ListParagraph"/>
              <w:spacing w:before="120" w:after="120" w:line="259" w:lineRule="atLeast"/>
              <w:ind w:left="0"/>
              <w:contextualSpacing w:val="0"/>
              <w:rPr>
                <w:rFonts w:ascii="Verdana" w:hAnsi="Verdana" w:cstheme="minorHAnsi"/>
                <w:color w:val="000000" w:themeColor="text1"/>
              </w:rPr>
            </w:pPr>
            <w:r w:rsidRPr="006344D9">
              <w:rPr>
                <w:rFonts w:ascii="Verdana" w:hAnsi="Verdana" w:cstheme="minorHAnsi"/>
                <w:bCs/>
              </w:rPr>
              <w:t>For those members in states that have not yet declared a formal emergency, review the CIF for client-specific direction. If necessary, alert your Supervisor who should work with the Account Manager to authorize an override not currently documented in the CIF</w:t>
            </w:r>
            <w:r>
              <w:rPr>
                <w:rFonts w:ascii="Verdana" w:hAnsi="Verdana" w:cstheme="minorHAnsi"/>
                <w:bCs/>
              </w:rPr>
              <w:t>.</w:t>
            </w:r>
          </w:p>
        </w:tc>
      </w:tr>
      <w:tr w:rsidR="00064FB1" w:rsidRPr="00DE32B6" w14:paraId="3AED21BD" w14:textId="77777777" w:rsidTr="00232DB4">
        <w:trPr>
          <w:trHeight w:val="29"/>
        </w:trPr>
        <w:tc>
          <w:tcPr>
            <w:tcW w:w="259" w:type="pct"/>
            <w:tcMar>
              <w:top w:w="0" w:type="dxa"/>
              <w:left w:w="101" w:type="dxa"/>
              <w:bottom w:w="0" w:type="dxa"/>
              <w:right w:w="101" w:type="dxa"/>
            </w:tcMar>
          </w:tcPr>
          <w:p w14:paraId="0D7DB2D4" w14:textId="77777777" w:rsidR="00064FB1" w:rsidRPr="006344D9" w:rsidRDefault="00064FB1" w:rsidP="00232DB4">
            <w:pPr>
              <w:spacing w:before="120" w:after="120"/>
              <w:jc w:val="center"/>
              <w:rPr>
                <w:rFonts w:ascii="Verdana" w:hAnsi="Verdana" w:cstheme="minorHAnsi"/>
                <w:b/>
                <w:bCs/>
              </w:rPr>
            </w:pPr>
            <w:r w:rsidRPr="006344D9">
              <w:rPr>
                <w:rFonts w:ascii="Verdana" w:hAnsi="Verdana" w:cstheme="minorHAnsi"/>
                <w:b/>
                <w:bCs/>
              </w:rPr>
              <w:t>5</w:t>
            </w:r>
          </w:p>
        </w:tc>
        <w:tc>
          <w:tcPr>
            <w:tcW w:w="1108" w:type="pct"/>
            <w:tcMar>
              <w:top w:w="0" w:type="dxa"/>
              <w:left w:w="101" w:type="dxa"/>
              <w:bottom w:w="0" w:type="dxa"/>
              <w:right w:w="101" w:type="dxa"/>
            </w:tcMar>
          </w:tcPr>
          <w:p w14:paraId="2A421455" w14:textId="77777777" w:rsidR="00064FB1" w:rsidRPr="006344D9" w:rsidRDefault="00064FB1" w:rsidP="00232DB4">
            <w:pPr>
              <w:spacing w:before="120" w:after="120"/>
              <w:rPr>
                <w:rFonts w:ascii="Verdana" w:hAnsi="Verdana" w:cstheme="minorHAnsi"/>
                <w:b/>
                <w:bCs/>
              </w:rPr>
            </w:pPr>
            <w:r w:rsidRPr="006344D9">
              <w:rPr>
                <w:rFonts w:ascii="Verdana" w:hAnsi="Verdana" w:cstheme="minorHAnsi"/>
                <w:b/>
                <w:bCs/>
              </w:rPr>
              <w:t>How much will it cost me to pick up my medication at a retail pharmacy if I usually use mail service?</w:t>
            </w:r>
          </w:p>
        </w:tc>
        <w:tc>
          <w:tcPr>
            <w:tcW w:w="3633" w:type="pct"/>
            <w:tcMar>
              <w:top w:w="0" w:type="dxa"/>
              <w:left w:w="101" w:type="dxa"/>
              <w:bottom w:w="0" w:type="dxa"/>
              <w:right w:w="101" w:type="dxa"/>
            </w:tcMar>
          </w:tcPr>
          <w:p w14:paraId="4412C5E3" w14:textId="77777777" w:rsidR="00064FB1" w:rsidRDefault="00064FB1" w:rsidP="00232DB4">
            <w:pPr>
              <w:spacing w:before="120" w:after="120"/>
              <w:rPr>
                <w:rFonts w:ascii="Verdana" w:hAnsi="Verdana" w:cstheme="minorHAnsi"/>
              </w:rPr>
            </w:pPr>
          </w:p>
          <w:p w14:paraId="1F3E7A78" w14:textId="77777777" w:rsidR="00064FB1" w:rsidRPr="006344D9" w:rsidRDefault="00064FB1" w:rsidP="00232DB4">
            <w:pPr>
              <w:spacing w:before="120" w:after="120"/>
              <w:rPr>
                <w:rFonts w:ascii="Verdana" w:hAnsi="Verdana" w:cstheme="minorHAnsi"/>
              </w:rPr>
            </w:pPr>
            <w:r w:rsidRPr="00641745">
              <w:rPr>
                <w:rFonts w:ascii="Verdana" w:hAnsi="Verdana" w:cstheme="minorHAnsi"/>
              </w:rPr>
              <w:t>[CLIENT DECISION]</w:t>
            </w:r>
          </w:p>
        </w:tc>
      </w:tr>
      <w:tr w:rsidR="00064FB1" w:rsidRPr="00DE32B6" w14:paraId="3C6F3947" w14:textId="77777777" w:rsidTr="00232DB4">
        <w:trPr>
          <w:trHeight w:val="29"/>
        </w:trPr>
        <w:tc>
          <w:tcPr>
            <w:tcW w:w="259" w:type="pct"/>
            <w:tcMar>
              <w:top w:w="0" w:type="dxa"/>
              <w:left w:w="101" w:type="dxa"/>
              <w:bottom w:w="0" w:type="dxa"/>
              <w:right w:w="101" w:type="dxa"/>
            </w:tcMar>
          </w:tcPr>
          <w:p w14:paraId="363428D3" w14:textId="77777777" w:rsidR="00064FB1" w:rsidRPr="006344D9" w:rsidRDefault="00064FB1" w:rsidP="00232DB4">
            <w:pPr>
              <w:spacing w:before="120" w:after="120"/>
              <w:jc w:val="center"/>
              <w:rPr>
                <w:rFonts w:ascii="Verdana" w:hAnsi="Verdana" w:cstheme="minorHAnsi"/>
                <w:b/>
                <w:bCs/>
              </w:rPr>
            </w:pPr>
            <w:r w:rsidRPr="006344D9">
              <w:rPr>
                <w:rFonts w:ascii="Verdana" w:hAnsi="Verdana" w:cstheme="minorHAnsi"/>
                <w:b/>
                <w:bCs/>
              </w:rPr>
              <w:t>6</w:t>
            </w:r>
          </w:p>
        </w:tc>
        <w:tc>
          <w:tcPr>
            <w:tcW w:w="1108" w:type="pct"/>
            <w:tcMar>
              <w:top w:w="0" w:type="dxa"/>
              <w:left w:w="101" w:type="dxa"/>
              <w:bottom w:w="0" w:type="dxa"/>
              <w:right w:w="101" w:type="dxa"/>
            </w:tcMar>
          </w:tcPr>
          <w:p w14:paraId="0A0F0657" w14:textId="77777777" w:rsidR="00064FB1" w:rsidRPr="006344D9" w:rsidRDefault="00064FB1" w:rsidP="00232DB4">
            <w:pPr>
              <w:spacing w:before="120" w:after="120"/>
              <w:rPr>
                <w:rFonts w:ascii="Verdana" w:hAnsi="Verdana" w:cstheme="minorHAnsi"/>
                <w:b/>
                <w:bCs/>
              </w:rPr>
            </w:pPr>
            <w:r w:rsidRPr="006344D9">
              <w:rPr>
                <w:rFonts w:ascii="Verdana" w:hAnsi="Verdana" w:cstheme="minorHAnsi"/>
                <w:b/>
                <w:bCs/>
              </w:rPr>
              <w:t>If my local retail pharmacy was affected by this event, where should I go?</w:t>
            </w:r>
          </w:p>
        </w:tc>
        <w:tc>
          <w:tcPr>
            <w:tcW w:w="3633" w:type="pct"/>
            <w:tcMar>
              <w:top w:w="0" w:type="dxa"/>
              <w:left w:w="101" w:type="dxa"/>
              <w:bottom w:w="0" w:type="dxa"/>
              <w:right w:w="101" w:type="dxa"/>
            </w:tcMar>
          </w:tcPr>
          <w:p w14:paraId="7D72E95B" w14:textId="77777777" w:rsidR="00064FB1" w:rsidRPr="006344D9" w:rsidRDefault="00064FB1" w:rsidP="00232DB4">
            <w:pPr>
              <w:spacing w:before="120" w:after="120" w:line="259" w:lineRule="auto"/>
              <w:ind w:left="720" w:hanging="720"/>
              <w:rPr>
                <w:rFonts w:ascii="Verdana" w:eastAsiaTheme="minorHAnsi" w:hAnsi="Verdana" w:cstheme="minorHAnsi"/>
              </w:rPr>
            </w:pPr>
            <w:r w:rsidRPr="006344D9">
              <w:rPr>
                <w:rFonts w:ascii="Verdana" w:hAnsi="Verdana" w:cstheme="minorHAnsi"/>
              </w:rPr>
              <w:t xml:space="preserve">If you would like, I can look up the next closest participating retail pharmacy in your area.  </w:t>
            </w:r>
          </w:p>
        </w:tc>
      </w:tr>
      <w:tr w:rsidR="00064FB1" w:rsidRPr="00DE32B6" w14:paraId="0C66C1CD" w14:textId="77777777" w:rsidTr="00232DB4">
        <w:trPr>
          <w:trHeight w:val="29"/>
        </w:trPr>
        <w:tc>
          <w:tcPr>
            <w:tcW w:w="259" w:type="pct"/>
            <w:tcMar>
              <w:top w:w="0" w:type="dxa"/>
              <w:left w:w="101" w:type="dxa"/>
              <w:bottom w:w="0" w:type="dxa"/>
              <w:right w:w="101" w:type="dxa"/>
            </w:tcMar>
          </w:tcPr>
          <w:p w14:paraId="11F51DF4" w14:textId="77777777" w:rsidR="00064FB1" w:rsidRPr="006344D9" w:rsidRDefault="00064FB1" w:rsidP="00232DB4">
            <w:pPr>
              <w:spacing w:before="120" w:after="120"/>
              <w:jc w:val="center"/>
              <w:rPr>
                <w:rFonts w:ascii="Verdana" w:hAnsi="Verdana" w:cstheme="minorHAnsi"/>
                <w:b/>
                <w:bCs/>
              </w:rPr>
            </w:pPr>
            <w:r>
              <w:rPr>
                <w:rFonts w:ascii="Verdana" w:hAnsi="Verdana" w:cstheme="minorHAnsi"/>
                <w:b/>
                <w:bCs/>
              </w:rPr>
              <w:t>7</w:t>
            </w:r>
          </w:p>
        </w:tc>
        <w:tc>
          <w:tcPr>
            <w:tcW w:w="1108" w:type="pct"/>
            <w:tcMar>
              <w:top w:w="0" w:type="dxa"/>
              <w:left w:w="101" w:type="dxa"/>
              <w:bottom w:w="0" w:type="dxa"/>
              <w:right w:w="101" w:type="dxa"/>
            </w:tcMar>
          </w:tcPr>
          <w:p w14:paraId="038AE639" w14:textId="77777777" w:rsidR="00064FB1" w:rsidRPr="006344D9" w:rsidRDefault="00064FB1" w:rsidP="00232DB4">
            <w:pPr>
              <w:spacing w:before="120" w:after="120"/>
              <w:rPr>
                <w:rFonts w:ascii="Verdana" w:hAnsi="Verdana" w:cstheme="minorHAnsi"/>
                <w:b/>
                <w:bCs/>
              </w:rPr>
            </w:pPr>
            <w:r>
              <w:rPr>
                <w:rFonts w:ascii="Verdana" w:hAnsi="Verdana" w:cstheme="minorHAnsi"/>
                <w:b/>
                <w:bCs/>
              </w:rPr>
              <w:t>If I am a specialty patient, how do I get my medication?</w:t>
            </w:r>
          </w:p>
        </w:tc>
        <w:tc>
          <w:tcPr>
            <w:tcW w:w="3633" w:type="pct"/>
            <w:tcMar>
              <w:top w:w="0" w:type="dxa"/>
              <w:left w:w="101" w:type="dxa"/>
              <w:bottom w:w="0" w:type="dxa"/>
              <w:right w:w="101" w:type="dxa"/>
            </w:tcMar>
          </w:tcPr>
          <w:p w14:paraId="02AEBE40" w14:textId="77777777" w:rsidR="00064FB1" w:rsidRPr="006344D9" w:rsidRDefault="00064FB1" w:rsidP="00232DB4">
            <w:pPr>
              <w:spacing w:before="120" w:after="120"/>
              <w:rPr>
                <w:rFonts w:ascii="Verdana" w:hAnsi="Verdana" w:cstheme="minorHAnsi"/>
              </w:rPr>
            </w:pPr>
            <w:r w:rsidRPr="006344D9">
              <w:rPr>
                <w:rFonts w:ascii="Verdana" w:hAnsi="Verdana" w:cstheme="minorHAnsi"/>
              </w:rPr>
              <w:t xml:space="preserve">Specialty is </w:t>
            </w:r>
            <w:proofErr w:type="gramStart"/>
            <w:r w:rsidRPr="006344D9">
              <w:rPr>
                <w:rFonts w:ascii="Verdana" w:hAnsi="Verdana" w:cstheme="minorHAnsi"/>
              </w:rPr>
              <w:t>making arrangements</w:t>
            </w:r>
            <w:proofErr w:type="gramEnd"/>
            <w:r w:rsidRPr="006344D9">
              <w:rPr>
                <w:rFonts w:ascii="Verdana" w:hAnsi="Verdana" w:cstheme="minorHAnsi"/>
              </w:rPr>
              <w:t xml:space="preserve"> for you to receive your medication on a case-by-case basis.</w:t>
            </w:r>
          </w:p>
          <w:p w14:paraId="04C550CE" w14:textId="77777777" w:rsidR="00064FB1" w:rsidRPr="006344D9" w:rsidRDefault="00064FB1" w:rsidP="00232DB4">
            <w:pPr>
              <w:spacing w:before="120" w:after="120"/>
              <w:rPr>
                <w:rFonts w:ascii="Verdana" w:hAnsi="Verdana" w:cstheme="minorHAnsi"/>
              </w:rPr>
            </w:pPr>
            <w:r w:rsidRPr="006344D9">
              <w:rPr>
                <w:rFonts w:ascii="Verdana" w:hAnsi="Verdana" w:cstheme="minorHAnsi"/>
              </w:rPr>
              <w:t>Contact Specialty toll-free at [(client specific) 1-800-XXX-XXXX] for questions.</w:t>
            </w:r>
          </w:p>
          <w:p w14:paraId="20B9A11E" w14:textId="77777777" w:rsidR="00064FB1" w:rsidRPr="006344D9" w:rsidRDefault="00064FB1" w:rsidP="00232DB4">
            <w:pPr>
              <w:spacing w:before="120" w:after="120" w:line="259" w:lineRule="auto"/>
              <w:ind w:left="720" w:hanging="720"/>
              <w:rPr>
                <w:rFonts w:ascii="Verdana" w:hAnsi="Verdana" w:cstheme="minorHAnsi"/>
              </w:rPr>
            </w:pPr>
          </w:p>
        </w:tc>
      </w:tr>
      <w:tr w:rsidR="00064FB1" w:rsidRPr="00DE32B6" w14:paraId="12601981" w14:textId="77777777" w:rsidTr="00232DB4">
        <w:trPr>
          <w:trHeight w:val="29"/>
        </w:trPr>
        <w:tc>
          <w:tcPr>
            <w:tcW w:w="259" w:type="pct"/>
            <w:tcMar>
              <w:top w:w="0" w:type="dxa"/>
              <w:left w:w="101" w:type="dxa"/>
              <w:bottom w:w="0" w:type="dxa"/>
              <w:right w:w="101" w:type="dxa"/>
            </w:tcMar>
          </w:tcPr>
          <w:p w14:paraId="5D258BC2" w14:textId="77777777" w:rsidR="00064FB1" w:rsidRDefault="00064FB1" w:rsidP="00232DB4">
            <w:pPr>
              <w:spacing w:before="120" w:after="120"/>
              <w:jc w:val="center"/>
              <w:rPr>
                <w:rFonts w:ascii="Verdana" w:hAnsi="Verdana" w:cstheme="minorHAnsi"/>
                <w:b/>
                <w:bCs/>
              </w:rPr>
            </w:pPr>
            <w:r>
              <w:rPr>
                <w:rFonts w:ascii="Verdana" w:hAnsi="Verdana" w:cstheme="minorHAnsi"/>
                <w:b/>
                <w:bCs/>
              </w:rPr>
              <w:t>8</w:t>
            </w:r>
          </w:p>
        </w:tc>
        <w:tc>
          <w:tcPr>
            <w:tcW w:w="1108" w:type="pct"/>
            <w:tcMar>
              <w:top w:w="0" w:type="dxa"/>
              <w:left w:w="101" w:type="dxa"/>
              <w:bottom w:w="0" w:type="dxa"/>
              <w:right w:w="101" w:type="dxa"/>
            </w:tcMar>
          </w:tcPr>
          <w:p w14:paraId="046F6F1A" w14:textId="77777777" w:rsidR="00064FB1" w:rsidRDefault="00064FB1" w:rsidP="00232DB4">
            <w:pPr>
              <w:spacing w:before="120" w:after="120"/>
              <w:rPr>
                <w:rFonts w:ascii="Verdana" w:hAnsi="Verdana" w:cstheme="minorHAnsi"/>
                <w:b/>
                <w:bCs/>
              </w:rPr>
            </w:pPr>
            <w:r>
              <w:rPr>
                <w:rFonts w:ascii="Verdana" w:hAnsi="Verdana" w:cstheme="minorHAnsi"/>
                <w:b/>
                <w:bCs/>
              </w:rPr>
              <w:t>How do I get my medication that is shipped with a cold pack?</w:t>
            </w:r>
          </w:p>
        </w:tc>
        <w:tc>
          <w:tcPr>
            <w:tcW w:w="3633" w:type="pct"/>
            <w:tcMar>
              <w:top w:w="0" w:type="dxa"/>
              <w:left w:w="101" w:type="dxa"/>
              <w:bottom w:w="0" w:type="dxa"/>
              <w:right w:w="101" w:type="dxa"/>
            </w:tcMar>
          </w:tcPr>
          <w:p w14:paraId="4205FD88" w14:textId="77777777" w:rsidR="00064FB1" w:rsidRPr="001D1A2D" w:rsidRDefault="00064FB1" w:rsidP="00232DB4">
            <w:pPr>
              <w:spacing w:before="120" w:after="120"/>
              <w:rPr>
                <w:rFonts w:ascii="Verdana" w:hAnsi="Verdana"/>
                <w:b/>
                <w:bCs/>
              </w:rPr>
            </w:pPr>
            <w:r w:rsidRPr="001D1A2D">
              <w:rPr>
                <w:rFonts w:ascii="Verdana" w:hAnsi="Verdana"/>
                <w:b/>
                <w:bCs/>
              </w:rPr>
              <w:t>Shipping:  </w:t>
            </w:r>
            <w:r w:rsidRPr="001D1A2D">
              <w:rPr>
                <w:rFonts w:ascii="Verdana" w:hAnsi="Verdana"/>
              </w:rPr>
              <w:t>For specific Cold Pack information, refer to </w:t>
            </w:r>
            <w:hyperlink r:id="rId16" w:anchor="!/view?docid=42b8115d-45ff-4172-9bc4-f3e0a26bde02" w:tgtFrame="_blank" w:history="1">
              <w:r w:rsidRPr="001D1A2D">
                <w:rPr>
                  <w:rStyle w:val="Hyperlink"/>
                  <w:rFonts w:ascii="Verdana" w:eastAsiaTheme="majorEastAsia" w:hAnsi="Verdana"/>
                </w:rPr>
                <w:t>Cold Pack Packages (068152)</w:t>
              </w:r>
            </w:hyperlink>
            <w:r w:rsidRPr="001D1A2D">
              <w:rPr>
                <w:rFonts w:ascii="Verdana" w:hAnsi="Verdana"/>
              </w:rPr>
              <w:t xml:space="preserve">. Our automated shipping process will check the National Weather Service forecast for your area for </w:t>
            </w:r>
            <w:proofErr w:type="gramStart"/>
            <w:r w:rsidRPr="001D1A2D">
              <w:rPr>
                <w:rFonts w:ascii="Verdana" w:hAnsi="Verdana"/>
              </w:rPr>
              <w:t>the time-</w:t>
            </w:r>
            <w:proofErr w:type="gramEnd"/>
            <w:r w:rsidRPr="001D1A2D">
              <w:rPr>
                <w:rFonts w:ascii="Verdana" w:hAnsi="Verdana"/>
              </w:rPr>
              <w:t>period that we expect your order to be delivered. Based on the temperature range during that time period, we will determine the best shipping method to use to protect insulin orders. </w:t>
            </w:r>
          </w:p>
          <w:p w14:paraId="7ADC1003" w14:textId="77777777" w:rsidR="00064FB1" w:rsidRDefault="00064FB1" w:rsidP="00232DB4">
            <w:pPr>
              <w:spacing w:before="120" w:after="120"/>
              <w:rPr>
                <w:rFonts w:ascii="Verdana" w:hAnsi="Verdana"/>
              </w:rPr>
            </w:pPr>
            <w:r w:rsidRPr="001D1A2D">
              <w:rPr>
                <w:rFonts w:ascii="Verdana" w:hAnsi="Verdana"/>
              </w:rPr>
              <w:t>Orders can be shipped either UPS Next OR 2nd Day shipping. For specific Cold Pack information, refer to </w:t>
            </w:r>
            <w:hyperlink r:id="rId17" w:anchor="!/view?docid=42b8115d-45ff-4172-9bc4-f3e0a26bde02" w:tgtFrame="_blank" w:history="1">
              <w:r w:rsidRPr="001D1A2D">
                <w:rPr>
                  <w:rStyle w:val="Hyperlink"/>
                  <w:rFonts w:ascii="Verdana" w:eastAsiaTheme="majorEastAsia" w:hAnsi="Verdana"/>
                </w:rPr>
                <w:t>Cold Pack Packages (068152)</w:t>
              </w:r>
            </w:hyperlink>
            <w:r w:rsidRPr="001D1A2D">
              <w:rPr>
                <w:rFonts w:ascii="Verdana" w:hAnsi="Verdana"/>
              </w:rPr>
              <w:t>.</w:t>
            </w:r>
          </w:p>
          <w:p w14:paraId="675F3979" w14:textId="77777777" w:rsidR="00064FB1" w:rsidRDefault="00064FB1" w:rsidP="00232DB4">
            <w:pPr>
              <w:spacing w:before="120" w:after="120"/>
              <w:rPr>
                <w:rFonts w:ascii="Verdana" w:hAnsi="Verdana"/>
                <w:b/>
                <w:bCs/>
              </w:rPr>
            </w:pPr>
          </w:p>
          <w:p w14:paraId="4B2CD6DC" w14:textId="77777777" w:rsidR="00064FB1" w:rsidRPr="001D1A2D" w:rsidRDefault="00064FB1" w:rsidP="00232DB4">
            <w:pPr>
              <w:spacing w:before="120" w:after="120"/>
              <w:rPr>
                <w:rFonts w:ascii="Verdana" w:hAnsi="Verdana"/>
                <w:b/>
                <w:bCs/>
              </w:rPr>
            </w:pPr>
            <w:r w:rsidRPr="001D1A2D">
              <w:rPr>
                <w:rFonts w:ascii="Verdana" w:hAnsi="Verdana"/>
                <w:b/>
                <w:bCs/>
              </w:rPr>
              <w:t>1.800.PickUPS (800.742.5877)</w:t>
            </w:r>
          </w:p>
          <w:p w14:paraId="123B9216" w14:textId="77777777" w:rsidR="00064FB1" w:rsidRPr="001E1F35" w:rsidRDefault="00064FB1" w:rsidP="00232DB4">
            <w:pPr>
              <w:spacing w:before="120" w:after="120"/>
              <w:rPr>
                <w:rFonts w:ascii="Verdana" w:hAnsi="Verdana"/>
              </w:rPr>
            </w:pPr>
            <w:hyperlink r:id="rId18" w:tgtFrame="_blank" w:history="1">
              <w:r w:rsidRPr="00132995">
                <w:rPr>
                  <w:rStyle w:val="Hyperlink"/>
                  <w:rFonts w:ascii="Verdana" w:eastAsiaTheme="majorEastAsia" w:hAnsi="Verdana"/>
                </w:rPr>
                <w:t>www.UPS.com</w:t>
              </w:r>
            </w:hyperlink>
          </w:p>
        </w:tc>
      </w:tr>
    </w:tbl>
    <w:p w14:paraId="0BBF3698" w14:textId="77777777" w:rsidR="00064FB1" w:rsidRDefault="00064FB1" w:rsidP="00064FB1">
      <w:pPr>
        <w:pStyle w:val="NormalWeb"/>
        <w:spacing w:before="120" w:beforeAutospacing="0" w:after="120" w:afterAutospacing="0"/>
        <w:textAlignment w:val="top"/>
        <w:rPr>
          <w:rFonts w:ascii="Verdana" w:hAnsi="Verdana"/>
          <w:color w:val="000000"/>
        </w:rPr>
      </w:pPr>
    </w:p>
    <w:p w14:paraId="419E18B2" w14:textId="77777777" w:rsidR="00064FB1" w:rsidRPr="002919E3" w:rsidRDefault="00064FB1" w:rsidP="00064FB1">
      <w:pPr>
        <w:jc w:val="right"/>
        <w:rPr>
          <w:rFonts w:ascii="Verdana" w:hAnsi="Verdana"/>
        </w:rPr>
      </w:pPr>
      <w:hyperlink w:anchor="_top" w:history="1">
        <w:r w:rsidRPr="002919E3">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4FB1" w:rsidRPr="00064FB1" w14:paraId="79FF5AA1" w14:textId="77777777" w:rsidTr="00232DB4">
        <w:tc>
          <w:tcPr>
            <w:tcW w:w="5000" w:type="pct"/>
            <w:shd w:val="clear" w:color="auto" w:fill="BFBFBF" w:themeFill="background1" w:themeFillShade="BF"/>
          </w:tcPr>
          <w:p w14:paraId="69263655" w14:textId="77777777" w:rsidR="00064FB1" w:rsidRPr="00064FB1" w:rsidRDefault="00064FB1" w:rsidP="00232DB4">
            <w:pPr>
              <w:pStyle w:val="Heading2"/>
              <w:spacing w:before="120" w:after="120"/>
              <w:rPr>
                <w:rFonts w:ascii="Verdana" w:hAnsi="Verdana"/>
                <w:b/>
                <w:bCs/>
                <w:i/>
                <w:iCs/>
                <w:color w:val="000000" w:themeColor="text1"/>
                <w:sz w:val="28"/>
                <w:szCs w:val="28"/>
              </w:rPr>
            </w:pPr>
            <w:bookmarkStart w:id="18" w:name="_Toc189742737"/>
            <w:bookmarkStart w:id="19" w:name="_Hlk187330837"/>
            <w:r w:rsidRPr="00064FB1">
              <w:rPr>
                <w:rFonts w:ascii="Verdana" w:hAnsi="Verdana"/>
                <w:b/>
                <w:bCs/>
                <w:color w:val="000000" w:themeColor="text1"/>
                <w:sz w:val="28"/>
                <w:szCs w:val="28"/>
              </w:rPr>
              <w:t>Related Document</w:t>
            </w:r>
            <w:bookmarkEnd w:id="18"/>
          </w:p>
        </w:tc>
      </w:tr>
    </w:tbl>
    <w:bookmarkEnd w:id="19"/>
    <w:p w14:paraId="5444C713" w14:textId="77777777" w:rsidR="00064FB1" w:rsidRPr="00132995" w:rsidRDefault="00064FB1" w:rsidP="00064FB1">
      <w:pPr>
        <w:spacing w:before="120" w:after="120"/>
        <w:rPr>
          <w:rFonts w:ascii="Verdana" w:hAnsi="Verdana"/>
        </w:rPr>
      </w:pPr>
      <w:r w:rsidRPr="00DC4275">
        <w:rPr>
          <w:rFonts w:eastAsiaTheme="majorEastAsia"/>
        </w:rPr>
        <w:fldChar w:fldCharType="begin"/>
      </w:r>
      <w:r w:rsidRPr="00132995">
        <w:rPr>
          <w:rFonts w:ascii="Verdana" w:hAnsi="Verdana"/>
        </w:rPr>
        <w:instrText>HYPERLINK "https://thesource.cvshealth.com/nuxeo/thesource/" \l "!/view?docid=c1f1028b-e42c-4b4f-a4cf-cc0b42c91606"</w:instrText>
      </w:r>
      <w:r w:rsidRPr="00DC4275">
        <w:rPr>
          <w:rFonts w:eastAsiaTheme="majorEastAsia"/>
        </w:rPr>
      </w:r>
      <w:r w:rsidRPr="00DC4275">
        <w:rPr>
          <w:rFonts w:eastAsiaTheme="majorEastAsia"/>
        </w:rPr>
        <w:fldChar w:fldCharType="separate"/>
      </w:r>
      <w:r w:rsidRPr="00DC4275">
        <w:rPr>
          <w:rStyle w:val="Hyperlink"/>
          <w:rFonts w:ascii="Verdana" w:eastAsiaTheme="majorEastAsia" w:hAnsi="Verdana"/>
        </w:rPr>
        <w:t>Customer Care Abbreviations, Definitions and Terms Index (017428)</w:t>
      </w:r>
      <w:r w:rsidRPr="00DC4275">
        <w:rPr>
          <w:rStyle w:val="Hyperlink"/>
          <w:rFonts w:ascii="Verdana" w:eastAsiaTheme="majorEastAsia" w:hAnsi="Verdana"/>
        </w:rPr>
        <w:fldChar w:fldCharType="end"/>
      </w:r>
    </w:p>
    <w:p w14:paraId="6D961604" w14:textId="77777777" w:rsidR="00064FB1" w:rsidRPr="00132995" w:rsidRDefault="00064FB1" w:rsidP="00064FB1">
      <w:pPr>
        <w:spacing w:before="120" w:after="120"/>
        <w:rPr>
          <w:rFonts w:ascii="Verdana" w:hAnsi="Verdana"/>
        </w:rPr>
      </w:pPr>
      <w:r w:rsidRPr="00132995">
        <w:rPr>
          <w:rFonts w:ascii="Verdana" w:hAnsi="Verdana"/>
          <w:b/>
        </w:rPr>
        <w:t>Parent Document:</w:t>
      </w:r>
      <w:r w:rsidRPr="00132995">
        <w:rPr>
          <w:rFonts w:ascii="Verdana" w:hAnsi="Verdana"/>
        </w:rPr>
        <w:t xml:space="preserve">  </w:t>
      </w:r>
      <w:hyperlink r:id="rId19" w:tgtFrame="_blank" w:history="1">
        <w:r>
          <w:rPr>
            <w:rFonts w:ascii="Verdana" w:hAnsi="Verdana"/>
            <w:color w:val="0000FF"/>
            <w:u w:val="single"/>
          </w:rPr>
          <w:t>CALL-0049 Customer Care Internal and External Call Handling</w:t>
        </w:r>
      </w:hyperlink>
    </w:p>
    <w:p w14:paraId="31D789CB" w14:textId="77777777" w:rsidR="00064FB1" w:rsidRDefault="00064FB1" w:rsidP="00064FB1">
      <w:pPr>
        <w:rPr>
          <w:rFonts w:ascii="Verdana" w:hAnsi="Verdana"/>
        </w:rPr>
      </w:pPr>
    </w:p>
    <w:p w14:paraId="34CE11C7" w14:textId="77777777" w:rsidR="00064FB1" w:rsidRPr="002919E3" w:rsidRDefault="00064FB1" w:rsidP="00064FB1">
      <w:pPr>
        <w:jc w:val="right"/>
        <w:rPr>
          <w:rFonts w:ascii="Verdana" w:hAnsi="Verdana"/>
          <w:color w:val="000000"/>
        </w:rPr>
      </w:pPr>
      <w:hyperlink w:anchor="_top" w:history="1">
        <w:r w:rsidRPr="002919E3">
          <w:rPr>
            <w:rStyle w:val="Hyperlink"/>
            <w:rFonts w:ascii="Verdana" w:eastAsiaTheme="majorEastAsia" w:hAnsi="Verdana"/>
          </w:rPr>
          <w:t>Top of the Document</w:t>
        </w:r>
      </w:hyperlink>
    </w:p>
    <w:p w14:paraId="608CE1BF" w14:textId="77777777" w:rsidR="00064FB1" w:rsidRDefault="00064FB1" w:rsidP="00064FB1">
      <w:pPr>
        <w:ind w:left="60"/>
        <w:jc w:val="right"/>
        <w:rPr>
          <w:rFonts w:ascii="Verdana" w:hAnsi="Verdana"/>
        </w:rPr>
      </w:pPr>
    </w:p>
    <w:p w14:paraId="17BD5027" w14:textId="77777777" w:rsidR="00064FB1" w:rsidRPr="00C247CB" w:rsidRDefault="00064FB1" w:rsidP="00064FB1">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54B8B3FF" w14:textId="77777777" w:rsidR="00064FB1" w:rsidRDefault="00064FB1" w:rsidP="00064FB1">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4CDE1095" w14:textId="77777777" w:rsidR="00064FB1" w:rsidRDefault="00064FB1" w:rsidP="00064FB1">
      <w:pPr>
        <w:jc w:val="center"/>
        <w:rPr>
          <w:rFonts w:ascii="Verdana" w:hAnsi="Verdana"/>
          <w:b/>
          <w:color w:val="000000"/>
          <w:sz w:val="16"/>
          <w:szCs w:val="16"/>
        </w:rPr>
      </w:pPr>
    </w:p>
    <w:p w14:paraId="568604F2" w14:textId="77777777" w:rsidR="00A1653F" w:rsidRDefault="00A1653F"/>
    <w:sectPr w:rsidR="00A1653F" w:rsidSect="00064FB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292"/>
    <w:multiLevelType w:val="hybridMultilevel"/>
    <w:tmpl w:val="EC68CF66"/>
    <w:lvl w:ilvl="0" w:tplc="35986FD2">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E4F5F"/>
    <w:multiLevelType w:val="hybridMultilevel"/>
    <w:tmpl w:val="9DB8196A"/>
    <w:lvl w:ilvl="0" w:tplc="4014B222">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E2119F"/>
    <w:multiLevelType w:val="hybridMultilevel"/>
    <w:tmpl w:val="0950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96C00"/>
    <w:multiLevelType w:val="hybridMultilevel"/>
    <w:tmpl w:val="FF423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3C20CB"/>
    <w:multiLevelType w:val="hybridMultilevel"/>
    <w:tmpl w:val="65E0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77B74"/>
    <w:multiLevelType w:val="hybridMultilevel"/>
    <w:tmpl w:val="9D76272A"/>
    <w:lvl w:ilvl="0" w:tplc="04090001">
      <w:start w:val="1"/>
      <w:numFmt w:val="bullet"/>
      <w:lvlText w:val=""/>
      <w:lvlJc w:val="left"/>
      <w:pPr>
        <w:ind w:left="5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D0BD9"/>
    <w:multiLevelType w:val="hybridMultilevel"/>
    <w:tmpl w:val="4A4CC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0546370">
    <w:abstractNumId w:val="4"/>
  </w:num>
  <w:num w:numId="2" w16cid:durableId="669333987">
    <w:abstractNumId w:val="2"/>
  </w:num>
  <w:num w:numId="3" w16cid:durableId="486559771">
    <w:abstractNumId w:val="6"/>
  </w:num>
  <w:num w:numId="4" w16cid:durableId="1193882283">
    <w:abstractNumId w:val="0"/>
  </w:num>
  <w:num w:numId="5" w16cid:durableId="1042940246">
    <w:abstractNumId w:val="1"/>
  </w:num>
  <w:num w:numId="6" w16cid:durableId="608123845">
    <w:abstractNumId w:val="5"/>
  </w:num>
  <w:num w:numId="7" w16cid:durableId="251865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B1"/>
    <w:rsid w:val="00001FB5"/>
    <w:rsid w:val="0002127E"/>
    <w:rsid w:val="00054F21"/>
    <w:rsid w:val="00055E56"/>
    <w:rsid w:val="00064FB1"/>
    <w:rsid w:val="00071D59"/>
    <w:rsid w:val="00080A82"/>
    <w:rsid w:val="000908EA"/>
    <w:rsid w:val="000953A7"/>
    <w:rsid w:val="000A0A13"/>
    <w:rsid w:val="00107629"/>
    <w:rsid w:val="001107BD"/>
    <w:rsid w:val="00130C57"/>
    <w:rsid w:val="00134990"/>
    <w:rsid w:val="00156449"/>
    <w:rsid w:val="00164C71"/>
    <w:rsid w:val="00167DCE"/>
    <w:rsid w:val="00170E65"/>
    <w:rsid w:val="00175F12"/>
    <w:rsid w:val="0017767A"/>
    <w:rsid w:val="001A0B35"/>
    <w:rsid w:val="001A3560"/>
    <w:rsid w:val="001B72EA"/>
    <w:rsid w:val="001C4537"/>
    <w:rsid w:val="001D1377"/>
    <w:rsid w:val="001D2248"/>
    <w:rsid w:val="001E4059"/>
    <w:rsid w:val="00211A7C"/>
    <w:rsid w:val="0021795D"/>
    <w:rsid w:val="00220150"/>
    <w:rsid w:val="00220F25"/>
    <w:rsid w:val="0023081D"/>
    <w:rsid w:val="0024121A"/>
    <w:rsid w:val="002551FC"/>
    <w:rsid w:val="00266676"/>
    <w:rsid w:val="00275ADC"/>
    <w:rsid w:val="00277DA3"/>
    <w:rsid w:val="00282638"/>
    <w:rsid w:val="00287914"/>
    <w:rsid w:val="0029192F"/>
    <w:rsid w:val="002B1A54"/>
    <w:rsid w:val="002B723A"/>
    <w:rsid w:val="002C3339"/>
    <w:rsid w:val="002C590E"/>
    <w:rsid w:val="002C6DD7"/>
    <w:rsid w:val="002D229D"/>
    <w:rsid w:val="002D4446"/>
    <w:rsid w:val="002D75F2"/>
    <w:rsid w:val="00312105"/>
    <w:rsid w:val="00321C83"/>
    <w:rsid w:val="00322D9C"/>
    <w:rsid w:val="00331622"/>
    <w:rsid w:val="0033616D"/>
    <w:rsid w:val="00350AB3"/>
    <w:rsid w:val="0035582B"/>
    <w:rsid w:val="00390325"/>
    <w:rsid w:val="00397D2B"/>
    <w:rsid w:val="003A1AC9"/>
    <w:rsid w:val="003A2CD1"/>
    <w:rsid w:val="003A5750"/>
    <w:rsid w:val="003A7A45"/>
    <w:rsid w:val="003E24F3"/>
    <w:rsid w:val="003E5D27"/>
    <w:rsid w:val="003E6FBD"/>
    <w:rsid w:val="003F5ED0"/>
    <w:rsid w:val="00413B01"/>
    <w:rsid w:val="00426F5C"/>
    <w:rsid w:val="00433323"/>
    <w:rsid w:val="0043444D"/>
    <w:rsid w:val="00436D82"/>
    <w:rsid w:val="00485348"/>
    <w:rsid w:val="00485A0F"/>
    <w:rsid w:val="004C163A"/>
    <w:rsid w:val="004D0BF8"/>
    <w:rsid w:val="004E51AC"/>
    <w:rsid w:val="004F43CD"/>
    <w:rsid w:val="005139B0"/>
    <w:rsid w:val="00527F20"/>
    <w:rsid w:val="005314BD"/>
    <w:rsid w:val="00541E73"/>
    <w:rsid w:val="00545DC5"/>
    <w:rsid w:val="00562F49"/>
    <w:rsid w:val="00564572"/>
    <w:rsid w:val="005703FB"/>
    <w:rsid w:val="00574603"/>
    <w:rsid w:val="00592902"/>
    <w:rsid w:val="00594FAF"/>
    <w:rsid w:val="005B7C4B"/>
    <w:rsid w:val="005C1178"/>
    <w:rsid w:val="005C4BD2"/>
    <w:rsid w:val="005D7B0B"/>
    <w:rsid w:val="005E098A"/>
    <w:rsid w:val="005E0EC5"/>
    <w:rsid w:val="005E3CF3"/>
    <w:rsid w:val="005E5AF4"/>
    <w:rsid w:val="005E7AF8"/>
    <w:rsid w:val="005F25B6"/>
    <w:rsid w:val="005F460E"/>
    <w:rsid w:val="005F566C"/>
    <w:rsid w:val="005F6B91"/>
    <w:rsid w:val="00600E61"/>
    <w:rsid w:val="00617E9A"/>
    <w:rsid w:val="00620474"/>
    <w:rsid w:val="0063529E"/>
    <w:rsid w:val="00641EA6"/>
    <w:rsid w:val="00650B92"/>
    <w:rsid w:val="00661D75"/>
    <w:rsid w:val="00662BC9"/>
    <w:rsid w:val="00671178"/>
    <w:rsid w:val="00672BE8"/>
    <w:rsid w:val="0067318C"/>
    <w:rsid w:val="006A2B27"/>
    <w:rsid w:val="006C6296"/>
    <w:rsid w:val="006D1ED3"/>
    <w:rsid w:val="006E4756"/>
    <w:rsid w:val="006F45ED"/>
    <w:rsid w:val="00710938"/>
    <w:rsid w:val="0071443C"/>
    <w:rsid w:val="00716E3E"/>
    <w:rsid w:val="00725884"/>
    <w:rsid w:val="00734921"/>
    <w:rsid w:val="00734D58"/>
    <w:rsid w:val="00746065"/>
    <w:rsid w:val="00752F7F"/>
    <w:rsid w:val="00770852"/>
    <w:rsid w:val="00794743"/>
    <w:rsid w:val="00797E97"/>
    <w:rsid w:val="007A1B6D"/>
    <w:rsid w:val="007C2C6F"/>
    <w:rsid w:val="007C6675"/>
    <w:rsid w:val="007D1FBA"/>
    <w:rsid w:val="007D4B9A"/>
    <w:rsid w:val="007F2139"/>
    <w:rsid w:val="00811D16"/>
    <w:rsid w:val="0081520A"/>
    <w:rsid w:val="0081559E"/>
    <w:rsid w:val="008226D5"/>
    <w:rsid w:val="0085024F"/>
    <w:rsid w:val="00850E9A"/>
    <w:rsid w:val="0086182B"/>
    <w:rsid w:val="00864859"/>
    <w:rsid w:val="008745ED"/>
    <w:rsid w:val="00890650"/>
    <w:rsid w:val="00894F5A"/>
    <w:rsid w:val="008B6F3B"/>
    <w:rsid w:val="008B708C"/>
    <w:rsid w:val="008D1834"/>
    <w:rsid w:val="008E0D60"/>
    <w:rsid w:val="0092140D"/>
    <w:rsid w:val="00935AE8"/>
    <w:rsid w:val="00955ECA"/>
    <w:rsid w:val="009619A4"/>
    <w:rsid w:val="009925A3"/>
    <w:rsid w:val="009A02CB"/>
    <w:rsid w:val="009B1221"/>
    <w:rsid w:val="009B19BF"/>
    <w:rsid w:val="009B3F20"/>
    <w:rsid w:val="009B7121"/>
    <w:rsid w:val="009C4991"/>
    <w:rsid w:val="009D78AC"/>
    <w:rsid w:val="009E77B2"/>
    <w:rsid w:val="009F0A07"/>
    <w:rsid w:val="009F5C87"/>
    <w:rsid w:val="009F7B42"/>
    <w:rsid w:val="00A15677"/>
    <w:rsid w:val="00A1653F"/>
    <w:rsid w:val="00A22259"/>
    <w:rsid w:val="00A24A90"/>
    <w:rsid w:val="00A27CBB"/>
    <w:rsid w:val="00A323C0"/>
    <w:rsid w:val="00A4782F"/>
    <w:rsid w:val="00A51786"/>
    <w:rsid w:val="00A543E1"/>
    <w:rsid w:val="00A567BF"/>
    <w:rsid w:val="00A67EC1"/>
    <w:rsid w:val="00A7171C"/>
    <w:rsid w:val="00A80560"/>
    <w:rsid w:val="00A8533B"/>
    <w:rsid w:val="00AA2704"/>
    <w:rsid w:val="00AA725F"/>
    <w:rsid w:val="00AC4B1D"/>
    <w:rsid w:val="00AC7970"/>
    <w:rsid w:val="00AE6274"/>
    <w:rsid w:val="00AE6355"/>
    <w:rsid w:val="00AF0030"/>
    <w:rsid w:val="00AF324A"/>
    <w:rsid w:val="00B0071D"/>
    <w:rsid w:val="00B11E71"/>
    <w:rsid w:val="00B13992"/>
    <w:rsid w:val="00B638D7"/>
    <w:rsid w:val="00B83ACF"/>
    <w:rsid w:val="00BD30EC"/>
    <w:rsid w:val="00BD7004"/>
    <w:rsid w:val="00BD7626"/>
    <w:rsid w:val="00BE0421"/>
    <w:rsid w:val="00BE4AD6"/>
    <w:rsid w:val="00BE7DF0"/>
    <w:rsid w:val="00BF4E6B"/>
    <w:rsid w:val="00BF51D7"/>
    <w:rsid w:val="00C16099"/>
    <w:rsid w:val="00C4474E"/>
    <w:rsid w:val="00C47A26"/>
    <w:rsid w:val="00C51A02"/>
    <w:rsid w:val="00C52992"/>
    <w:rsid w:val="00C77450"/>
    <w:rsid w:val="00C86997"/>
    <w:rsid w:val="00C86D6A"/>
    <w:rsid w:val="00C97BCE"/>
    <w:rsid w:val="00CA5684"/>
    <w:rsid w:val="00CA5703"/>
    <w:rsid w:val="00CB5616"/>
    <w:rsid w:val="00CD610C"/>
    <w:rsid w:val="00D021B2"/>
    <w:rsid w:val="00D03C35"/>
    <w:rsid w:val="00D131D5"/>
    <w:rsid w:val="00D2347A"/>
    <w:rsid w:val="00D3187F"/>
    <w:rsid w:val="00D365EE"/>
    <w:rsid w:val="00D3764A"/>
    <w:rsid w:val="00D45BCA"/>
    <w:rsid w:val="00D47FD5"/>
    <w:rsid w:val="00D53037"/>
    <w:rsid w:val="00D57654"/>
    <w:rsid w:val="00D628FA"/>
    <w:rsid w:val="00D7065B"/>
    <w:rsid w:val="00D7507C"/>
    <w:rsid w:val="00DA4AAF"/>
    <w:rsid w:val="00DA680D"/>
    <w:rsid w:val="00DB4ACF"/>
    <w:rsid w:val="00DC5BE7"/>
    <w:rsid w:val="00DD1B56"/>
    <w:rsid w:val="00DE05DB"/>
    <w:rsid w:val="00DE4927"/>
    <w:rsid w:val="00DE7C6F"/>
    <w:rsid w:val="00E00C4B"/>
    <w:rsid w:val="00E0655B"/>
    <w:rsid w:val="00E0775A"/>
    <w:rsid w:val="00E34E5B"/>
    <w:rsid w:val="00E34EC1"/>
    <w:rsid w:val="00E46B94"/>
    <w:rsid w:val="00E51FE3"/>
    <w:rsid w:val="00E760D5"/>
    <w:rsid w:val="00E951BA"/>
    <w:rsid w:val="00E9613E"/>
    <w:rsid w:val="00EA74B8"/>
    <w:rsid w:val="00EB1F93"/>
    <w:rsid w:val="00EC325F"/>
    <w:rsid w:val="00EC4FAD"/>
    <w:rsid w:val="00EC6711"/>
    <w:rsid w:val="00EE7732"/>
    <w:rsid w:val="00EE7935"/>
    <w:rsid w:val="00EF3D5D"/>
    <w:rsid w:val="00EF5128"/>
    <w:rsid w:val="00F01510"/>
    <w:rsid w:val="00F06D06"/>
    <w:rsid w:val="00F27A3A"/>
    <w:rsid w:val="00F35EF8"/>
    <w:rsid w:val="00F503B9"/>
    <w:rsid w:val="00F679DD"/>
    <w:rsid w:val="00F735CC"/>
    <w:rsid w:val="00F75821"/>
    <w:rsid w:val="00F93489"/>
    <w:rsid w:val="00F9595E"/>
    <w:rsid w:val="00FA25FB"/>
    <w:rsid w:val="00FA51A5"/>
    <w:rsid w:val="00FA787F"/>
    <w:rsid w:val="00FB1D77"/>
    <w:rsid w:val="00FB3F7E"/>
    <w:rsid w:val="00FB5ED2"/>
    <w:rsid w:val="00FB78B0"/>
    <w:rsid w:val="00FC46D2"/>
    <w:rsid w:val="00FD5843"/>
    <w:rsid w:val="00FE24B7"/>
    <w:rsid w:val="00FF0579"/>
    <w:rsid w:val="00FF2428"/>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88B8"/>
  <w15:chartTrackingRefBased/>
  <w15:docId w15:val="{5B37DDD4-E339-457D-A754-133CBB77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B1"/>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064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64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F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F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4F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4FB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4FB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4FB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4FB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FB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064FB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64FB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64FB1"/>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064FB1"/>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064FB1"/>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064FB1"/>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064FB1"/>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064FB1"/>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064F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B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64FB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FB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64F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4FB1"/>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064FB1"/>
    <w:pPr>
      <w:ind w:left="720"/>
      <w:contextualSpacing/>
    </w:pPr>
  </w:style>
  <w:style w:type="character" w:styleId="IntenseEmphasis">
    <w:name w:val="Intense Emphasis"/>
    <w:basedOn w:val="DefaultParagraphFont"/>
    <w:uiPriority w:val="21"/>
    <w:qFormat/>
    <w:rsid w:val="00064FB1"/>
    <w:rPr>
      <w:i/>
      <w:iCs/>
      <w:color w:val="0F4761" w:themeColor="accent1" w:themeShade="BF"/>
    </w:rPr>
  </w:style>
  <w:style w:type="paragraph" w:styleId="IntenseQuote">
    <w:name w:val="Intense Quote"/>
    <w:basedOn w:val="Normal"/>
    <w:next w:val="Normal"/>
    <w:link w:val="IntenseQuoteChar"/>
    <w:uiPriority w:val="30"/>
    <w:qFormat/>
    <w:rsid w:val="00064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FB1"/>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064FB1"/>
    <w:rPr>
      <w:b/>
      <w:bCs/>
      <w:smallCaps/>
      <w:color w:val="0F4761" w:themeColor="accent1" w:themeShade="BF"/>
      <w:spacing w:val="5"/>
    </w:rPr>
  </w:style>
  <w:style w:type="character" w:styleId="Hyperlink">
    <w:name w:val="Hyperlink"/>
    <w:uiPriority w:val="99"/>
    <w:rsid w:val="00064FB1"/>
    <w:rPr>
      <w:color w:val="0000FF"/>
      <w:u w:val="single"/>
    </w:rPr>
  </w:style>
  <w:style w:type="character" w:styleId="Strong">
    <w:name w:val="Strong"/>
    <w:uiPriority w:val="22"/>
    <w:qFormat/>
    <w:rsid w:val="00064FB1"/>
    <w:rPr>
      <w:b/>
      <w:bCs/>
    </w:rPr>
  </w:style>
  <w:style w:type="paragraph" w:styleId="NormalWeb">
    <w:name w:val="Normal (Web)"/>
    <w:basedOn w:val="Normal"/>
    <w:uiPriority w:val="99"/>
    <w:rsid w:val="00064FB1"/>
    <w:pPr>
      <w:spacing w:before="100" w:beforeAutospacing="1" w:after="100" w:afterAutospacing="1"/>
    </w:pPr>
  </w:style>
  <w:style w:type="paragraph" w:styleId="TOC2">
    <w:name w:val="toc 2"/>
    <w:basedOn w:val="Normal"/>
    <w:next w:val="Normal"/>
    <w:autoRedefine/>
    <w:uiPriority w:val="39"/>
    <w:rsid w:val="00064FB1"/>
    <w:pPr>
      <w:tabs>
        <w:tab w:val="right" w:leader="dot" w:pos="12950"/>
      </w:tabs>
    </w:pPr>
  </w:style>
  <w:style w:type="paragraph" w:styleId="Revision">
    <w:name w:val="Revision"/>
    <w:hidden/>
    <w:uiPriority w:val="99"/>
    <w:semiHidden/>
    <w:rsid w:val="008D1834"/>
    <w:pPr>
      <w:spacing w:after="0" w:line="240" w:lineRule="auto"/>
    </w:pPr>
    <w:rPr>
      <w:rFonts w:ascii="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F0030"/>
    <w:rPr>
      <w:color w:val="605E5C"/>
      <w:shd w:val="clear" w:color="auto" w:fill="E1DFDD"/>
    </w:rPr>
  </w:style>
  <w:style w:type="character" w:styleId="FollowedHyperlink">
    <w:name w:val="FollowedHyperlink"/>
    <w:basedOn w:val="DefaultParagraphFont"/>
    <w:uiPriority w:val="99"/>
    <w:semiHidden/>
    <w:unhideWhenUsed/>
    <w:rsid w:val="00E065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4702">
      <w:bodyDiv w:val="1"/>
      <w:marLeft w:val="0"/>
      <w:marRight w:val="0"/>
      <w:marTop w:val="0"/>
      <w:marBottom w:val="0"/>
      <w:divBdr>
        <w:top w:val="none" w:sz="0" w:space="0" w:color="auto"/>
        <w:left w:val="none" w:sz="0" w:space="0" w:color="auto"/>
        <w:bottom w:val="none" w:sz="0" w:space="0" w:color="auto"/>
        <w:right w:val="none" w:sz="0" w:space="0" w:color="auto"/>
      </w:divBdr>
    </w:div>
    <w:div w:id="163978350">
      <w:bodyDiv w:val="1"/>
      <w:marLeft w:val="0"/>
      <w:marRight w:val="0"/>
      <w:marTop w:val="0"/>
      <w:marBottom w:val="0"/>
      <w:divBdr>
        <w:top w:val="none" w:sz="0" w:space="0" w:color="auto"/>
        <w:left w:val="none" w:sz="0" w:space="0" w:color="auto"/>
        <w:bottom w:val="none" w:sz="0" w:space="0" w:color="auto"/>
        <w:right w:val="none" w:sz="0" w:space="0" w:color="auto"/>
      </w:divBdr>
    </w:div>
    <w:div w:id="688721075">
      <w:bodyDiv w:val="1"/>
      <w:marLeft w:val="0"/>
      <w:marRight w:val="0"/>
      <w:marTop w:val="0"/>
      <w:marBottom w:val="0"/>
      <w:divBdr>
        <w:top w:val="none" w:sz="0" w:space="0" w:color="auto"/>
        <w:left w:val="none" w:sz="0" w:space="0" w:color="auto"/>
        <w:bottom w:val="none" w:sz="0" w:space="0" w:color="auto"/>
        <w:right w:val="none" w:sz="0" w:space="0" w:color="auto"/>
      </w:divBdr>
    </w:div>
    <w:div w:id="750391412">
      <w:bodyDiv w:val="1"/>
      <w:marLeft w:val="0"/>
      <w:marRight w:val="0"/>
      <w:marTop w:val="0"/>
      <w:marBottom w:val="0"/>
      <w:divBdr>
        <w:top w:val="none" w:sz="0" w:space="0" w:color="auto"/>
        <w:left w:val="none" w:sz="0" w:space="0" w:color="auto"/>
        <w:bottom w:val="none" w:sz="0" w:space="0" w:color="auto"/>
        <w:right w:val="none" w:sz="0" w:space="0" w:color="auto"/>
      </w:divBdr>
    </w:div>
    <w:div w:id="900557183">
      <w:bodyDiv w:val="1"/>
      <w:marLeft w:val="0"/>
      <w:marRight w:val="0"/>
      <w:marTop w:val="0"/>
      <w:marBottom w:val="0"/>
      <w:divBdr>
        <w:top w:val="none" w:sz="0" w:space="0" w:color="auto"/>
        <w:left w:val="none" w:sz="0" w:space="0" w:color="auto"/>
        <w:bottom w:val="none" w:sz="0" w:space="0" w:color="auto"/>
        <w:right w:val="none" w:sz="0" w:space="0" w:color="auto"/>
      </w:divBdr>
    </w:div>
    <w:div w:id="978151781">
      <w:bodyDiv w:val="1"/>
      <w:marLeft w:val="0"/>
      <w:marRight w:val="0"/>
      <w:marTop w:val="0"/>
      <w:marBottom w:val="0"/>
      <w:divBdr>
        <w:top w:val="none" w:sz="0" w:space="0" w:color="auto"/>
        <w:left w:val="none" w:sz="0" w:space="0" w:color="auto"/>
        <w:bottom w:val="none" w:sz="0" w:space="0" w:color="auto"/>
        <w:right w:val="none" w:sz="0" w:space="0" w:color="auto"/>
      </w:divBdr>
    </w:div>
    <w:div w:id="1079450794">
      <w:bodyDiv w:val="1"/>
      <w:marLeft w:val="0"/>
      <w:marRight w:val="0"/>
      <w:marTop w:val="0"/>
      <w:marBottom w:val="0"/>
      <w:divBdr>
        <w:top w:val="none" w:sz="0" w:space="0" w:color="auto"/>
        <w:left w:val="none" w:sz="0" w:space="0" w:color="auto"/>
        <w:bottom w:val="none" w:sz="0" w:space="0" w:color="auto"/>
        <w:right w:val="none" w:sz="0" w:space="0" w:color="auto"/>
      </w:divBdr>
    </w:div>
    <w:div w:id="1129131884">
      <w:bodyDiv w:val="1"/>
      <w:marLeft w:val="0"/>
      <w:marRight w:val="0"/>
      <w:marTop w:val="0"/>
      <w:marBottom w:val="0"/>
      <w:divBdr>
        <w:top w:val="none" w:sz="0" w:space="0" w:color="auto"/>
        <w:left w:val="none" w:sz="0" w:space="0" w:color="auto"/>
        <w:bottom w:val="none" w:sz="0" w:space="0" w:color="auto"/>
        <w:right w:val="none" w:sz="0" w:space="0" w:color="auto"/>
      </w:divBdr>
    </w:div>
    <w:div w:id="1164316544">
      <w:bodyDiv w:val="1"/>
      <w:marLeft w:val="0"/>
      <w:marRight w:val="0"/>
      <w:marTop w:val="0"/>
      <w:marBottom w:val="0"/>
      <w:divBdr>
        <w:top w:val="none" w:sz="0" w:space="0" w:color="auto"/>
        <w:left w:val="none" w:sz="0" w:space="0" w:color="auto"/>
        <w:bottom w:val="none" w:sz="0" w:space="0" w:color="auto"/>
        <w:right w:val="none" w:sz="0" w:space="0" w:color="auto"/>
      </w:divBdr>
    </w:div>
    <w:div w:id="1205866372">
      <w:bodyDiv w:val="1"/>
      <w:marLeft w:val="0"/>
      <w:marRight w:val="0"/>
      <w:marTop w:val="0"/>
      <w:marBottom w:val="0"/>
      <w:divBdr>
        <w:top w:val="none" w:sz="0" w:space="0" w:color="auto"/>
        <w:left w:val="none" w:sz="0" w:space="0" w:color="auto"/>
        <w:bottom w:val="none" w:sz="0" w:space="0" w:color="auto"/>
        <w:right w:val="none" w:sz="0" w:space="0" w:color="auto"/>
      </w:divBdr>
    </w:div>
    <w:div w:id="1243220367">
      <w:bodyDiv w:val="1"/>
      <w:marLeft w:val="0"/>
      <w:marRight w:val="0"/>
      <w:marTop w:val="0"/>
      <w:marBottom w:val="0"/>
      <w:divBdr>
        <w:top w:val="none" w:sz="0" w:space="0" w:color="auto"/>
        <w:left w:val="none" w:sz="0" w:space="0" w:color="auto"/>
        <w:bottom w:val="none" w:sz="0" w:space="0" w:color="auto"/>
        <w:right w:val="none" w:sz="0" w:space="0" w:color="auto"/>
      </w:divBdr>
    </w:div>
    <w:div w:id="1980107087">
      <w:bodyDiv w:val="1"/>
      <w:marLeft w:val="0"/>
      <w:marRight w:val="0"/>
      <w:marTop w:val="0"/>
      <w:marBottom w:val="0"/>
      <w:divBdr>
        <w:top w:val="none" w:sz="0" w:space="0" w:color="auto"/>
        <w:left w:val="none" w:sz="0" w:space="0" w:color="auto"/>
        <w:bottom w:val="none" w:sz="0" w:space="0" w:color="auto"/>
        <w:right w:val="none" w:sz="0" w:space="0" w:color="auto"/>
      </w:divBdr>
    </w:div>
    <w:div w:id="2066369093">
      <w:bodyDiv w:val="1"/>
      <w:marLeft w:val="0"/>
      <w:marRight w:val="0"/>
      <w:marTop w:val="0"/>
      <w:marBottom w:val="0"/>
      <w:divBdr>
        <w:top w:val="none" w:sz="0" w:space="0" w:color="auto"/>
        <w:left w:val="none" w:sz="0" w:space="0" w:color="auto"/>
        <w:bottom w:val="none" w:sz="0" w:space="0" w:color="auto"/>
        <w:right w:val="none" w:sz="0" w:space="0" w:color="auto"/>
      </w:divBdr>
    </w:div>
    <w:div w:id="206930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fw3kuER7PLW922xQbppBdj_kQ1LjKrd/view"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www.up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rldefense.com/v3/__https:/hawaii.us11.list-manage.com/track/click?u=f108b4805576bd697bf4dca5a&amp;id=4488eef173&amp;e=a99ac9e1fd__;!!LIYSdFfckKA!zj2ib0V-eEbwL72yga6WKIl5Gsb39Ne63VMc1AeaWxkgxwInEhd74SIWJpdiAmXqqV-ZdAGWJswZjMXWqPDPC60fmaN_$;" TargetMode="Externa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source.cvshealth.com/nuxeo/thesource/" TargetMode="External"/><Relationship Id="rId5" Type="http://schemas.openxmlformats.org/officeDocument/2006/relationships/image" Target="media/image1.png"/><Relationship Id="rId15" Type="http://schemas.openxmlformats.org/officeDocument/2006/relationships/hyperlink" Target="https://www.ups.com/us/en/service-alerts.page" TargetMode="External"/><Relationship Id="rId10" Type="http://schemas.openxmlformats.org/officeDocument/2006/relationships/hyperlink" Target="https://nj.gov/governor/news/news/562025/approved/20250821c.shtml" TargetMode="External"/><Relationship Id="rId19" Type="http://schemas.openxmlformats.org/officeDocument/2006/relationships/hyperlink" Target="https://policy.corp.cvscaremark.com/pnp/faces/DocRenderer?documentId=CALL-0049" TargetMode="External"/><Relationship Id="rId4" Type="http://schemas.openxmlformats.org/officeDocument/2006/relationships/webSettings" Target="webSettings.xml"/><Relationship Id="rId9" Type="http://schemas.openxmlformats.org/officeDocument/2006/relationships/hyperlink" Target="https://governor.nc.gov/executive-order-no-20-declaration-state-emergency-and-temporary-waiver-and-suspension-motor-vehicle" TargetMode="Externa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11</cp:revision>
  <dcterms:created xsi:type="dcterms:W3CDTF">2025-08-29T17:35:00Z</dcterms:created>
  <dcterms:modified xsi:type="dcterms:W3CDTF">2025-09-08T12:53:00Z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2025-03-27T18:08:54Z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d463b8c4-fece-4f2d-90ac-7b90c8d36339</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