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5B769" w14:textId="46D33714" w:rsidR="00E03B72" w:rsidRPr="002244EB" w:rsidRDefault="00C97AA7" w:rsidP="002E0349">
      <w:pPr>
        <w:pStyle w:val="Heading1"/>
        <w:spacing w:before="120" w:after="120"/>
        <w:rPr>
          <w:b w:val="0"/>
          <w:bCs/>
          <w:color w:val="FFFFFF" w:themeColor="background1"/>
          <w:szCs w:val="36"/>
        </w:rPr>
      </w:pPr>
      <w:bookmarkStart w:id="0" w:name="OLE_LINK67"/>
      <w:bookmarkStart w:id="1" w:name="_top"/>
      <w:bookmarkEnd w:id="1"/>
      <w:r>
        <w:rPr>
          <w:bCs/>
          <w:szCs w:val="36"/>
        </w:rPr>
        <w:t xml:space="preserve">Caremark.com - </w:t>
      </w:r>
      <w:r w:rsidR="00BE6D54">
        <w:rPr>
          <w:bCs/>
          <w:szCs w:val="36"/>
        </w:rPr>
        <w:t>Auto Refill &amp; Renewals</w:t>
      </w:r>
      <w:r w:rsidR="002244EB">
        <w:rPr>
          <w:bCs/>
          <w:szCs w:val="36"/>
        </w:rPr>
        <w:t xml:space="preserve"> </w:t>
      </w:r>
    </w:p>
    <w:p w14:paraId="640051F9" w14:textId="77777777" w:rsidR="0003774E" w:rsidRDefault="0003774E" w:rsidP="00DC1C90">
      <w:pPr>
        <w:rPr>
          <w:b/>
          <w:bCs/>
          <w:color w:val="000000"/>
          <w:szCs w:val="24"/>
        </w:rPr>
      </w:pPr>
      <w:bookmarkStart w:id="2" w:name="OLE_LINK154"/>
      <w:bookmarkEnd w:id="0"/>
    </w:p>
    <w:p w14:paraId="1EC56FAA" w14:textId="77777777" w:rsidR="0041679F" w:rsidRDefault="0041679F" w:rsidP="00DC1C90">
      <w:pPr>
        <w:rPr>
          <w:b/>
          <w:bCs/>
          <w:color w:val="000000"/>
          <w:szCs w:val="24"/>
        </w:rPr>
      </w:pPr>
    </w:p>
    <w:p w14:paraId="60C97C52" w14:textId="6397DE2C" w:rsidR="002E0349" w:rsidRDefault="000129A6">
      <w:pPr>
        <w:pStyle w:val="TOC2"/>
        <w:rPr>
          <w:rFonts w:asciiTheme="minorHAnsi" w:eastAsiaTheme="minorEastAsia" w:hAnsiTheme="minorHAnsi" w:cstheme="minorBidi"/>
          <w:color w:val="auto"/>
          <w:kern w:val="2"/>
          <w:u w:val="none"/>
          <w14:ligatures w14:val="standardContextual"/>
        </w:rPr>
      </w:pPr>
      <w:r>
        <w:rPr>
          <w:b/>
          <w:bCs/>
        </w:rPr>
        <w:fldChar w:fldCharType="begin"/>
      </w:r>
      <w:r>
        <w:rPr>
          <w:b/>
          <w:bCs/>
        </w:rPr>
        <w:instrText xml:space="preserve"> TOC \o "2-2" \n \p " " \h \z \u </w:instrText>
      </w:r>
      <w:r>
        <w:rPr>
          <w:b/>
          <w:bCs/>
        </w:rPr>
        <w:fldChar w:fldCharType="separate"/>
      </w:r>
      <w:hyperlink w:anchor="_Toc204935850" w:history="1">
        <w:r w:rsidR="002E0349" w:rsidRPr="00655E36">
          <w:rPr>
            <w:rStyle w:val="Hyperlink"/>
            <w:rFonts w:eastAsiaTheme="majorEastAsia"/>
            <w:bCs/>
          </w:rPr>
          <w:t>Scenario/Member Statements</w:t>
        </w:r>
      </w:hyperlink>
    </w:p>
    <w:p w14:paraId="2CB34F40" w14:textId="4B645A70" w:rsidR="002E0349" w:rsidRDefault="002E0349">
      <w:pPr>
        <w:pStyle w:val="TOC2"/>
        <w:rPr>
          <w:rFonts w:asciiTheme="minorHAnsi" w:eastAsiaTheme="minorEastAsia" w:hAnsiTheme="minorHAnsi" w:cstheme="minorBidi"/>
          <w:color w:val="auto"/>
          <w:kern w:val="2"/>
          <w:u w:val="none"/>
          <w14:ligatures w14:val="standardContextual"/>
        </w:rPr>
      </w:pPr>
      <w:hyperlink w:anchor="_Toc204935851" w:history="1">
        <w:r w:rsidRPr="00655E36">
          <w:rPr>
            <w:rStyle w:val="Hyperlink"/>
            <w:rFonts w:eastAsiaTheme="majorEastAsia"/>
            <w:szCs w:val="32"/>
          </w:rPr>
          <w:drawing>
            <wp:inline distT="0" distB="0" distL="0" distR="0" wp14:anchorId="12315019" wp14:editId="08DA88C8">
              <wp:extent cx="304762" cy="304762"/>
              <wp:effectExtent l="0" t="0" r="635" b="635"/>
              <wp:docPr id="2017434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7691" name="Picture 13279769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655E36">
          <w:rPr>
            <w:rStyle w:val="Hyperlink"/>
            <w:rFonts w:eastAsiaTheme="majorEastAsia"/>
          </w:rPr>
          <w:t xml:space="preserve"> Automatic Refill and Renewals Enrollment</w:t>
        </w:r>
      </w:hyperlink>
    </w:p>
    <w:p w14:paraId="75F40E95" w14:textId="4B60F75E" w:rsidR="002E0349" w:rsidRDefault="002E0349">
      <w:pPr>
        <w:pStyle w:val="TOC2"/>
        <w:rPr>
          <w:rFonts w:asciiTheme="minorHAnsi" w:eastAsiaTheme="minorEastAsia" w:hAnsiTheme="minorHAnsi" w:cstheme="minorBidi"/>
          <w:color w:val="auto"/>
          <w:kern w:val="2"/>
          <w:u w:val="none"/>
          <w14:ligatures w14:val="standardContextual"/>
        </w:rPr>
      </w:pPr>
      <w:hyperlink w:anchor="_Toc204935852" w:history="1">
        <w:r w:rsidRPr="00655E36">
          <w:rPr>
            <w:rStyle w:val="Hyperlink"/>
            <w:rFonts w:eastAsiaTheme="majorEastAsia"/>
            <w:szCs w:val="32"/>
          </w:rPr>
          <w:drawing>
            <wp:inline distT="0" distB="0" distL="0" distR="0" wp14:anchorId="42BE0EE3" wp14:editId="104DF714">
              <wp:extent cx="304762" cy="304762"/>
              <wp:effectExtent l="0" t="0" r="635" b="635"/>
              <wp:docPr id="1262361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76187" name="Picture 666076187"/>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655E36">
          <w:rPr>
            <w:rStyle w:val="Hyperlink"/>
            <w:rFonts w:eastAsiaTheme="majorEastAsia"/>
          </w:rPr>
          <w:t xml:space="preserve"> Turn on Auto Refill</w:t>
        </w:r>
      </w:hyperlink>
    </w:p>
    <w:p w14:paraId="2EE05D25" w14:textId="0190C1FC" w:rsidR="002E0349" w:rsidRDefault="002E0349">
      <w:pPr>
        <w:pStyle w:val="TOC2"/>
        <w:rPr>
          <w:rFonts w:asciiTheme="minorHAnsi" w:eastAsiaTheme="minorEastAsia" w:hAnsiTheme="minorHAnsi" w:cstheme="minorBidi"/>
          <w:color w:val="auto"/>
          <w:kern w:val="2"/>
          <w:u w:val="none"/>
          <w14:ligatures w14:val="standardContextual"/>
        </w:rPr>
      </w:pPr>
      <w:hyperlink w:anchor="_Toc204935853" w:history="1">
        <w:r w:rsidRPr="00655E36">
          <w:rPr>
            <w:rStyle w:val="Hyperlink"/>
            <w:rFonts w:eastAsiaTheme="majorEastAsia"/>
            <w:szCs w:val="32"/>
          </w:rPr>
          <w:drawing>
            <wp:inline distT="0" distB="0" distL="0" distR="0" wp14:anchorId="1A0C813A" wp14:editId="6CC64211">
              <wp:extent cx="304762" cy="304762"/>
              <wp:effectExtent l="0" t="0" r="635" b="635"/>
              <wp:docPr id="1341603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45022" name="Picture 26854502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655E36">
          <w:rPr>
            <w:rStyle w:val="Hyperlink"/>
            <w:rFonts w:eastAsiaTheme="majorEastAsia"/>
          </w:rPr>
          <w:t xml:space="preserve"> Turn off Auto Refill</w:t>
        </w:r>
      </w:hyperlink>
    </w:p>
    <w:p w14:paraId="70622762" w14:textId="102093A7" w:rsidR="002E0349" w:rsidRDefault="002E0349">
      <w:pPr>
        <w:pStyle w:val="TOC2"/>
        <w:rPr>
          <w:rFonts w:asciiTheme="minorHAnsi" w:eastAsiaTheme="minorEastAsia" w:hAnsiTheme="minorHAnsi" w:cstheme="minorBidi"/>
          <w:color w:val="auto"/>
          <w:kern w:val="2"/>
          <w:u w:val="none"/>
          <w14:ligatures w14:val="standardContextual"/>
        </w:rPr>
      </w:pPr>
      <w:hyperlink w:anchor="_Toc204935854" w:history="1">
        <w:r w:rsidRPr="00655E36">
          <w:rPr>
            <w:rStyle w:val="Hyperlink"/>
            <w:rFonts w:eastAsiaTheme="majorEastAsia"/>
            <w:szCs w:val="32"/>
          </w:rPr>
          <w:drawing>
            <wp:inline distT="0" distB="0" distL="0" distR="0" wp14:anchorId="0CE188A1" wp14:editId="4343451B">
              <wp:extent cx="304762" cy="304762"/>
              <wp:effectExtent l="0" t="0" r="635" b="635"/>
              <wp:docPr id="742390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7746" name="Picture 638447746"/>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655E36">
          <w:rPr>
            <w:rStyle w:val="Hyperlink"/>
            <w:rFonts w:eastAsiaTheme="majorEastAsia"/>
          </w:rPr>
          <w:t xml:space="preserve"> Auto Fill Date after 16-day hold period</w:t>
        </w:r>
      </w:hyperlink>
    </w:p>
    <w:p w14:paraId="008DDDBB" w14:textId="74CC668E" w:rsidR="002E0349" w:rsidRDefault="002E0349">
      <w:pPr>
        <w:pStyle w:val="TOC2"/>
        <w:rPr>
          <w:rFonts w:asciiTheme="minorHAnsi" w:eastAsiaTheme="minorEastAsia" w:hAnsiTheme="minorHAnsi" w:cstheme="minorBidi"/>
          <w:color w:val="auto"/>
          <w:kern w:val="2"/>
          <w:u w:val="none"/>
          <w14:ligatures w14:val="standardContextual"/>
        </w:rPr>
      </w:pPr>
      <w:hyperlink w:anchor="_Toc204935855" w:history="1">
        <w:r w:rsidRPr="00655E36">
          <w:rPr>
            <w:rStyle w:val="Hyperlink"/>
            <w:rFonts w:eastAsiaTheme="majorEastAsia"/>
          </w:rPr>
          <w:t>Related Documents</w:t>
        </w:r>
      </w:hyperlink>
    </w:p>
    <w:p w14:paraId="53C4BA5E" w14:textId="5D7FFD9D" w:rsidR="003D1ECA" w:rsidRDefault="000129A6" w:rsidP="00DC1C90">
      <w:pPr>
        <w:rPr>
          <w:b/>
          <w:bCs/>
          <w:color w:val="000000"/>
          <w:szCs w:val="24"/>
        </w:rPr>
      </w:pPr>
      <w:r>
        <w:rPr>
          <w:b/>
          <w:bCs/>
          <w:color w:val="000000"/>
          <w:szCs w:val="24"/>
        </w:rPr>
        <w:fldChar w:fldCharType="end"/>
      </w:r>
    </w:p>
    <w:p w14:paraId="66F55586" w14:textId="77777777" w:rsidR="001D5B44" w:rsidRDefault="001D5B44" w:rsidP="00DC1C90">
      <w:pPr>
        <w:rPr>
          <w:b/>
          <w:bCs/>
          <w:color w:val="000000"/>
          <w:szCs w:val="24"/>
        </w:rPr>
      </w:pPr>
    </w:p>
    <w:p w14:paraId="4C758C66" w14:textId="77777777" w:rsidR="009D021E" w:rsidRDefault="009D021E" w:rsidP="52A5A4FA">
      <w:pPr>
        <w:rPr>
          <w:b/>
          <w:bCs/>
          <w:color w:val="000000"/>
          <w:szCs w:val="24"/>
        </w:rPr>
      </w:pPr>
    </w:p>
    <w:p w14:paraId="4F7CA4A1" w14:textId="07391806" w:rsidR="1A45551C" w:rsidRDefault="00BA21A0" w:rsidP="1A45551C">
      <w:r>
        <w:rPr>
          <w:b/>
          <w:bCs/>
          <w:noProof/>
          <w14:ligatures w14:val="standardContextual"/>
        </w:rPr>
        <w:drawing>
          <wp:inline distT="0" distB="0" distL="0" distR="0" wp14:anchorId="519A9340" wp14:editId="21E1E762">
            <wp:extent cx="304762" cy="304762"/>
            <wp:effectExtent l="0" t="0" r="635" b="635"/>
            <wp:docPr id="110097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71497" name="Picture 1100971497"/>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 xml:space="preserve"> </w:t>
      </w:r>
      <w:r w:rsidR="1A45551C" w:rsidRPr="1A45551C">
        <w:rPr>
          <w:b/>
          <w:bCs/>
        </w:rPr>
        <w:t xml:space="preserve">Description: </w:t>
      </w:r>
      <w:r w:rsidR="1A45551C" w:rsidRPr="1A45551C">
        <w:t xml:space="preserve">This work instruction </w:t>
      </w:r>
      <w:r w:rsidR="00682429">
        <w:t>provides</w:t>
      </w:r>
      <w:r w:rsidR="1A45551C" w:rsidRPr="1A45551C">
        <w:t xml:space="preserve"> the steps members </w:t>
      </w:r>
      <w:r w:rsidR="007F02A5">
        <w:t>can tak</w:t>
      </w:r>
      <w:r w:rsidR="00A668FE">
        <w:t>e</w:t>
      </w:r>
      <w:r w:rsidR="009A1197">
        <w:t xml:space="preserve"> to</w:t>
      </w:r>
      <w:r w:rsidR="00A668FE">
        <w:t xml:space="preserve"> </w:t>
      </w:r>
      <w:r w:rsidR="00562E53">
        <w:t>enroll and un</w:t>
      </w:r>
      <w:r w:rsidR="003B1220">
        <w:t xml:space="preserve">enroll their prescriptions in </w:t>
      </w:r>
      <w:r w:rsidR="00382E12">
        <w:t xml:space="preserve">Automatic Refill and </w:t>
      </w:r>
      <w:r w:rsidR="00C80242">
        <w:t>Renewal</w:t>
      </w:r>
      <w:r w:rsidR="00101475">
        <w:t xml:space="preserve">. </w:t>
      </w:r>
    </w:p>
    <w:p w14:paraId="632E487A" w14:textId="77777777" w:rsidR="00101475" w:rsidRDefault="00101475" w:rsidP="1A45551C">
      <w:pPr>
        <w:rPr>
          <w:b/>
          <w:bCs/>
        </w:rPr>
      </w:pPr>
    </w:p>
    <w:p w14:paraId="4993889E" w14:textId="77777777" w:rsidR="00101475" w:rsidRDefault="00101475" w:rsidP="1A45551C">
      <w:pPr>
        <w:rPr>
          <w:b/>
          <w:bCs/>
        </w:rPr>
      </w:pPr>
    </w:p>
    <w:tbl>
      <w:tblPr>
        <w:tblStyle w:val="TableGrid"/>
        <w:tblW w:w="5000" w:type="pct"/>
        <w:tblLook w:val="04A0" w:firstRow="1" w:lastRow="0" w:firstColumn="1" w:lastColumn="0" w:noHBand="0" w:noVBand="1"/>
      </w:tblPr>
      <w:tblGrid>
        <w:gridCol w:w="12950"/>
      </w:tblGrid>
      <w:tr w:rsidR="009D021E" w14:paraId="111A3A23" w14:textId="77777777" w:rsidTr="009D021E">
        <w:tc>
          <w:tcPr>
            <w:tcW w:w="5000" w:type="pct"/>
            <w:shd w:val="clear" w:color="auto" w:fill="BFBFBF" w:themeFill="background1" w:themeFillShade="BF"/>
          </w:tcPr>
          <w:p w14:paraId="04F6F4CE" w14:textId="5C5AE0E0" w:rsidR="009D021E" w:rsidRPr="009D021E" w:rsidRDefault="009D021E" w:rsidP="002E0349">
            <w:pPr>
              <w:pStyle w:val="Heading2"/>
              <w:spacing w:before="120" w:after="120"/>
              <w:rPr>
                <w:b w:val="0"/>
                <w:bCs/>
                <w:szCs w:val="28"/>
              </w:rPr>
            </w:pPr>
            <w:bookmarkStart w:id="3" w:name="_Toc204935850"/>
            <w:r>
              <w:rPr>
                <w:bCs/>
                <w:szCs w:val="28"/>
              </w:rPr>
              <w:t>Scenario/Member Statements</w:t>
            </w:r>
            <w:bookmarkEnd w:id="3"/>
          </w:p>
        </w:tc>
      </w:tr>
    </w:tbl>
    <w:p w14:paraId="6122FA9E" w14:textId="77777777" w:rsidR="00935E6B" w:rsidRDefault="000300A3" w:rsidP="007F2588">
      <w:pPr>
        <w:spacing w:before="120" w:after="120"/>
      </w:pPr>
      <w:r w:rsidRPr="000300A3">
        <w:t xml:space="preserve">I want to have my medications sent to me without having to request them. Is there a program I can use to do that? </w:t>
      </w:r>
    </w:p>
    <w:p w14:paraId="73AF6C1C" w14:textId="5F79DD13" w:rsidR="007F2588" w:rsidRPr="000300A3" w:rsidRDefault="000300A3" w:rsidP="002E0349">
      <w:pPr>
        <w:spacing w:before="120" w:after="120"/>
      </w:pPr>
      <w:r w:rsidRPr="000300A3">
        <w:t xml:space="preserve"> </w:t>
      </w:r>
    </w:p>
    <w:p w14:paraId="30FD736C" w14:textId="070D0944" w:rsidR="00EA77EA" w:rsidRDefault="000300A3" w:rsidP="002E0349">
      <w:pPr>
        <w:spacing w:before="120" w:after="120"/>
      </w:pPr>
      <w:r w:rsidRPr="000300A3">
        <w:t xml:space="preserve">I have a lot of medications that I sometimes forget to order until I only have one left. Can you help manage them for me?  </w:t>
      </w:r>
    </w:p>
    <w:p w14:paraId="6274F65E" w14:textId="059703F6" w:rsidR="006209BC" w:rsidRDefault="001F634A" w:rsidP="002E0349">
      <w:pPr>
        <w:jc w:val="right"/>
        <w:rPr>
          <w:color w:val="000000"/>
          <w:szCs w:val="24"/>
        </w:rPr>
      </w:pPr>
      <w:hyperlink w:anchor="_top" w:history="1">
        <w:r w:rsidRPr="001F634A">
          <w:rPr>
            <w:rStyle w:val="Hyperlink"/>
            <w:szCs w:val="24"/>
          </w:rPr>
          <w:t>Top o</w:t>
        </w:r>
        <w:r w:rsidRPr="001F634A">
          <w:rPr>
            <w:rStyle w:val="Hyperlink"/>
            <w:szCs w:val="24"/>
          </w:rPr>
          <w:t>f</w:t>
        </w:r>
        <w:r w:rsidRPr="001F634A">
          <w:rPr>
            <w:rStyle w:val="Hyperlink"/>
            <w:szCs w:val="24"/>
          </w:rPr>
          <w:t xml:space="preserve"> the Document</w:t>
        </w:r>
      </w:hyperlink>
    </w:p>
    <w:tbl>
      <w:tblPr>
        <w:tblStyle w:val="TableGrid"/>
        <w:tblW w:w="5000" w:type="pct"/>
        <w:tblLook w:val="04A0" w:firstRow="1" w:lastRow="0" w:firstColumn="1" w:lastColumn="0" w:noHBand="0" w:noVBand="1"/>
      </w:tblPr>
      <w:tblGrid>
        <w:gridCol w:w="12950"/>
      </w:tblGrid>
      <w:tr w:rsidR="009D021E" w14:paraId="40DDF4A7" w14:textId="77777777" w:rsidTr="00D1252E">
        <w:tc>
          <w:tcPr>
            <w:tcW w:w="5000" w:type="pct"/>
            <w:shd w:val="clear" w:color="auto" w:fill="BFBFBF" w:themeFill="background1" w:themeFillShade="BF"/>
          </w:tcPr>
          <w:p w14:paraId="093E94C5" w14:textId="4EC45DA0" w:rsidR="009D021E" w:rsidRPr="00354D5D" w:rsidRDefault="0056171D" w:rsidP="002E0349">
            <w:pPr>
              <w:pStyle w:val="Heading2"/>
              <w:spacing w:before="120" w:after="120"/>
            </w:pPr>
            <w:bookmarkStart w:id="4" w:name="_Toc204935851"/>
            <w:bookmarkStart w:id="5" w:name="_Hlk204500057"/>
            <w:r w:rsidRPr="002E0349">
              <w:rPr>
                <w:noProof/>
              </w:rPr>
              <w:drawing>
                <wp:inline distT="0" distB="0" distL="0" distR="0" wp14:anchorId="5E489B9D" wp14:editId="2070A0C7">
                  <wp:extent cx="304762" cy="304762"/>
                  <wp:effectExtent l="0" t="0" r="635" b="635"/>
                  <wp:docPr id="132797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7691" name="Picture 13279769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354D5D">
              <w:t xml:space="preserve"> </w:t>
            </w:r>
            <w:r w:rsidR="009D021E" w:rsidRPr="00354D5D">
              <w:t>Automatic Refill and Renewals Enrollment</w:t>
            </w:r>
            <w:bookmarkEnd w:id="4"/>
          </w:p>
        </w:tc>
      </w:tr>
    </w:tbl>
    <w:bookmarkEnd w:id="5"/>
    <w:p w14:paraId="61516B56" w14:textId="35D3CB21" w:rsidR="00932ECE" w:rsidRDefault="00F17CD1" w:rsidP="00A80D27">
      <w:pPr>
        <w:spacing w:before="120" w:after="120"/>
        <w:rPr>
          <w:b/>
          <w:bCs/>
        </w:rPr>
      </w:pPr>
      <w:r>
        <w:t xml:space="preserve">Enrollment in </w:t>
      </w:r>
      <w:r w:rsidR="005A186B">
        <w:t>R</w:t>
      </w:r>
      <w:r w:rsidR="00330028">
        <w:t xml:space="preserve">eadyFill program </w:t>
      </w:r>
      <w:r>
        <w:t xml:space="preserve">is managed </w:t>
      </w:r>
      <w:proofErr w:type="gramStart"/>
      <w:r>
        <w:t>from</w:t>
      </w:r>
      <w:proofErr w:type="gramEnd"/>
      <w:r>
        <w:t xml:space="preserve"> </w:t>
      </w:r>
      <w:r w:rsidR="00245388" w:rsidRPr="002E0349">
        <w:rPr>
          <w:b/>
          <w:bCs/>
        </w:rPr>
        <w:t>My Prescriptions</w:t>
      </w:r>
      <w:r w:rsidR="00330028">
        <w:rPr>
          <w:b/>
          <w:bCs/>
        </w:rPr>
        <w:t>.</w:t>
      </w:r>
    </w:p>
    <w:p w14:paraId="13B641D3" w14:textId="77777777" w:rsidR="003D11C8" w:rsidRDefault="003D11C8" w:rsidP="002E0349">
      <w:pPr>
        <w:spacing w:before="120" w:after="120"/>
      </w:pPr>
    </w:p>
    <w:p w14:paraId="4EE326EF" w14:textId="6FA5E61B" w:rsidR="00932ECE" w:rsidRDefault="00C47842">
      <w:pPr>
        <w:spacing w:before="240" w:after="240"/>
        <w:jc w:val="center"/>
        <w:rPr>
          <w:color w:val="000000"/>
          <w:szCs w:val="24"/>
        </w:rPr>
      </w:pPr>
      <w:r>
        <w:rPr>
          <w:noProof/>
          <w14:ligatures w14:val="standardContextual"/>
        </w:rPr>
        <w:drawing>
          <wp:inline distT="0" distB="0" distL="0" distR="0" wp14:anchorId="1BD49509" wp14:editId="45D7ABF1">
            <wp:extent cx="5486400" cy="977429"/>
            <wp:effectExtent l="0" t="0" r="0" b="0"/>
            <wp:docPr id="1469588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88127" name="Picture 1" descr="A screenshot of a computer&#10;&#10;Description automatically generated"/>
                    <pic:cNvPicPr/>
                  </pic:nvPicPr>
                  <pic:blipFill>
                    <a:blip r:embed="rId12"/>
                    <a:stretch>
                      <a:fillRect/>
                    </a:stretch>
                  </pic:blipFill>
                  <pic:spPr>
                    <a:xfrm>
                      <a:off x="0" y="0"/>
                      <a:ext cx="5486400" cy="977429"/>
                    </a:xfrm>
                    <a:prstGeom prst="rect">
                      <a:avLst/>
                    </a:prstGeom>
                  </pic:spPr>
                </pic:pic>
              </a:graphicData>
            </a:graphic>
          </wp:inline>
        </w:drawing>
      </w:r>
    </w:p>
    <w:p w14:paraId="4660EF45" w14:textId="77777777" w:rsidR="003D11C8" w:rsidRPr="002E0349" w:rsidRDefault="003D11C8" w:rsidP="002E0349">
      <w:pPr>
        <w:spacing w:before="240" w:after="240"/>
        <w:jc w:val="center"/>
        <w:rPr>
          <w:color w:val="000000"/>
          <w:szCs w:val="24"/>
        </w:rPr>
      </w:pPr>
    </w:p>
    <w:p w14:paraId="7D8501D1" w14:textId="77777777" w:rsidR="0040137A" w:rsidRPr="0040137A" w:rsidRDefault="0040137A" w:rsidP="002E0349">
      <w:pPr>
        <w:spacing w:before="120" w:after="120"/>
        <w:rPr>
          <w:rFonts w:ascii="Times New Roman" w:hAnsi="Times New Roman"/>
          <w:sz w:val="27"/>
          <w:szCs w:val="27"/>
        </w:rPr>
      </w:pPr>
      <w:r w:rsidRPr="0040137A">
        <w:t>Prescriptions eligible for the ReadyFill program show an Auto refill toggle button. If the toggle is gray with an “x,” the prescription is not enrolled in the ReadyFill program. If the toggle is green with a “check,” the prescription is enrolled in the ReadyFill program.</w:t>
      </w:r>
    </w:p>
    <w:p w14:paraId="72A3B160" w14:textId="4A79846E" w:rsidR="0040137A" w:rsidRPr="0040137A" w:rsidRDefault="0040137A" w:rsidP="0040137A">
      <w:pPr>
        <w:rPr>
          <w:rFonts w:ascii="Times New Roman" w:eastAsia="Times New Roman" w:hAnsi="Times New Roman" w:cs="Times New Roman"/>
          <w:color w:val="000000"/>
          <w:sz w:val="27"/>
          <w:szCs w:val="27"/>
        </w:rPr>
      </w:pPr>
    </w:p>
    <w:p w14:paraId="6B86B372" w14:textId="72CC4627" w:rsidR="0040137A" w:rsidRPr="0040137A" w:rsidRDefault="004938AC" w:rsidP="00410EE6">
      <w:pPr>
        <w:jc w:val="center"/>
        <w:rPr>
          <w:rFonts w:ascii="Times New Roman" w:eastAsia="Times New Roman" w:hAnsi="Times New Roman" w:cs="Times New Roman"/>
          <w:color w:val="000000"/>
          <w:sz w:val="27"/>
          <w:szCs w:val="27"/>
        </w:rPr>
      </w:pPr>
      <w:r w:rsidRPr="004938AC">
        <w:rPr>
          <w:rFonts w:ascii="Times New Roman" w:eastAsia="Times New Roman" w:hAnsi="Times New Roman" w:cs="Times New Roman"/>
          <w:noProof/>
          <w:color w:val="000000"/>
          <w:sz w:val="27"/>
          <w:szCs w:val="27"/>
        </w:rPr>
        <w:drawing>
          <wp:inline distT="0" distB="0" distL="0" distR="0" wp14:anchorId="19569230" wp14:editId="0803B132">
            <wp:extent cx="5486400" cy="2383903"/>
            <wp:effectExtent l="0" t="0" r="0" b="0"/>
            <wp:docPr id="14360724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7246" name="Picture 1" descr="A screenshot of a chat&#10;&#10;Description automatically generated"/>
                    <pic:cNvPicPr/>
                  </pic:nvPicPr>
                  <pic:blipFill>
                    <a:blip r:embed="rId13"/>
                    <a:stretch>
                      <a:fillRect/>
                    </a:stretch>
                  </pic:blipFill>
                  <pic:spPr>
                    <a:xfrm>
                      <a:off x="0" y="0"/>
                      <a:ext cx="5486400" cy="2383903"/>
                    </a:xfrm>
                    <a:prstGeom prst="rect">
                      <a:avLst/>
                    </a:prstGeom>
                  </pic:spPr>
                </pic:pic>
              </a:graphicData>
            </a:graphic>
          </wp:inline>
        </w:drawing>
      </w:r>
    </w:p>
    <w:p w14:paraId="299F1F17" w14:textId="21AC2FF8" w:rsidR="0040137A" w:rsidRPr="0040137A" w:rsidRDefault="0040137A" w:rsidP="0040137A">
      <w:pPr>
        <w:rPr>
          <w:rFonts w:ascii="Times New Roman" w:eastAsia="Times New Roman" w:hAnsi="Times New Roman" w:cs="Times New Roman"/>
          <w:color w:val="000000"/>
          <w:sz w:val="27"/>
          <w:szCs w:val="27"/>
        </w:rPr>
      </w:pPr>
    </w:p>
    <w:p w14:paraId="0618AB24" w14:textId="21FE4B7D" w:rsidR="00706775" w:rsidRDefault="0040137A" w:rsidP="002E0349">
      <w:pPr>
        <w:spacing w:before="120" w:after="120"/>
      </w:pPr>
      <w:r w:rsidRPr="0040137A">
        <w:rPr>
          <w:b/>
          <w:bCs/>
        </w:rPr>
        <w:t>Note:</w:t>
      </w:r>
      <w:r w:rsidRPr="0040137A">
        <w:t> </w:t>
      </w:r>
      <w:r w:rsidR="00C61548">
        <w:t xml:space="preserve">If </w:t>
      </w:r>
      <w:r w:rsidR="002F4EBE">
        <w:t xml:space="preserve">a </w:t>
      </w:r>
      <w:r w:rsidR="00C61548">
        <w:t xml:space="preserve">client offers </w:t>
      </w:r>
      <w:r w:rsidR="003737A2">
        <w:t xml:space="preserve">both </w:t>
      </w:r>
      <w:r w:rsidR="00807BA7" w:rsidRPr="002E0349">
        <w:rPr>
          <w:b/>
          <w:bCs/>
        </w:rPr>
        <w:t>Auto Refill and Auto Renew</w:t>
      </w:r>
      <w:r w:rsidR="00695ABB">
        <w:rPr>
          <w:b/>
          <w:bCs/>
        </w:rPr>
        <w:t>al</w:t>
      </w:r>
      <w:r w:rsidR="00807BA7">
        <w:t>, the m</w:t>
      </w:r>
      <w:r w:rsidR="0024369A">
        <w:t xml:space="preserve">ember will be enrolled in </w:t>
      </w:r>
      <w:r w:rsidR="00807BA7">
        <w:t>both.</w:t>
      </w:r>
    </w:p>
    <w:p w14:paraId="76B46560" w14:textId="77777777" w:rsidR="0022187D" w:rsidRDefault="0022187D" w:rsidP="0040137A">
      <w:pPr>
        <w:rPr>
          <w:rFonts w:eastAsia="Times New Roman" w:cs="Times New Roman"/>
          <w:color w:val="000000"/>
          <w:szCs w:val="24"/>
        </w:rPr>
      </w:pPr>
    </w:p>
    <w:p w14:paraId="38E99D4B" w14:textId="65B902DA" w:rsidR="0022187D" w:rsidRPr="002E0349" w:rsidRDefault="00F86056" w:rsidP="002E0349">
      <w:pPr>
        <w:pStyle w:val="ListParagraph"/>
        <w:numPr>
          <w:ilvl w:val="0"/>
          <w:numId w:val="33"/>
        </w:numPr>
        <w:spacing w:before="120" w:after="120"/>
        <w:rPr>
          <w:rFonts w:eastAsia="Times New Roman" w:cs="Times New Roman"/>
          <w:b/>
          <w:bCs/>
          <w:color w:val="000000"/>
          <w:szCs w:val="24"/>
        </w:rPr>
      </w:pPr>
      <w:r w:rsidRPr="002E0349">
        <w:rPr>
          <w:rFonts w:eastAsia="Times New Roman" w:cs="Times New Roman"/>
          <w:b/>
          <w:bCs/>
          <w:color w:val="000000"/>
          <w:szCs w:val="24"/>
        </w:rPr>
        <w:t>I</w:t>
      </w:r>
      <w:r w:rsidR="00BB5684">
        <w:rPr>
          <w:rFonts w:eastAsia="Times New Roman" w:cs="Times New Roman"/>
          <w:b/>
          <w:bCs/>
          <w:color w:val="000000"/>
          <w:szCs w:val="24"/>
        </w:rPr>
        <w:t>f</w:t>
      </w:r>
      <w:r w:rsidRPr="002E0349">
        <w:rPr>
          <w:rFonts w:eastAsia="Times New Roman" w:cs="Times New Roman"/>
          <w:b/>
          <w:bCs/>
          <w:color w:val="000000"/>
          <w:szCs w:val="24"/>
        </w:rPr>
        <w:t xml:space="preserve"> the member </w:t>
      </w:r>
      <w:r w:rsidR="005561F1" w:rsidRPr="002E0349">
        <w:rPr>
          <w:rFonts w:eastAsia="Times New Roman" w:cs="Times New Roman"/>
          <w:b/>
          <w:bCs/>
          <w:color w:val="000000"/>
          <w:szCs w:val="24"/>
        </w:rPr>
        <w:t xml:space="preserve">does not want to </w:t>
      </w:r>
      <w:r w:rsidR="009A02BC" w:rsidRPr="002E0349">
        <w:rPr>
          <w:rFonts w:eastAsia="Times New Roman" w:cs="Times New Roman"/>
          <w:b/>
          <w:bCs/>
          <w:color w:val="000000"/>
          <w:szCs w:val="24"/>
        </w:rPr>
        <w:t xml:space="preserve">be enrolled </w:t>
      </w:r>
      <w:r w:rsidR="005561F1" w:rsidRPr="002E0349">
        <w:rPr>
          <w:rFonts w:eastAsia="Times New Roman" w:cs="Times New Roman"/>
          <w:b/>
          <w:bCs/>
          <w:color w:val="000000"/>
          <w:szCs w:val="24"/>
        </w:rPr>
        <w:t xml:space="preserve">in </w:t>
      </w:r>
      <w:proofErr w:type="gramStart"/>
      <w:r w:rsidR="005561F1" w:rsidRPr="002E0349">
        <w:rPr>
          <w:rFonts w:eastAsia="Times New Roman" w:cs="Times New Roman"/>
          <w:b/>
          <w:bCs/>
          <w:color w:val="000000"/>
          <w:szCs w:val="24"/>
        </w:rPr>
        <w:t>both</w:t>
      </w:r>
      <w:proofErr w:type="gramEnd"/>
      <w:r w:rsidR="00225B51" w:rsidRPr="002E0349">
        <w:rPr>
          <w:rFonts w:eastAsia="Times New Roman" w:cs="Times New Roman"/>
          <w:b/>
          <w:bCs/>
          <w:color w:val="000000"/>
          <w:szCs w:val="24"/>
        </w:rPr>
        <w:t xml:space="preserve"> Auto Refill </w:t>
      </w:r>
      <w:r w:rsidR="00695ABB" w:rsidRPr="002E0349">
        <w:rPr>
          <w:rFonts w:eastAsia="Times New Roman" w:cs="Times New Roman"/>
          <w:b/>
          <w:bCs/>
          <w:color w:val="000000"/>
          <w:szCs w:val="24"/>
        </w:rPr>
        <w:t>and Auto Renewal</w:t>
      </w:r>
      <w:r w:rsidR="00D46AAF" w:rsidRPr="002E0349">
        <w:rPr>
          <w:rFonts w:eastAsia="Times New Roman" w:cs="Times New Roman"/>
          <w:b/>
          <w:bCs/>
          <w:color w:val="000000"/>
          <w:szCs w:val="24"/>
        </w:rPr>
        <w:t xml:space="preserve">, </w:t>
      </w:r>
      <w:r w:rsidR="00821E04" w:rsidRPr="002E0349">
        <w:rPr>
          <w:rFonts w:eastAsia="Times New Roman" w:cs="Times New Roman"/>
          <w:b/>
          <w:bCs/>
          <w:color w:val="000000"/>
          <w:szCs w:val="24"/>
        </w:rPr>
        <w:t>member can contact Customer Care to manage the enrollment preferences</w:t>
      </w:r>
      <w:r w:rsidR="003737A2" w:rsidRPr="002E0349">
        <w:rPr>
          <w:rFonts w:eastAsia="Times New Roman" w:cs="Times New Roman"/>
          <w:b/>
          <w:bCs/>
          <w:color w:val="000000"/>
          <w:szCs w:val="24"/>
        </w:rPr>
        <w:t xml:space="preserve"> in Compass.</w:t>
      </w:r>
    </w:p>
    <w:p w14:paraId="4EE6C93A" w14:textId="77777777" w:rsidR="00C61548" w:rsidRDefault="00C61548" w:rsidP="0040137A">
      <w:pPr>
        <w:rPr>
          <w:rFonts w:eastAsia="Times New Roman" w:cs="Times New Roman"/>
          <w:color w:val="000000"/>
          <w:szCs w:val="24"/>
        </w:rPr>
      </w:pPr>
    </w:p>
    <w:p w14:paraId="587886CD" w14:textId="4D391726" w:rsidR="0040137A" w:rsidRDefault="0040137A" w:rsidP="00A80D27">
      <w:pPr>
        <w:spacing w:before="120" w:after="120"/>
      </w:pPr>
      <w:r w:rsidRPr="0040137A">
        <w:t>Members are also able to enroll in the ReadyFill program during the checkout flow.</w:t>
      </w:r>
    </w:p>
    <w:p w14:paraId="6CC0EA2B" w14:textId="77777777" w:rsidR="00B9355B" w:rsidRDefault="00B9355B" w:rsidP="002E0349">
      <w:pPr>
        <w:spacing w:before="120" w:after="120"/>
      </w:pPr>
    </w:p>
    <w:p w14:paraId="19C84B22" w14:textId="77777777" w:rsidR="001F634A" w:rsidRDefault="001F634A" w:rsidP="001F634A">
      <w:pPr>
        <w:jc w:val="right"/>
        <w:rPr>
          <w:color w:val="000000"/>
          <w:szCs w:val="24"/>
        </w:rPr>
      </w:pPr>
      <w:hyperlink w:anchor="_top" w:history="1">
        <w:r w:rsidRPr="001F634A">
          <w:rPr>
            <w:rStyle w:val="Hyperlink"/>
            <w:szCs w:val="24"/>
          </w:rPr>
          <w:t xml:space="preserve">Top </w:t>
        </w:r>
        <w:r w:rsidRPr="001F634A">
          <w:rPr>
            <w:rStyle w:val="Hyperlink"/>
            <w:szCs w:val="24"/>
          </w:rPr>
          <w:t>o</w:t>
        </w:r>
        <w:r w:rsidRPr="001F634A">
          <w:rPr>
            <w:rStyle w:val="Hyperlink"/>
            <w:szCs w:val="24"/>
          </w:rPr>
          <w:t>f the Document</w:t>
        </w:r>
      </w:hyperlink>
    </w:p>
    <w:p w14:paraId="1EF96797" w14:textId="03E5966B" w:rsidR="001C2052" w:rsidRDefault="001C2052" w:rsidP="002E0349">
      <w:pPr>
        <w:jc w:val="right"/>
        <w:rPr>
          <w:rFonts w:eastAsia="Times New Roman" w:cs="Times New Roman"/>
          <w:color w:val="000000"/>
          <w:szCs w:val="24"/>
        </w:rPr>
      </w:pPr>
    </w:p>
    <w:tbl>
      <w:tblPr>
        <w:tblStyle w:val="TableGrid"/>
        <w:tblW w:w="5000" w:type="pct"/>
        <w:tblLook w:val="04A0" w:firstRow="1" w:lastRow="0" w:firstColumn="1" w:lastColumn="0" w:noHBand="0" w:noVBand="1"/>
      </w:tblPr>
      <w:tblGrid>
        <w:gridCol w:w="12950"/>
      </w:tblGrid>
      <w:tr w:rsidR="00D1252E" w:rsidRPr="00F85BC6" w14:paraId="48F0F3D5" w14:textId="77777777" w:rsidTr="002E0349">
        <w:tc>
          <w:tcPr>
            <w:tcW w:w="5000" w:type="pct"/>
            <w:shd w:val="clear" w:color="auto" w:fill="A6A6A6" w:themeFill="background1" w:themeFillShade="A6"/>
          </w:tcPr>
          <w:p w14:paraId="7DDAAB77" w14:textId="0405B3DB" w:rsidR="00D1252E" w:rsidRPr="00F85BC6" w:rsidRDefault="0056171D" w:rsidP="002E0349">
            <w:pPr>
              <w:pStyle w:val="Heading2"/>
              <w:spacing w:before="120" w:after="120"/>
            </w:pPr>
            <w:bookmarkStart w:id="6" w:name="_Toc204935852"/>
            <w:r w:rsidRPr="002E0349">
              <w:rPr>
                <w:noProof/>
              </w:rPr>
              <w:drawing>
                <wp:inline distT="0" distB="0" distL="0" distR="0" wp14:anchorId="69D18091" wp14:editId="7B7B10C0">
                  <wp:extent cx="304762" cy="304762"/>
                  <wp:effectExtent l="0" t="0" r="635" b="635"/>
                  <wp:docPr id="666076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76187" name="Picture 666076187"/>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85BC6">
              <w:t xml:space="preserve"> </w:t>
            </w:r>
            <w:r w:rsidR="006121AB" w:rsidRPr="00F85BC6">
              <w:t>Turn on Auto Refill</w:t>
            </w:r>
            <w:bookmarkEnd w:id="6"/>
          </w:p>
        </w:tc>
      </w:tr>
    </w:tbl>
    <w:p w14:paraId="59AFB3A3" w14:textId="08047B2D" w:rsidR="00932ECE" w:rsidRDefault="00370044" w:rsidP="009B2516">
      <w:pPr>
        <w:tabs>
          <w:tab w:val="center" w:pos="13822"/>
        </w:tabs>
        <w:spacing w:before="120" w:after="120"/>
      </w:pPr>
      <w:bookmarkStart w:id="7" w:name="_Hlk204501527"/>
      <w:r>
        <w:t xml:space="preserve">Auto refill </w:t>
      </w:r>
      <w:r w:rsidR="009059A8">
        <w:t xml:space="preserve">can be </w:t>
      </w:r>
      <w:r w:rsidR="009059A8" w:rsidRPr="002E0349">
        <w:rPr>
          <w:b/>
          <w:bCs/>
        </w:rPr>
        <w:t>turned on</w:t>
      </w:r>
      <w:r w:rsidR="009059A8">
        <w:t xml:space="preserve"> by moving the </w:t>
      </w:r>
      <w:r w:rsidR="005A492A">
        <w:t xml:space="preserve">Auto refill </w:t>
      </w:r>
      <w:r w:rsidR="009059A8">
        <w:t xml:space="preserve">toggle </w:t>
      </w:r>
      <w:r w:rsidR="00565999">
        <w:t xml:space="preserve">button </w:t>
      </w:r>
      <w:r w:rsidR="009059A8">
        <w:t xml:space="preserve">to </w:t>
      </w:r>
      <w:r w:rsidR="002C4C78">
        <w:t>the right OR from the Options menu.</w:t>
      </w:r>
      <w:r w:rsidR="009B2516">
        <w:tab/>
      </w:r>
    </w:p>
    <w:p w14:paraId="593D5D2C" w14:textId="77777777" w:rsidR="009B2516" w:rsidRDefault="009B2516" w:rsidP="002E0349">
      <w:pPr>
        <w:tabs>
          <w:tab w:val="center" w:pos="13822"/>
        </w:tabs>
        <w:spacing w:before="120" w:after="120"/>
      </w:pPr>
    </w:p>
    <w:bookmarkEnd w:id="7"/>
    <w:p w14:paraId="3A35D5F1" w14:textId="7A4F886F" w:rsidR="00D60629" w:rsidRDefault="00241F87" w:rsidP="00D60629">
      <w:pPr>
        <w:spacing w:before="240" w:after="240"/>
        <w:jc w:val="center"/>
        <w:rPr>
          <w:color w:val="000000"/>
          <w:szCs w:val="24"/>
        </w:rPr>
      </w:pPr>
      <w:r>
        <w:rPr>
          <w:noProof/>
          <w14:ligatures w14:val="standardContextual"/>
        </w:rPr>
        <w:drawing>
          <wp:inline distT="0" distB="0" distL="0" distR="0" wp14:anchorId="7B13611E" wp14:editId="040E403A">
            <wp:extent cx="5486400" cy="3849744"/>
            <wp:effectExtent l="0" t="0" r="0" b="0"/>
            <wp:docPr id="96676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6102" name="Picture 1" descr="A screenshot of a computer&#10;&#10;Description automatically generated"/>
                    <pic:cNvPicPr/>
                  </pic:nvPicPr>
                  <pic:blipFill>
                    <a:blip r:embed="rId14"/>
                    <a:stretch>
                      <a:fillRect/>
                    </a:stretch>
                  </pic:blipFill>
                  <pic:spPr>
                    <a:xfrm>
                      <a:off x="0" y="0"/>
                      <a:ext cx="5486400" cy="3849744"/>
                    </a:xfrm>
                    <a:prstGeom prst="rect">
                      <a:avLst/>
                    </a:prstGeom>
                  </pic:spPr>
                </pic:pic>
              </a:graphicData>
            </a:graphic>
          </wp:inline>
        </w:drawing>
      </w:r>
    </w:p>
    <w:p w14:paraId="40336F3B" w14:textId="77777777" w:rsidR="009B2516" w:rsidRDefault="009B2516" w:rsidP="00D60629">
      <w:pPr>
        <w:spacing w:before="240" w:after="240"/>
        <w:jc w:val="center"/>
        <w:rPr>
          <w:color w:val="000000"/>
          <w:szCs w:val="24"/>
        </w:rPr>
      </w:pPr>
    </w:p>
    <w:p w14:paraId="3CDC2142" w14:textId="2DE86F6C" w:rsidR="009A7B81" w:rsidRDefault="00A60CF5" w:rsidP="002E0349">
      <w:pPr>
        <w:spacing w:before="120" w:after="120"/>
      </w:pPr>
      <w:r>
        <w:t xml:space="preserve">When turning </w:t>
      </w:r>
      <w:r w:rsidR="00EB623F" w:rsidRPr="002E0349">
        <w:rPr>
          <w:b/>
          <w:bCs/>
        </w:rPr>
        <w:t>A</w:t>
      </w:r>
      <w:r w:rsidRPr="002E0349">
        <w:rPr>
          <w:b/>
          <w:bCs/>
        </w:rPr>
        <w:t xml:space="preserve">uto refill </w:t>
      </w:r>
      <w:r w:rsidR="00EB623F" w:rsidRPr="002E0349">
        <w:rPr>
          <w:b/>
          <w:bCs/>
        </w:rPr>
        <w:t>on</w:t>
      </w:r>
      <w:r w:rsidR="00EB623F">
        <w:t xml:space="preserve">, </w:t>
      </w:r>
      <w:r w:rsidR="00E61961">
        <w:t xml:space="preserve">members are provided with </w:t>
      </w:r>
      <w:r w:rsidR="009201E0">
        <w:t>details regarding enrollment</w:t>
      </w:r>
      <w:r w:rsidR="007A2F5E">
        <w:t xml:space="preserve"> </w:t>
      </w:r>
      <w:r w:rsidR="00FB2AF6">
        <w:t xml:space="preserve">and must </w:t>
      </w:r>
      <w:r w:rsidR="001170CE">
        <w:t>agree to the Terms and Conditions.</w:t>
      </w:r>
    </w:p>
    <w:p w14:paraId="7A58600C" w14:textId="443F6A0E" w:rsidR="00B41A59" w:rsidRDefault="00166AB5" w:rsidP="002E0349">
      <w:pPr>
        <w:pStyle w:val="ListParagraph"/>
        <w:numPr>
          <w:ilvl w:val="0"/>
          <w:numId w:val="31"/>
        </w:numPr>
        <w:spacing w:before="120" w:after="120"/>
        <w:rPr>
          <w:color w:val="000000"/>
          <w:szCs w:val="24"/>
        </w:rPr>
      </w:pPr>
      <w:r>
        <w:rPr>
          <w:color w:val="000000"/>
          <w:szCs w:val="24"/>
        </w:rPr>
        <w:t xml:space="preserve">Click </w:t>
      </w:r>
      <w:r w:rsidRPr="002E0349">
        <w:rPr>
          <w:b/>
          <w:bCs/>
          <w:color w:val="000000"/>
          <w:szCs w:val="24"/>
        </w:rPr>
        <w:t xml:space="preserve">I </w:t>
      </w:r>
      <w:r w:rsidR="00B41A59" w:rsidRPr="002E0349">
        <w:rPr>
          <w:b/>
          <w:bCs/>
          <w:color w:val="000000"/>
          <w:szCs w:val="24"/>
        </w:rPr>
        <w:t>agree to the Terms and Conditions</w:t>
      </w:r>
      <w:r w:rsidR="00A24F31">
        <w:rPr>
          <w:color w:val="000000"/>
          <w:szCs w:val="24"/>
        </w:rPr>
        <w:t>.</w:t>
      </w:r>
    </w:p>
    <w:p w14:paraId="1C80DBF8" w14:textId="122B8785" w:rsidR="001170CE" w:rsidRDefault="001170CE" w:rsidP="00A80D27">
      <w:pPr>
        <w:pStyle w:val="ListParagraph"/>
        <w:numPr>
          <w:ilvl w:val="0"/>
          <w:numId w:val="31"/>
        </w:numPr>
        <w:spacing w:before="120" w:after="120"/>
        <w:rPr>
          <w:color w:val="000000"/>
          <w:szCs w:val="24"/>
        </w:rPr>
      </w:pPr>
      <w:r>
        <w:rPr>
          <w:color w:val="000000"/>
          <w:szCs w:val="24"/>
        </w:rPr>
        <w:t xml:space="preserve">Click </w:t>
      </w:r>
      <w:r w:rsidRPr="002E0349">
        <w:rPr>
          <w:b/>
          <w:bCs/>
          <w:color w:val="000000"/>
          <w:szCs w:val="24"/>
        </w:rPr>
        <w:t>Confirm</w:t>
      </w:r>
      <w:r w:rsidR="00A24F31">
        <w:rPr>
          <w:color w:val="000000"/>
          <w:szCs w:val="24"/>
        </w:rPr>
        <w:t>.</w:t>
      </w:r>
    </w:p>
    <w:p w14:paraId="1BB4F366" w14:textId="77777777" w:rsidR="009B2516" w:rsidRPr="002E0349" w:rsidRDefault="009B2516" w:rsidP="002E0349">
      <w:pPr>
        <w:spacing w:before="120" w:after="120"/>
        <w:ind w:left="360"/>
        <w:rPr>
          <w:color w:val="000000"/>
          <w:szCs w:val="24"/>
        </w:rPr>
      </w:pPr>
    </w:p>
    <w:p w14:paraId="05BBD8BA" w14:textId="16DE9360" w:rsidR="000431E9" w:rsidRDefault="00BB7ACD" w:rsidP="009B2516">
      <w:pPr>
        <w:spacing w:before="120" w:after="120"/>
        <w:jc w:val="center"/>
        <w:rPr>
          <w:color w:val="000000"/>
          <w:szCs w:val="24"/>
        </w:rPr>
      </w:pPr>
      <w:r>
        <w:rPr>
          <w:noProof/>
          <w14:ligatures w14:val="standardContextual"/>
        </w:rPr>
        <w:drawing>
          <wp:inline distT="0" distB="0" distL="0" distR="0" wp14:anchorId="759D066B" wp14:editId="65BD6442">
            <wp:extent cx="5486400" cy="5327239"/>
            <wp:effectExtent l="0" t="0" r="0" b="6985"/>
            <wp:docPr id="9604463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46341" name="Picture 1" descr="A screenshot of a computer screen&#10;&#10;Description automatically generated"/>
                    <pic:cNvPicPr/>
                  </pic:nvPicPr>
                  <pic:blipFill>
                    <a:blip r:embed="rId15"/>
                    <a:stretch>
                      <a:fillRect/>
                    </a:stretch>
                  </pic:blipFill>
                  <pic:spPr>
                    <a:xfrm>
                      <a:off x="0" y="0"/>
                      <a:ext cx="5486400" cy="5327239"/>
                    </a:xfrm>
                    <a:prstGeom prst="rect">
                      <a:avLst/>
                    </a:prstGeom>
                  </pic:spPr>
                </pic:pic>
              </a:graphicData>
            </a:graphic>
          </wp:inline>
        </w:drawing>
      </w:r>
    </w:p>
    <w:p w14:paraId="4D21D2E5" w14:textId="77777777" w:rsidR="000431E9" w:rsidRDefault="000431E9" w:rsidP="002E0349">
      <w:pPr>
        <w:spacing w:before="120" w:after="120"/>
        <w:jc w:val="center"/>
        <w:rPr>
          <w:color w:val="000000"/>
          <w:szCs w:val="24"/>
        </w:rPr>
      </w:pPr>
    </w:p>
    <w:p w14:paraId="2149B5CD" w14:textId="4850B328" w:rsidR="00EB137B" w:rsidRDefault="00C47205" w:rsidP="002E0349">
      <w:pPr>
        <w:spacing w:before="120" w:after="120"/>
        <w:rPr>
          <w:color w:val="000000"/>
          <w:szCs w:val="24"/>
        </w:rPr>
      </w:pPr>
      <w:r w:rsidRPr="002E0349">
        <w:rPr>
          <w:b/>
          <w:bCs/>
          <w:color w:val="000000"/>
          <w:szCs w:val="24"/>
        </w:rPr>
        <w:t>Result:</w:t>
      </w:r>
      <w:r>
        <w:rPr>
          <w:color w:val="000000"/>
          <w:szCs w:val="24"/>
        </w:rPr>
        <w:t xml:space="preserve"> </w:t>
      </w:r>
      <w:r w:rsidR="0009746E">
        <w:rPr>
          <w:color w:val="000000"/>
          <w:szCs w:val="24"/>
        </w:rPr>
        <w:t xml:space="preserve">The toggle </w:t>
      </w:r>
      <w:r w:rsidR="00F24D52">
        <w:rPr>
          <w:color w:val="000000"/>
          <w:szCs w:val="24"/>
        </w:rPr>
        <w:t xml:space="preserve">button </w:t>
      </w:r>
      <w:r w:rsidR="0009746E">
        <w:rPr>
          <w:color w:val="000000"/>
          <w:szCs w:val="24"/>
        </w:rPr>
        <w:t>is green with a “check</w:t>
      </w:r>
      <w:r w:rsidR="00FB79DD">
        <w:rPr>
          <w:color w:val="000000"/>
          <w:szCs w:val="24"/>
        </w:rPr>
        <w:t>.</w:t>
      </w:r>
      <w:r w:rsidR="0009746E">
        <w:rPr>
          <w:color w:val="000000"/>
          <w:szCs w:val="24"/>
        </w:rPr>
        <w:t>”</w:t>
      </w:r>
    </w:p>
    <w:p w14:paraId="35B6C596" w14:textId="70BE2BB3" w:rsidR="000B5502" w:rsidRPr="002E0349" w:rsidRDefault="000B5502" w:rsidP="002E0349">
      <w:pPr>
        <w:pStyle w:val="ListParagraph"/>
        <w:numPr>
          <w:ilvl w:val="0"/>
          <w:numId w:val="34"/>
        </w:numPr>
        <w:spacing w:before="120" w:after="120"/>
        <w:rPr>
          <w:color w:val="000000"/>
          <w:szCs w:val="24"/>
        </w:rPr>
      </w:pPr>
      <w:bookmarkStart w:id="8" w:name="_Hlk204502183"/>
      <w:r w:rsidRPr="002E0349">
        <w:rPr>
          <w:color w:val="000000"/>
          <w:szCs w:val="24"/>
        </w:rPr>
        <w:t xml:space="preserve">Confirmation of </w:t>
      </w:r>
      <w:r w:rsidR="00111091" w:rsidRPr="002E0349">
        <w:rPr>
          <w:color w:val="000000"/>
          <w:szCs w:val="24"/>
        </w:rPr>
        <w:t>enrollment is provided at the top of the page.</w:t>
      </w:r>
    </w:p>
    <w:bookmarkEnd w:id="8"/>
    <w:p w14:paraId="65C80C07" w14:textId="77777777" w:rsidR="00C47205" w:rsidRPr="002E0349" w:rsidRDefault="00C47205" w:rsidP="002E0349">
      <w:pPr>
        <w:spacing w:before="240" w:after="240"/>
        <w:rPr>
          <w:color w:val="000000"/>
          <w:szCs w:val="24"/>
        </w:rPr>
      </w:pPr>
    </w:p>
    <w:p w14:paraId="6A1DFF2D" w14:textId="5AF5DCE5" w:rsidR="00932ECE" w:rsidRDefault="008E1EB1" w:rsidP="00EB56EA">
      <w:pPr>
        <w:spacing w:before="240" w:after="240"/>
        <w:ind w:left="360"/>
        <w:jc w:val="center"/>
        <w:rPr>
          <w:color w:val="000000"/>
          <w:szCs w:val="24"/>
        </w:rPr>
      </w:pPr>
      <w:r>
        <w:rPr>
          <w:noProof/>
          <w14:ligatures w14:val="standardContextual"/>
        </w:rPr>
        <w:drawing>
          <wp:inline distT="0" distB="0" distL="0" distR="0" wp14:anchorId="54CD77C4" wp14:editId="01E6F588">
            <wp:extent cx="5486400" cy="2028306"/>
            <wp:effectExtent l="0" t="0" r="0" b="0"/>
            <wp:docPr id="26360066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00669" name="Picture 1" descr="A white background with black text&#10;&#10;Description automatically generated"/>
                    <pic:cNvPicPr/>
                  </pic:nvPicPr>
                  <pic:blipFill>
                    <a:blip r:embed="rId16"/>
                    <a:stretch>
                      <a:fillRect/>
                    </a:stretch>
                  </pic:blipFill>
                  <pic:spPr>
                    <a:xfrm>
                      <a:off x="0" y="0"/>
                      <a:ext cx="5486400" cy="2028306"/>
                    </a:xfrm>
                    <a:prstGeom prst="rect">
                      <a:avLst/>
                    </a:prstGeom>
                  </pic:spPr>
                </pic:pic>
              </a:graphicData>
            </a:graphic>
          </wp:inline>
        </w:drawing>
      </w:r>
    </w:p>
    <w:p w14:paraId="7B83BDAB" w14:textId="77777777" w:rsidR="00510DC9" w:rsidRDefault="00510DC9" w:rsidP="00EB56EA">
      <w:pPr>
        <w:spacing w:before="240" w:after="240"/>
        <w:ind w:left="360"/>
        <w:jc w:val="center"/>
        <w:rPr>
          <w:color w:val="000000"/>
          <w:szCs w:val="24"/>
        </w:rPr>
      </w:pPr>
    </w:p>
    <w:p w14:paraId="2FF498D6" w14:textId="25283574" w:rsidR="0070221D" w:rsidRDefault="00BA1212" w:rsidP="00EB56EA">
      <w:pPr>
        <w:spacing w:before="240" w:after="240"/>
        <w:ind w:left="360"/>
        <w:jc w:val="center"/>
        <w:rPr>
          <w:color w:val="000000"/>
          <w:szCs w:val="24"/>
        </w:rPr>
      </w:pPr>
      <w:r>
        <w:rPr>
          <w:noProof/>
          <w14:ligatures w14:val="standardContextual"/>
        </w:rPr>
        <w:drawing>
          <wp:inline distT="0" distB="0" distL="0" distR="0" wp14:anchorId="0E7B4D09" wp14:editId="3745B659">
            <wp:extent cx="5486400" cy="934458"/>
            <wp:effectExtent l="0" t="0" r="0" b="0"/>
            <wp:docPr id="199725692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924" name="Picture 1" descr="A close-up of a sign&#10;&#10;Description automatically generated"/>
                    <pic:cNvPicPr/>
                  </pic:nvPicPr>
                  <pic:blipFill>
                    <a:blip r:embed="rId17"/>
                    <a:stretch>
                      <a:fillRect/>
                    </a:stretch>
                  </pic:blipFill>
                  <pic:spPr>
                    <a:xfrm>
                      <a:off x="0" y="0"/>
                      <a:ext cx="5486400" cy="934458"/>
                    </a:xfrm>
                    <a:prstGeom prst="rect">
                      <a:avLst/>
                    </a:prstGeom>
                  </pic:spPr>
                </pic:pic>
              </a:graphicData>
            </a:graphic>
          </wp:inline>
        </w:drawing>
      </w:r>
    </w:p>
    <w:p w14:paraId="154D8D24" w14:textId="77777777" w:rsidR="00510DC9" w:rsidRDefault="00510DC9" w:rsidP="00EB56EA">
      <w:pPr>
        <w:spacing w:before="240" w:after="240"/>
        <w:ind w:left="360"/>
        <w:jc w:val="center"/>
        <w:rPr>
          <w:color w:val="000000"/>
          <w:szCs w:val="24"/>
        </w:rPr>
      </w:pPr>
    </w:p>
    <w:p w14:paraId="456C037F" w14:textId="77777777" w:rsidR="00BF0B8F" w:rsidRDefault="00BF0B8F" w:rsidP="00A80D27">
      <w:pPr>
        <w:spacing w:before="120" w:after="120"/>
      </w:pPr>
      <w:r w:rsidRPr="0040137A">
        <w:rPr>
          <w:b/>
          <w:bCs/>
        </w:rPr>
        <w:t>Note:</w:t>
      </w:r>
      <w:r w:rsidRPr="0040137A">
        <w:t> Members are also able to enroll in the ReadyFill program during the checkout flow.</w:t>
      </w:r>
    </w:p>
    <w:p w14:paraId="5114C437" w14:textId="77777777" w:rsidR="00E641CF" w:rsidRDefault="00E641CF" w:rsidP="002E0349">
      <w:pPr>
        <w:spacing w:before="120" w:after="120"/>
      </w:pPr>
    </w:p>
    <w:p w14:paraId="6ACD14C1" w14:textId="77777777" w:rsidR="001F634A" w:rsidRDefault="001F634A" w:rsidP="001F634A">
      <w:pPr>
        <w:jc w:val="right"/>
        <w:rPr>
          <w:color w:val="000000"/>
          <w:szCs w:val="24"/>
        </w:rPr>
      </w:pPr>
      <w:hyperlink w:anchor="_top" w:history="1">
        <w:r w:rsidRPr="001F634A">
          <w:rPr>
            <w:rStyle w:val="Hyperlink"/>
            <w:szCs w:val="24"/>
          </w:rPr>
          <w:t>Top of th</w:t>
        </w:r>
        <w:r w:rsidRPr="001F634A">
          <w:rPr>
            <w:rStyle w:val="Hyperlink"/>
            <w:szCs w:val="24"/>
          </w:rPr>
          <w:t>e</w:t>
        </w:r>
        <w:r w:rsidRPr="001F634A">
          <w:rPr>
            <w:rStyle w:val="Hyperlink"/>
            <w:szCs w:val="24"/>
          </w:rPr>
          <w:t xml:space="preserve"> Document</w:t>
        </w:r>
      </w:hyperlink>
    </w:p>
    <w:p w14:paraId="50DE54AA" w14:textId="2A21B943" w:rsidR="00602B66" w:rsidRDefault="00602B66" w:rsidP="002E0349">
      <w:pPr>
        <w:jc w:val="right"/>
        <w:rPr>
          <w:color w:val="000000"/>
          <w:szCs w:val="24"/>
        </w:rPr>
      </w:pPr>
    </w:p>
    <w:tbl>
      <w:tblPr>
        <w:tblStyle w:val="TableGrid"/>
        <w:tblW w:w="5000" w:type="pct"/>
        <w:tblLook w:val="04A0" w:firstRow="1" w:lastRow="0" w:firstColumn="1" w:lastColumn="0" w:noHBand="0" w:noVBand="1"/>
      </w:tblPr>
      <w:tblGrid>
        <w:gridCol w:w="12950"/>
      </w:tblGrid>
      <w:tr w:rsidR="00A24F31" w:rsidRPr="00F85BC6" w14:paraId="5AA6BB83" w14:textId="77777777" w:rsidTr="00886DDF">
        <w:tc>
          <w:tcPr>
            <w:tcW w:w="5000" w:type="pct"/>
            <w:shd w:val="clear" w:color="auto" w:fill="A6A6A6" w:themeFill="background1" w:themeFillShade="A6"/>
          </w:tcPr>
          <w:p w14:paraId="480A9FF1" w14:textId="1EA27B9C" w:rsidR="00A24F31" w:rsidRPr="00F85BC6" w:rsidRDefault="0056171D" w:rsidP="002E0349">
            <w:pPr>
              <w:pStyle w:val="Heading2"/>
              <w:spacing w:before="120" w:after="120"/>
            </w:pPr>
            <w:bookmarkStart w:id="9" w:name="_Toc204935853"/>
            <w:r w:rsidRPr="002E0349">
              <w:rPr>
                <w:noProof/>
              </w:rPr>
              <w:drawing>
                <wp:inline distT="0" distB="0" distL="0" distR="0" wp14:anchorId="5A6CD67A" wp14:editId="05FD8FA9">
                  <wp:extent cx="304762" cy="304762"/>
                  <wp:effectExtent l="0" t="0" r="635" b="635"/>
                  <wp:docPr id="2685450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45022" name="Picture 26854502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85BC6">
              <w:t xml:space="preserve"> </w:t>
            </w:r>
            <w:r w:rsidR="00A24F31" w:rsidRPr="00F85BC6">
              <w:t>Turn off Auto Refill</w:t>
            </w:r>
            <w:bookmarkEnd w:id="9"/>
          </w:p>
        </w:tc>
      </w:tr>
    </w:tbl>
    <w:p w14:paraId="4A65FF17" w14:textId="6AC97D1D" w:rsidR="00944303" w:rsidRDefault="00944303" w:rsidP="002E0349">
      <w:pPr>
        <w:spacing w:before="120" w:after="120"/>
      </w:pPr>
      <w:r>
        <w:t xml:space="preserve">Auto refill can be </w:t>
      </w:r>
      <w:r w:rsidRPr="002E0349">
        <w:rPr>
          <w:b/>
          <w:bCs/>
        </w:rPr>
        <w:t>turned o</w:t>
      </w:r>
      <w:r w:rsidR="00DB44A3" w:rsidRPr="002E0349">
        <w:rPr>
          <w:b/>
          <w:bCs/>
        </w:rPr>
        <w:t>ff</w:t>
      </w:r>
      <w:r>
        <w:t xml:space="preserve"> by moving the Auto refill toggle </w:t>
      </w:r>
      <w:r w:rsidR="003C397A">
        <w:t xml:space="preserve">button </w:t>
      </w:r>
      <w:r>
        <w:t xml:space="preserve">to the </w:t>
      </w:r>
      <w:r w:rsidR="00DB44A3">
        <w:t xml:space="preserve">left </w:t>
      </w:r>
      <w:r>
        <w:t>OR from the Options menu.</w:t>
      </w:r>
    </w:p>
    <w:p w14:paraId="71568ED7" w14:textId="77777777" w:rsidR="00D92535" w:rsidRDefault="00D92535" w:rsidP="00EB56EA">
      <w:pPr>
        <w:spacing w:before="240" w:after="240"/>
        <w:ind w:left="360"/>
        <w:jc w:val="center"/>
        <w:rPr>
          <w:noProof/>
        </w:rPr>
      </w:pPr>
    </w:p>
    <w:p w14:paraId="04CD983A" w14:textId="12976B13" w:rsidR="00111091" w:rsidRDefault="00907E36" w:rsidP="00EB56EA">
      <w:pPr>
        <w:spacing w:before="240" w:after="240"/>
        <w:ind w:left="360"/>
        <w:jc w:val="center"/>
        <w:rPr>
          <w:color w:val="000000"/>
          <w:szCs w:val="24"/>
        </w:rPr>
      </w:pPr>
      <w:r>
        <w:rPr>
          <w:noProof/>
          <w14:ligatures w14:val="standardContextual"/>
        </w:rPr>
        <w:drawing>
          <wp:inline distT="0" distB="0" distL="0" distR="0" wp14:anchorId="712832D9" wp14:editId="1221CD50">
            <wp:extent cx="5486400" cy="3393863"/>
            <wp:effectExtent l="0" t="0" r="0" b="0"/>
            <wp:docPr id="20990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1632" name=""/>
                    <pic:cNvPicPr/>
                  </pic:nvPicPr>
                  <pic:blipFill>
                    <a:blip r:embed="rId18"/>
                    <a:stretch>
                      <a:fillRect/>
                    </a:stretch>
                  </pic:blipFill>
                  <pic:spPr>
                    <a:xfrm>
                      <a:off x="0" y="0"/>
                      <a:ext cx="5486400" cy="3393863"/>
                    </a:xfrm>
                    <a:prstGeom prst="rect">
                      <a:avLst/>
                    </a:prstGeom>
                  </pic:spPr>
                </pic:pic>
              </a:graphicData>
            </a:graphic>
          </wp:inline>
        </w:drawing>
      </w:r>
    </w:p>
    <w:p w14:paraId="1055A391" w14:textId="77777777" w:rsidR="00B13D84" w:rsidRDefault="00B13D84" w:rsidP="00EF2CAD">
      <w:pPr>
        <w:spacing w:before="240" w:after="240"/>
        <w:ind w:left="360"/>
        <w:rPr>
          <w:color w:val="000000"/>
          <w:szCs w:val="24"/>
        </w:rPr>
      </w:pPr>
    </w:p>
    <w:p w14:paraId="651F10FE" w14:textId="55F379C3" w:rsidR="007C7539" w:rsidRDefault="007C7539" w:rsidP="002E0349">
      <w:pPr>
        <w:spacing w:before="120" w:after="120"/>
        <w:rPr>
          <w:color w:val="auto"/>
        </w:rPr>
      </w:pPr>
      <w:r w:rsidRPr="002E0349">
        <w:rPr>
          <w:b/>
          <w:bCs/>
        </w:rPr>
        <w:t>Result:</w:t>
      </w:r>
      <w:r>
        <w:t xml:space="preserve"> </w:t>
      </w:r>
      <w:r w:rsidR="00BA7944">
        <w:t xml:space="preserve">If the </w:t>
      </w:r>
      <w:r w:rsidR="003C397A" w:rsidRPr="003C397A">
        <w:t xml:space="preserve">toggle </w:t>
      </w:r>
      <w:r w:rsidR="00F24D52">
        <w:t xml:space="preserve">button </w:t>
      </w:r>
      <w:r w:rsidR="003C397A" w:rsidRPr="003C397A">
        <w:t>is gray with an “x</w:t>
      </w:r>
      <w:r w:rsidR="00BA7944">
        <w:t>,</w:t>
      </w:r>
      <w:r w:rsidR="003C397A" w:rsidRPr="003C397A">
        <w:t>” the prescription is no</w:t>
      </w:r>
      <w:r w:rsidR="00E2667D">
        <w:t xml:space="preserve"> longer e</w:t>
      </w:r>
      <w:r w:rsidR="003C397A" w:rsidRPr="003C397A">
        <w:t>nrolled in the ReadyFill program.</w:t>
      </w:r>
    </w:p>
    <w:p w14:paraId="464D4A59" w14:textId="052B6C24" w:rsidR="006B300F" w:rsidRPr="00E21B0C" w:rsidRDefault="006B300F" w:rsidP="002E0349">
      <w:pPr>
        <w:pStyle w:val="ListParagraph"/>
        <w:numPr>
          <w:ilvl w:val="0"/>
          <w:numId w:val="32"/>
        </w:numPr>
        <w:spacing w:before="120" w:after="120"/>
        <w:rPr>
          <w:color w:val="000000"/>
          <w:szCs w:val="24"/>
        </w:rPr>
      </w:pPr>
      <w:r>
        <w:rPr>
          <w:color w:val="000000"/>
          <w:szCs w:val="24"/>
        </w:rPr>
        <w:t>Confirmation of dis</w:t>
      </w:r>
      <w:r w:rsidR="00201CCC">
        <w:rPr>
          <w:color w:val="000000"/>
          <w:szCs w:val="24"/>
        </w:rPr>
        <w:t>-</w:t>
      </w:r>
      <w:r>
        <w:rPr>
          <w:color w:val="000000"/>
          <w:szCs w:val="24"/>
        </w:rPr>
        <w:t>enrollment is provided at the top of the page.</w:t>
      </w:r>
    </w:p>
    <w:p w14:paraId="11E3F106" w14:textId="77777777" w:rsidR="006B300F" w:rsidRDefault="006B300F" w:rsidP="00EF2CAD">
      <w:pPr>
        <w:spacing w:before="240" w:after="240"/>
        <w:ind w:left="360"/>
        <w:rPr>
          <w:color w:val="000000"/>
          <w:szCs w:val="24"/>
        </w:rPr>
      </w:pPr>
    </w:p>
    <w:p w14:paraId="4E77E720" w14:textId="78932114" w:rsidR="00B13D84" w:rsidRDefault="009E625B" w:rsidP="00EB56EA">
      <w:pPr>
        <w:spacing w:before="240" w:after="240"/>
        <w:ind w:left="360"/>
        <w:jc w:val="center"/>
        <w:rPr>
          <w:color w:val="000000"/>
          <w:szCs w:val="24"/>
        </w:rPr>
      </w:pPr>
      <w:r>
        <w:rPr>
          <w:noProof/>
          <w14:ligatures w14:val="standardContextual"/>
        </w:rPr>
        <w:drawing>
          <wp:inline distT="0" distB="0" distL="0" distR="0" wp14:anchorId="67947480" wp14:editId="73027716">
            <wp:extent cx="5486400" cy="2358938"/>
            <wp:effectExtent l="0" t="0" r="0" b="3810"/>
            <wp:docPr id="57753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3364" name="Picture 1" descr="A screenshot of a computer&#10;&#10;Description automatically generated"/>
                    <pic:cNvPicPr/>
                  </pic:nvPicPr>
                  <pic:blipFill>
                    <a:blip r:embed="rId19"/>
                    <a:stretch>
                      <a:fillRect/>
                    </a:stretch>
                  </pic:blipFill>
                  <pic:spPr>
                    <a:xfrm>
                      <a:off x="0" y="0"/>
                      <a:ext cx="5486400" cy="2358938"/>
                    </a:xfrm>
                    <a:prstGeom prst="rect">
                      <a:avLst/>
                    </a:prstGeom>
                  </pic:spPr>
                </pic:pic>
              </a:graphicData>
            </a:graphic>
          </wp:inline>
        </w:drawing>
      </w:r>
    </w:p>
    <w:p w14:paraId="23F8DE6D" w14:textId="77777777" w:rsidR="00B13D84" w:rsidRDefault="00B13D84" w:rsidP="00EB56EA">
      <w:pPr>
        <w:spacing w:before="240" w:after="240"/>
        <w:ind w:left="360"/>
        <w:jc w:val="center"/>
        <w:rPr>
          <w:color w:val="000000"/>
          <w:szCs w:val="24"/>
        </w:rPr>
      </w:pPr>
    </w:p>
    <w:p w14:paraId="315C7BAF" w14:textId="3F68E40B" w:rsidR="00111091" w:rsidRDefault="00BF58E1" w:rsidP="00EB56EA">
      <w:pPr>
        <w:spacing w:before="240" w:after="240"/>
        <w:ind w:left="360"/>
        <w:jc w:val="center"/>
        <w:rPr>
          <w:color w:val="000000"/>
          <w:szCs w:val="24"/>
        </w:rPr>
      </w:pPr>
      <w:r>
        <w:rPr>
          <w:noProof/>
          <w14:ligatures w14:val="standardContextual"/>
        </w:rPr>
        <w:drawing>
          <wp:inline distT="0" distB="0" distL="0" distR="0" wp14:anchorId="4706D8B2" wp14:editId="7A645E14">
            <wp:extent cx="5486400" cy="865520"/>
            <wp:effectExtent l="0" t="0" r="0" b="0"/>
            <wp:docPr id="1744068142"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68142" name="Picture 1" descr="A close-up of a message&#10;&#10;Description automatically generated"/>
                    <pic:cNvPicPr/>
                  </pic:nvPicPr>
                  <pic:blipFill>
                    <a:blip r:embed="rId20"/>
                    <a:stretch>
                      <a:fillRect/>
                    </a:stretch>
                  </pic:blipFill>
                  <pic:spPr>
                    <a:xfrm>
                      <a:off x="0" y="0"/>
                      <a:ext cx="5486400" cy="865520"/>
                    </a:xfrm>
                    <a:prstGeom prst="rect">
                      <a:avLst/>
                    </a:prstGeom>
                  </pic:spPr>
                </pic:pic>
              </a:graphicData>
            </a:graphic>
          </wp:inline>
        </w:drawing>
      </w:r>
    </w:p>
    <w:p w14:paraId="04D1F815" w14:textId="77777777" w:rsidR="00510DC9" w:rsidRDefault="00510DC9" w:rsidP="00EB56EA">
      <w:pPr>
        <w:spacing w:before="240" w:after="240"/>
        <w:ind w:left="360"/>
        <w:jc w:val="center"/>
        <w:rPr>
          <w:color w:val="000000"/>
          <w:szCs w:val="24"/>
        </w:rPr>
      </w:pPr>
    </w:p>
    <w:p w14:paraId="58157896" w14:textId="282674FB" w:rsidR="00111091" w:rsidRDefault="001F634A" w:rsidP="001F634A">
      <w:pPr>
        <w:jc w:val="right"/>
        <w:rPr>
          <w:color w:val="000000"/>
          <w:szCs w:val="24"/>
        </w:rPr>
      </w:pPr>
      <w:hyperlink w:anchor="_top" w:history="1">
        <w:r w:rsidRPr="001F634A">
          <w:rPr>
            <w:rStyle w:val="Hyperlink"/>
            <w:szCs w:val="24"/>
          </w:rPr>
          <w:t>Top of the D</w:t>
        </w:r>
        <w:r w:rsidRPr="001F634A">
          <w:rPr>
            <w:rStyle w:val="Hyperlink"/>
            <w:szCs w:val="24"/>
          </w:rPr>
          <w:t>o</w:t>
        </w:r>
        <w:r w:rsidRPr="001F634A">
          <w:rPr>
            <w:rStyle w:val="Hyperlink"/>
            <w:szCs w:val="24"/>
          </w:rPr>
          <w:t>cument</w:t>
        </w:r>
      </w:hyperlink>
    </w:p>
    <w:tbl>
      <w:tblPr>
        <w:tblStyle w:val="TableGrid"/>
        <w:tblW w:w="5000" w:type="pct"/>
        <w:tblLook w:val="04A0" w:firstRow="1" w:lastRow="0" w:firstColumn="1" w:lastColumn="0" w:noHBand="0" w:noVBand="1"/>
      </w:tblPr>
      <w:tblGrid>
        <w:gridCol w:w="12950"/>
      </w:tblGrid>
      <w:tr w:rsidR="00886DDF" w:rsidRPr="00F85BC6" w14:paraId="3DDF818A" w14:textId="77777777" w:rsidTr="00EC23F2">
        <w:tc>
          <w:tcPr>
            <w:tcW w:w="5000" w:type="pct"/>
            <w:shd w:val="clear" w:color="auto" w:fill="A6A6A6" w:themeFill="background1" w:themeFillShade="A6"/>
          </w:tcPr>
          <w:p w14:paraId="3789D5E5" w14:textId="266A07CF" w:rsidR="00886DDF" w:rsidRPr="00F85BC6" w:rsidRDefault="0056171D" w:rsidP="002E0349">
            <w:pPr>
              <w:pStyle w:val="Heading2"/>
              <w:spacing w:before="120" w:after="120"/>
            </w:pPr>
            <w:bookmarkStart w:id="10" w:name="_Toc204935854"/>
            <w:r w:rsidRPr="002E0349">
              <w:rPr>
                <w:noProof/>
              </w:rPr>
              <w:drawing>
                <wp:inline distT="0" distB="0" distL="0" distR="0" wp14:anchorId="4CBA5BF4" wp14:editId="6ADC37AC">
                  <wp:extent cx="304762" cy="304762"/>
                  <wp:effectExtent l="0" t="0" r="635" b="635"/>
                  <wp:docPr id="638447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7746" name="Picture 638447746"/>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85BC6">
              <w:t xml:space="preserve"> </w:t>
            </w:r>
            <w:r w:rsidR="00886DDF" w:rsidRPr="00F85BC6">
              <w:t xml:space="preserve">Auto </w:t>
            </w:r>
            <w:r w:rsidR="00473F09" w:rsidRPr="00F85BC6">
              <w:t>F</w:t>
            </w:r>
            <w:r w:rsidR="006C5C95" w:rsidRPr="00F85BC6">
              <w:t>ill Date</w:t>
            </w:r>
            <w:r w:rsidR="00E02D76" w:rsidRPr="00F85BC6">
              <w:t xml:space="preserve"> after 16</w:t>
            </w:r>
            <w:r w:rsidR="00332448" w:rsidRPr="00F85BC6">
              <w:t>-day hold period</w:t>
            </w:r>
            <w:bookmarkEnd w:id="10"/>
            <w:r w:rsidR="006C5C95" w:rsidRPr="00F85BC6">
              <w:t xml:space="preserve"> </w:t>
            </w:r>
          </w:p>
        </w:tc>
      </w:tr>
    </w:tbl>
    <w:p w14:paraId="0C6B591A" w14:textId="4BCA916C" w:rsidR="00292719" w:rsidRPr="00292719" w:rsidRDefault="00292719" w:rsidP="002E0349">
      <w:pPr>
        <w:spacing w:before="120" w:after="120"/>
        <w:rPr>
          <w:rFonts w:ascii="Times New Roman" w:hAnsi="Times New Roman"/>
          <w:sz w:val="27"/>
          <w:szCs w:val="27"/>
        </w:rPr>
      </w:pPr>
      <w:r w:rsidRPr="00292719">
        <w:t>The Next auto fill date displays the date prescription(s) enrolled in Auto Refill or Auto Renew will be released from the mandated 16-day hold period and begin to be filled. The ReadyFill program does not fill the prescriptions based off the plan’s utilization/next scheduled fill date.</w:t>
      </w:r>
    </w:p>
    <w:p w14:paraId="0D45E3BC" w14:textId="0A7831BC" w:rsidR="00292719" w:rsidRPr="00292719" w:rsidRDefault="00292719" w:rsidP="002E0349">
      <w:pPr>
        <w:spacing w:before="120" w:after="120"/>
        <w:rPr>
          <w:rFonts w:ascii="Times New Roman" w:hAnsi="Times New Roman"/>
          <w:sz w:val="27"/>
          <w:szCs w:val="27"/>
        </w:rPr>
      </w:pPr>
    </w:p>
    <w:p w14:paraId="4D3E59FE" w14:textId="77777777" w:rsidR="00292719" w:rsidRPr="00292719" w:rsidRDefault="00292719" w:rsidP="002E0349">
      <w:pPr>
        <w:spacing w:before="120" w:after="120"/>
        <w:rPr>
          <w:rFonts w:ascii="Times New Roman" w:hAnsi="Times New Roman"/>
          <w:sz w:val="27"/>
          <w:szCs w:val="27"/>
        </w:rPr>
      </w:pPr>
      <w:r w:rsidRPr="00292719">
        <w:t>The ReadyFill program factors in the previous fills of the drug. For ReadyFill Orders, the order will begin filling when the member has 7 days of medication on hand, according to the accumulation of all previous fills. An alert is sent to the member to advise the order will begin filling in 16 days </w:t>
      </w:r>
      <w:r w:rsidRPr="00292719">
        <w:rPr>
          <w:b/>
          <w:bCs/>
        </w:rPr>
        <w:t>(after the mandated 16-day hold). This is</w:t>
      </w:r>
      <w:r w:rsidRPr="00292719">
        <w:t> the same date displayed from Caremark.com All Prescriptions list.</w:t>
      </w:r>
    </w:p>
    <w:p w14:paraId="6C0F560A" w14:textId="4018C294" w:rsidR="00292719" w:rsidRPr="00292719" w:rsidRDefault="00292719" w:rsidP="002E0349">
      <w:pPr>
        <w:spacing w:before="120" w:after="120"/>
        <w:rPr>
          <w:rFonts w:ascii="Times New Roman" w:hAnsi="Times New Roman"/>
          <w:sz w:val="27"/>
          <w:szCs w:val="27"/>
        </w:rPr>
      </w:pPr>
    </w:p>
    <w:p w14:paraId="2364A5A3" w14:textId="77777777" w:rsidR="00292719" w:rsidRPr="00292719" w:rsidRDefault="00292719" w:rsidP="002E0349">
      <w:pPr>
        <w:spacing w:before="120" w:after="120"/>
        <w:rPr>
          <w:rFonts w:ascii="Times New Roman" w:hAnsi="Times New Roman"/>
          <w:sz w:val="27"/>
          <w:szCs w:val="27"/>
        </w:rPr>
      </w:pPr>
      <w:r w:rsidRPr="00292719">
        <w:t>If the member would like to fill the prescription before the scheduled auto fill date, they can un-enroll the prescription(s) from the ReadyFill program.</w:t>
      </w:r>
    </w:p>
    <w:p w14:paraId="6733162F" w14:textId="10ED73F9" w:rsidR="00292719" w:rsidRPr="00292719" w:rsidRDefault="00292719" w:rsidP="00292719">
      <w:pPr>
        <w:rPr>
          <w:rFonts w:ascii="Times New Roman" w:eastAsia="Times New Roman" w:hAnsi="Times New Roman" w:cs="Times New Roman"/>
          <w:color w:val="000000"/>
          <w:sz w:val="27"/>
          <w:szCs w:val="27"/>
        </w:rPr>
      </w:pPr>
    </w:p>
    <w:p w14:paraId="2DE6FD37" w14:textId="0086C086" w:rsidR="00292719" w:rsidRDefault="00E229D7" w:rsidP="00292719">
      <w:pPr>
        <w:jc w:val="center"/>
        <w:rPr>
          <w:rFonts w:ascii="Times New Roman" w:eastAsia="Times New Roman" w:hAnsi="Times New Roman" w:cs="Times New Roman"/>
          <w:color w:val="000000"/>
          <w:sz w:val="27"/>
          <w:szCs w:val="27"/>
        </w:rPr>
      </w:pPr>
      <w:r>
        <w:rPr>
          <w:noProof/>
          <w14:ligatures w14:val="standardContextual"/>
        </w:rPr>
        <w:drawing>
          <wp:inline distT="0" distB="0" distL="0" distR="0" wp14:anchorId="7C8C6AC3" wp14:editId="3B46067E">
            <wp:extent cx="5486400" cy="2396208"/>
            <wp:effectExtent l="0" t="0" r="0" b="4445"/>
            <wp:docPr id="346422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22845" name="Picture 1" descr="A screenshot of a computer&#10;&#10;Description automatically generated"/>
                    <pic:cNvPicPr/>
                  </pic:nvPicPr>
                  <pic:blipFill>
                    <a:blip r:embed="rId21"/>
                    <a:stretch>
                      <a:fillRect/>
                    </a:stretch>
                  </pic:blipFill>
                  <pic:spPr>
                    <a:xfrm>
                      <a:off x="0" y="0"/>
                      <a:ext cx="5486400" cy="2396208"/>
                    </a:xfrm>
                    <a:prstGeom prst="rect">
                      <a:avLst/>
                    </a:prstGeom>
                  </pic:spPr>
                </pic:pic>
              </a:graphicData>
            </a:graphic>
          </wp:inline>
        </w:drawing>
      </w:r>
    </w:p>
    <w:p w14:paraId="53A4A954" w14:textId="77777777" w:rsidR="003D30C3" w:rsidRPr="00292719" w:rsidRDefault="003D30C3" w:rsidP="00292719">
      <w:pPr>
        <w:jc w:val="center"/>
        <w:rPr>
          <w:rFonts w:ascii="Times New Roman" w:eastAsia="Times New Roman" w:hAnsi="Times New Roman" w:cs="Times New Roman"/>
          <w:color w:val="000000"/>
          <w:sz w:val="27"/>
          <w:szCs w:val="27"/>
        </w:rPr>
      </w:pPr>
    </w:p>
    <w:p w14:paraId="118CEF4A" w14:textId="4C947679" w:rsidR="00292719" w:rsidRPr="00292719" w:rsidRDefault="00292719" w:rsidP="00292719">
      <w:pPr>
        <w:rPr>
          <w:rFonts w:ascii="Times New Roman" w:eastAsia="Times New Roman" w:hAnsi="Times New Roman" w:cs="Times New Roman"/>
          <w:color w:val="000000"/>
          <w:sz w:val="27"/>
          <w:szCs w:val="27"/>
        </w:rPr>
      </w:pPr>
    </w:p>
    <w:p w14:paraId="66C4A839" w14:textId="7691D6B9" w:rsidR="00292719" w:rsidRPr="00292719" w:rsidRDefault="00292719" w:rsidP="002E0349">
      <w:pPr>
        <w:spacing w:before="120" w:after="120"/>
        <w:rPr>
          <w:rFonts w:ascii="Times New Roman" w:eastAsia="Times New Roman" w:hAnsi="Times New Roman" w:cs="Times New Roman"/>
          <w:color w:val="000000"/>
          <w:sz w:val="27"/>
          <w:szCs w:val="27"/>
        </w:rPr>
      </w:pPr>
      <w:r w:rsidRPr="00292719">
        <w:rPr>
          <w:rFonts w:eastAsia="Times New Roman" w:cs="Times New Roman"/>
          <w:color w:val="000000"/>
          <w:szCs w:val="24"/>
        </w:rPr>
        <w:t xml:space="preserve">Viewing the Accumulation of fills and schedule Auto Refill/Renew </w:t>
      </w:r>
      <w:r w:rsidR="003B4CC0" w:rsidRPr="00292719">
        <w:rPr>
          <w:rFonts w:eastAsia="Times New Roman" w:cs="Times New Roman"/>
          <w:color w:val="000000"/>
          <w:szCs w:val="24"/>
        </w:rPr>
        <w:t>dates.</w:t>
      </w:r>
    </w:p>
    <w:p w14:paraId="21767158" w14:textId="53E7698C" w:rsidR="00292719" w:rsidRPr="00292719" w:rsidRDefault="00292719" w:rsidP="00292719">
      <w:pPr>
        <w:rPr>
          <w:rFonts w:ascii="Times New Roman" w:eastAsia="Times New Roman" w:hAnsi="Times New Roman" w:cs="Times New Roman"/>
          <w:color w:val="000000"/>
          <w:sz w:val="27"/>
          <w:szCs w:val="27"/>
        </w:rPr>
      </w:pPr>
    </w:p>
    <w:p w14:paraId="57E70041" w14:textId="77777777" w:rsidR="00292719" w:rsidRDefault="00292719" w:rsidP="00A80D27">
      <w:pPr>
        <w:spacing w:before="120" w:after="120"/>
        <w:rPr>
          <w:rFonts w:eastAsia="Times New Roman" w:cs="Times New Roman"/>
          <w:color w:val="000000"/>
          <w:szCs w:val="24"/>
        </w:rPr>
      </w:pPr>
      <w:r w:rsidRPr="00292719">
        <w:rPr>
          <w:rFonts w:eastAsia="Times New Roman" w:cs="Times New Roman"/>
          <w:color w:val="000000"/>
          <w:szCs w:val="24"/>
        </w:rPr>
        <w:t>Compass Rx Alerts:</w:t>
      </w:r>
    </w:p>
    <w:p w14:paraId="05A5B5E6" w14:textId="77777777" w:rsidR="00510DC9" w:rsidRPr="00292719" w:rsidRDefault="00510DC9" w:rsidP="002E0349">
      <w:pPr>
        <w:spacing w:before="120" w:after="120"/>
        <w:rPr>
          <w:rFonts w:ascii="Times New Roman" w:eastAsia="Times New Roman" w:hAnsi="Times New Roman" w:cs="Times New Roman"/>
          <w:color w:val="000000"/>
          <w:sz w:val="27"/>
          <w:szCs w:val="27"/>
        </w:rPr>
      </w:pPr>
    </w:p>
    <w:p w14:paraId="54019BCC" w14:textId="77777777" w:rsidR="00292719" w:rsidRPr="00292719" w:rsidRDefault="00292719" w:rsidP="00292719">
      <w:pPr>
        <w:jc w:val="center"/>
        <w:rPr>
          <w:rFonts w:ascii="Times New Roman" w:eastAsia="Times New Roman" w:hAnsi="Times New Roman" w:cs="Times New Roman"/>
          <w:color w:val="000000"/>
          <w:sz w:val="27"/>
          <w:szCs w:val="27"/>
        </w:rPr>
      </w:pPr>
      <w:r w:rsidRPr="00292719">
        <w:rPr>
          <w:rFonts w:ascii="Times New Roman" w:eastAsia="Times New Roman" w:hAnsi="Times New Roman" w:cs="Times New Roman"/>
          <w:noProof/>
          <w:color w:val="000000"/>
          <w:sz w:val="27"/>
          <w:szCs w:val="27"/>
        </w:rPr>
        <w:drawing>
          <wp:inline distT="0" distB="0" distL="0" distR="0" wp14:anchorId="319A7BE4" wp14:editId="3B3E17DC">
            <wp:extent cx="5486400" cy="1931670"/>
            <wp:effectExtent l="0" t="0" r="0" b="0"/>
            <wp:docPr id="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931670"/>
                    </a:xfrm>
                    <a:prstGeom prst="rect">
                      <a:avLst/>
                    </a:prstGeom>
                    <a:noFill/>
                    <a:ln>
                      <a:noFill/>
                    </a:ln>
                  </pic:spPr>
                </pic:pic>
              </a:graphicData>
            </a:graphic>
          </wp:inline>
        </w:drawing>
      </w:r>
    </w:p>
    <w:p w14:paraId="3765189C" w14:textId="775AC74D" w:rsidR="00292719" w:rsidRPr="00292719" w:rsidRDefault="00292719" w:rsidP="00292719">
      <w:pPr>
        <w:rPr>
          <w:rFonts w:ascii="Times New Roman" w:eastAsia="Times New Roman" w:hAnsi="Times New Roman" w:cs="Times New Roman"/>
          <w:color w:val="000000"/>
          <w:sz w:val="27"/>
          <w:szCs w:val="27"/>
        </w:rPr>
      </w:pPr>
    </w:p>
    <w:p w14:paraId="2C944643" w14:textId="540CEBC7" w:rsidR="00F33AA0" w:rsidRPr="0002227A" w:rsidRDefault="00436AA8" w:rsidP="002E0349">
      <w:pPr>
        <w:jc w:val="center"/>
        <w:rPr>
          <w:color w:val="000000"/>
          <w:szCs w:val="24"/>
        </w:rPr>
      </w:pPr>
      <w:commentRangeStart w:id="11"/>
      <w:commentRangeEnd w:id="11"/>
      <w:r>
        <w:rPr>
          <w:rStyle w:val="CommentReference"/>
        </w:rPr>
        <w:commentReference w:id="11"/>
      </w:r>
    </w:p>
    <w:p w14:paraId="66F4CAD8" w14:textId="77777777" w:rsidR="0039020B" w:rsidRDefault="0039020B" w:rsidP="0039020B">
      <w:pPr>
        <w:rPr>
          <w:b/>
          <w:bCs/>
          <w:color w:val="000000"/>
          <w:szCs w:val="24"/>
        </w:rPr>
      </w:pPr>
    </w:p>
    <w:p w14:paraId="6BAC1759" w14:textId="77777777" w:rsidR="001F634A" w:rsidRDefault="001F634A" w:rsidP="001F634A">
      <w:pPr>
        <w:jc w:val="right"/>
        <w:rPr>
          <w:color w:val="000000"/>
          <w:szCs w:val="24"/>
        </w:rPr>
      </w:pPr>
      <w:hyperlink w:anchor="_top" w:history="1">
        <w:r w:rsidRPr="001F634A">
          <w:rPr>
            <w:rStyle w:val="Hyperlink"/>
            <w:szCs w:val="24"/>
          </w:rPr>
          <w:t>Top of t</w:t>
        </w:r>
        <w:r w:rsidRPr="001F634A">
          <w:rPr>
            <w:rStyle w:val="Hyperlink"/>
            <w:szCs w:val="24"/>
          </w:rPr>
          <w:t>h</w:t>
        </w:r>
        <w:r w:rsidRPr="001F634A">
          <w:rPr>
            <w:rStyle w:val="Hyperlink"/>
            <w:szCs w:val="24"/>
          </w:rPr>
          <w:t>e Document</w:t>
        </w:r>
      </w:hyperlink>
    </w:p>
    <w:p w14:paraId="0267553B" w14:textId="66627EEC" w:rsidR="0039020B" w:rsidRDefault="0039020B" w:rsidP="002E0349">
      <w:pPr>
        <w:jc w:val="right"/>
        <w:rPr>
          <w:b/>
          <w:bCs/>
          <w:color w:val="000000"/>
          <w:szCs w:val="24"/>
        </w:rPr>
      </w:pPr>
    </w:p>
    <w:tbl>
      <w:tblPr>
        <w:tblStyle w:val="TableGrid"/>
        <w:tblW w:w="5000" w:type="pct"/>
        <w:tblLook w:val="04A0" w:firstRow="1" w:lastRow="0" w:firstColumn="1" w:lastColumn="0" w:noHBand="0" w:noVBand="1"/>
      </w:tblPr>
      <w:tblGrid>
        <w:gridCol w:w="12950"/>
      </w:tblGrid>
      <w:tr w:rsidR="009D021E" w:rsidRPr="00F85BC6" w14:paraId="78165FC9" w14:textId="77777777" w:rsidTr="00B13106">
        <w:tc>
          <w:tcPr>
            <w:tcW w:w="5000" w:type="pct"/>
            <w:shd w:val="clear" w:color="auto" w:fill="BFBFBF" w:themeFill="background1" w:themeFillShade="BF"/>
          </w:tcPr>
          <w:p w14:paraId="62412431" w14:textId="4D346C5D" w:rsidR="009D021E" w:rsidRPr="00F85BC6" w:rsidRDefault="009D021E" w:rsidP="002E0349">
            <w:pPr>
              <w:pStyle w:val="Heading2"/>
              <w:spacing w:before="120" w:after="120"/>
            </w:pPr>
            <w:bookmarkStart w:id="12" w:name="_Toc204935855"/>
            <w:r w:rsidRPr="00F85BC6">
              <w:t>Related Documents</w:t>
            </w:r>
            <w:bookmarkEnd w:id="12"/>
          </w:p>
        </w:tc>
      </w:tr>
    </w:tbl>
    <w:p w14:paraId="40CE9482" w14:textId="2D8702D9" w:rsidR="00B13106" w:rsidRPr="004E1C22" w:rsidRDefault="00757804" w:rsidP="002E0349">
      <w:pPr>
        <w:spacing w:before="120" w:after="120"/>
        <w:rPr>
          <w:rStyle w:val="Hyperlink"/>
          <w:color w:val="000000" w:themeColor="text1"/>
          <w:szCs w:val="24"/>
          <w:u w:val="none"/>
        </w:rPr>
      </w:pPr>
      <w:hyperlink r:id="rId27" w:anchor="!/view?docid=947b0b38-401d-4b18-a08e-60348558a9b9" w:history="1">
        <w:r>
          <w:rPr>
            <w:rStyle w:val="Hyperlink"/>
            <w:szCs w:val="24"/>
          </w:rPr>
          <w:t>Caremark.com - Common Member Assistance Call Types Index (068985)</w:t>
        </w:r>
      </w:hyperlink>
    </w:p>
    <w:p w14:paraId="13AD6801" w14:textId="38DAB7C3" w:rsidR="00BC0FEF" w:rsidRDefault="00BC0FEF" w:rsidP="002E0349">
      <w:pPr>
        <w:spacing w:before="120" w:after="120"/>
        <w:rPr>
          <w:color w:val="000000"/>
          <w:szCs w:val="24"/>
        </w:rPr>
      </w:pPr>
      <w:hyperlink r:id="rId28" w:anchor="!/view?docid=8cf6bbce-ecb4-4e1a-a688-bafa0707b275" w:history="1"/>
      <w:bookmarkStart w:id="13" w:name="_Hlk67654930"/>
      <w:r w:rsidR="00A0438E">
        <w:rPr>
          <w:color w:val="000000"/>
          <w:szCs w:val="24"/>
        </w:rPr>
        <w:fldChar w:fldCharType="begin"/>
      </w:r>
      <w:r w:rsidR="00BC73A2">
        <w:rPr>
          <w:color w:val="000000"/>
          <w:szCs w:val="24"/>
        </w:rPr>
        <w:instrText>HYPERLINK "https://thesource.cvshealth.com/nuxeo/thesource/" \l "!/view?docid=ca9a6da8-e7b6-4eaf-aa3d-0c75eb4a6f06"</w:instrText>
      </w:r>
      <w:r w:rsidR="00A0438E">
        <w:rPr>
          <w:color w:val="000000"/>
          <w:szCs w:val="24"/>
        </w:rPr>
      </w:r>
      <w:r w:rsidR="00A0438E">
        <w:rPr>
          <w:color w:val="000000"/>
          <w:szCs w:val="24"/>
        </w:rPr>
        <w:fldChar w:fldCharType="separate"/>
      </w:r>
      <w:bookmarkEnd w:id="13"/>
      <w:r w:rsidR="00BC73A2">
        <w:rPr>
          <w:rStyle w:val="Hyperlink"/>
          <w:szCs w:val="24"/>
        </w:rPr>
        <w:t>Caremark.com – View/Refill All Prescriptions (018775)</w:t>
      </w:r>
      <w:r w:rsidR="00A0438E">
        <w:rPr>
          <w:color w:val="000000"/>
          <w:szCs w:val="24"/>
        </w:rPr>
        <w:fldChar w:fldCharType="end"/>
      </w:r>
    </w:p>
    <w:p w14:paraId="5E92083B" w14:textId="5BD3B632" w:rsidR="0032749F" w:rsidRDefault="0032749F" w:rsidP="00BC0FEF">
      <w:pPr>
        <w:rPr>
          <w:color w:val="000000"/>
          <w:szCs w:val="24"/>
        </w:rPr>
      </w:pPr>
    </w:p>
    <w:p w14:paraId="4F2280CF" w14:textId="77777777" w:rsidR="0003133D" w:rsidRDefault="0003133D" w:rsidP="0003133D">
      <w:pPr>
        <w:ind w:left="360"/>
        <w:rPr>
          <w:b/>
          <w:bCs/>
          <w:color w:val="000000"/>
          <w:szCs w:val="24"/>
        </w:rPr>
      </w:pPr>
    </w:p>
    <w:p w14:paraId="215E8CF7" w14:textId="77777777" w:rsidR="001F634A" w:rsidRDefault="001F634A" w:rsidP="001F634A">
      <w:pPr>
        <w:jc w:val="right"/>
        <w:rPr>
          <w:color w:val="000000"/>
          <w:szCs w:val="24"/>
        </w:rPr>
      </w:pPr>
      <w:hyperlink w:anchor="_top" w:history="1">
        <w:r w:rsidRPr="001F634A">
          <w:rPr>
            <w:rStyle w:val="Hyperlink"/>
            <w:szCs w:val="24"/>
          </w:rPr>
          <w:t>To</w:t>
        </w:r>
        <w:r w:rsidRPr="001F634A">
          <w:rPr>
            <w:rStyle w:val="Hyperlink"/>
            <w:szCs w:val="24"/>
          </w:rPr>
          <w:t>p</w:t>
        </w:r>
        <w:r w:rsidRPr="001F634A">
          <w:rPr>
            <w:rStyle w:val="Hyperlink"/>
            <w:szCs w:val="24"/>
          </w:rPr>
          <w:t xml:space="preserve"> of the Document</w:t>
        </w:r>
      </w:hyperlink>
    </w:p>
    <w:p w14:paraId="60EB98D8" w14:textId="185F76D5" w:rsidR="00662AFA" w:rsidRDefault="00662AFA" w:rsidP="00662AFA">
      <w:pPr>
        <w:jc w:val="right"/>
        <w:rPr>
          <w:szCs w:val="24"/>
        </w:rPr>
      </w:pPr>
    </w:p>
    <w:p w14:paraId="11C98D33" w14:textId="77777777" w:rsidR="00E03B72" w:rsidRPr="00DE7A25" w:rsidRDefault="00E03B72" w:rsidP="00E03B72">
      <w:pPr>
        <w:jc w:val="right"/>
        <w:rPr>
          <w:szCs w:val="24"/>
        </w:rPr>
      </w:pPr>
      <w:bookmarkStart w:id="14" w:name="_Updating_a_PBO"/>
      <w:bookmarkEnd w:id="2"/>
      <w:bookmarkEnd w:id="14"/>
    </w:p>
    <w:p w14:paraId="7C3A9A11" w14:textId="77777777" w:rsidR="00E03B72" w:rsidRDefault="00E03B72" w:rsidP="00E03B72">
      <w:pPr>
        <w:jc w:val="center"/>
        <w:rPr>
          <w:sz w:val="16"/>
          <w:szCs w:val="16"/>
        </w:rPr>
      </w:pPr>
      <w:r>
        <w:rPr>
          <w:sz w:val="16"/>
          <w:szCs w:val="16"/>
        </w:rPr>
        <w:t>Not To Be Reproduced Or Disclosed to Others Without Prior Written Approval</w:t>
      </w:r>
    </w:p>
    <w:p w14:paraId="6F357562" w14:textId="77777777" w:rsidR="00E03B72" w:rsidRDefault="00E03B72" w:rsidP="00E03B72">
      <w:pPr>
        <w:jc w:val="center"/>
        <w:rPr>
          <w:b/>
          <w:color w:val="000000"/>
          <w:sz w:val="16"/>
          <w:szCs w:val="16"/>
        </w:rPr>
      </w:pPr>
      <w:r>
        <w:rPr>
          <w:b/>
          <w:color w:val="000000"/>
          <w:sz w:val="16"/>
          <w:szCs w:val="16"/>
        </w:rPr>
        <w:t>ELECTRONIC DATA = OFFICIAL VERSION / PAPER COPY = INFORMATIONAL ONLY</w:t>
      </w:r>
    </w:p>
    <w:p w14:paraId="70E53080" w14:textId="77777777" w:rsidR="00E03B72" w:rsidRDefault="00E03B72" w:rsidP="00E03B72"/>
    <w:p w14:paraId="6813BAC5" w14:textId="77777777" w:rsidR="004614C9" w:rsidRDefault="004614C9"/>
    <w:sectPr w:rsidR="004614C9" w:rsidSect="00C4493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Williams, Ketrina L" w:date="2025-08-01T10:12:00Z" w:initials="KH">
    <w:p w14:paraId="7EEFDD69" w14:textId="77777777" w:rsidR="00436AA8" w:rsidRDefault="00436AA8" w:rsidP="00436AA8">
      <w:pPr>
        <w:pStyle w:val="CommentText"/>
      </w:pPr>
      <w:r>
        <w:rPr>
          <w:rStyle w:val="CommentReference"/>
        </w:rPr>
        <w:annotationRef/>
      </w:r>
      <w:r>
        <w:t>References to PeopleSafe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EFDD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15C21E" w16cex:dateUtc="2025-08-01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EFDD69" w16cid:durableId="3115C2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B928F" w14:textId="77777777" w:rsidR="000616B5" w:rsidRDefault="000616B5" w:rsidP="007663F0">
      <w:r>
        <w:separator/>
      </w:r>
    </w:p>
  </w:endnote>
  <w:endnote w:type="continuationSeparator" w:id="0">
    <w:p w14:paraId="153EDB22" w14:textId="77777777" w:rsidR="000616B5" w:rsidRDefault="000616B5" w:rsidP="007663F0">
      <w:r>
        <w:continuationSeparator/>
      </w:r>
    </w:p>
  </w:endnote>
  <w:endnote w:type="continuationNotice" w:id="1">
    <w:p w14:paraId="131E428A" w14:textId="77777777" w:rsidR="000616B5" w:rsidRDefault="00061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76523" w14:textId="77777777" w:rsidR="000616B5" w:rsidRDefault="000616B5" w:rsidP="007663F0">
      <w:r>
        <w:separator/>
      </w:r>
    </w:p>
  </w:footnote>
  <w:footnote w:type="continuationSeparator" w:id="0">
    <w:p w14:paraId="3C913E63" w14:textId="77777777" w:rsidR="000616B5" w:rsidRDefault="000616B5" w:rsidP="007663F0">
      <w:r>
        <w:continuationSeparator/>
      </w:r>
    </w:p>
  </w:footnote>
  <w:footnote w:type="continuationNotice" w:id="1">
    <w:p w14:paraId="1B90CB2C" w14:textId="77777777" w:rsidR="000616B5" w:rsidRDefault="000616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18A0"/>
    <w:multiLevelType w:val="hybridMultilevel"/>
    <w:tmpl w:val="B31E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1F2B"/>
    <w:multiLevelType w:val="hybridMultilevel"/>
    <w:tmpl w:val="F6B6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B1072"/>
    <w:multiLevelType w:val="hybridMultilevel"/>
    <w:tmpl w:val="38F0A7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74646"/>
    <w:multiLevelType w:val="hybridMultilevel"/>
    <w:tmpl w:val="9D10DC7C"/>
    <w:lvl w:ilvl="0" w:tplc="1208153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962AF"/>
    <w:multiLevelType w:val="hybridMultilevel"/>
    <w:tmpl w:val="13D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B5C19"/>
    <w:multiLevelType w:val="hybridMultilevel"/>
    <w:tmpl w:val="A25AE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C0FF9"/>
    <w:multiLevelType w:val="hybridMultilevel"/>
    <w:tmpl w:val="59E2B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817AF9"/>
    <w:multiLevelType w:val="hybridMultilevel"/>
    <w:tmpl w:val="2B1A0CEA"/>
    <w:lvl w:ilvl="0" w:tplc="AF92F03E">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736A9"/>
    <w:multiLevelType w:val="hybridMultilevel"/>
    <w:tmpl w:val="DB88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05F60"/>
    <w:multiLevelType w:val="hybridMultilevel"/>
    <w:tmpl w:val="8698DB7E"/>
    <w:lvl w:ilvl="0" w:tplc="C4F8D4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B20C9"/>
    <w:multiLevelType w:val="hybridMultilevel"/>
    <w:tmpl w:val="09E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F114E"/>
    <w:multiLevelType w:val="hybridMultilevel"/>
    <w:tmpl w:val="3F7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331DC"/>
    <w:multiLevelType w:val="hybridMultilevel"/>
    <w:tmpl w:val="2574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523BC"/>
    <w:multiLevelType w:val="hybridMultilevel"/>
    <w:tmpl w:val="2510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04780"/>
    <w:multiLevelType w:val="hybridMultilevel"/>
    <w:tmpl w:val="622CB3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027CAE"/>
    <w:multiLevelType w:val="hybridMultilevel"/>
    <w:tmpl w:val="A0B2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7436F"/>
    <w:multiLevelType w:val="hybridMultilevel"/>
    <w:tmpl w:val="97DA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A3F9D"/>
    <w:multiLevelType w:val="hybridMultilevel"/>
    <w:tmpl w:val="3F2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954EA"/>
    <w:multiLevelType w:val="hybridMultilevel"/>
    <w:tmpl w:val="2EC6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B7534"/>
    <w:multiLevelType w:val="hybridMultilevel"/>
    <w:tmpl w:val="9418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0035D"/>
    <w:multiLevelType w:val="hybridMultilevel"/>
    <w:tmpl w:val="6B6C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A6E34"/>
    <w:multiLevelType w:val="hybridMultilevel"/>
    <w:tmpl w:val="2A00A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593B19"/>
    <w:multiLevelType w:val="hybridMultilevel"/>
    <w:tmpl w:val="0176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03920"/>
    <w:multiLevelType w:val="hybridMultilevel"/>
    <w:tmpl w:val="769EFBCC"/>
    <w:lvl w:ilvl="0" w:tplc="56FA51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46467D"/>
    <w:multiLevelType w:val="hybridMultilevel"/>
    <w:tmpl w:val="C2BA1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24337B"/>
    <w:multiLevelType w:val="hybridMultilevel"/>
    <w:tmpl w:val="788E4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8D501B"/>
    <w:multiLevelType w:val="hybridMultilevel"/>
    <w:tmpl w:val="E0D4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640018"/>
    <w:multiLevelType w:val="hybridMultilevel"/>
    <w:tmpl w:val="9C4A6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797713"/>
    <w:multiLevelType w:val="hybridMultilevel"/>
    <w:tmpl w:val="89BEBCC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8031B0"/>
    <w:multiLevelType w:val="hybridMultilevel"/>
    <w:tmpl w:val="F97EFCEE"/>
    <w:lvl w:ilvl="0" w:tplc="AD6ED3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33FF7"/>
    <w:multiLevelType w:val="hybridMultilevel"/>
    <w:tmpl w:val="4BA8C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095DB2"/>
    <w:multiLevelType w:val="hybridMultilevel"/>
    <w:tmpl w:val="AB764B64"/>
    <w:lvl w:ilvl="0" w:tplc="963C071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693DBE"/>
    <w:multiLevelType w:val="hybridMultilevel"/>
    <w:tmpl w:val="2D987FDE"/>
    <w:lvl w:ilvl="0" w:tplc="EF3C66D0">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D2563"/>
    <w:multiLevelType w:val="hybridMultilevel"/>
    <w:tmpl w:val="04D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9572">
    <w:abstractNumId w:val="4"/>
  </w:num>
  <w:num w:numId="2" w16cid:durableId="1830318197">
    <w:abstractNumId w:val="27"/>
  </w:num>
  <w:num w:numId="3" w16cid:durableId="213739216">
    <w:abstractNumId w:val="19"/>
  </w:num>
  <w:num w:numId="4" w16cid:durableId="823157160">
    <w:abstractNumId w:val="12"/>
  </w:num>
  <w:num w:numId="5" w16cid:durableId="433549772">
    <w:abstractNumId w:val="5"/>
  </w:num>
  <w:num w:numId="6" w16cid:durableId="2069450123">
    <w:abstractNumId w:val="24"/>
  </w:num>
  <w:num w:numId="7" w16cid:durableId="1713000780">
    <w:abstractNumId w:val="6"/>
  </w:num>
  <w:num w:numId="8" w16cid:durableId="798497054">
    <w:abstractNumId w:val="10"/>
  </w:num>
  <w:num w:numId="9" w16cid:durableId="1358241295">
    <w:abstractNumId w:val="26"/>
  </w:num>
  <w:num w:numId="10" w16cid:durableId="196357072">
    <w:abstractNumId w:val="33"/>
  </w:num>
  <w:num w:numId="11" w16cid:durableId="1249271642">
    <w:abstractNumId w:val="15"/>
  </w:num>
  <w:num w:numId="12" w16cid:durableId="912154888">
    <w:abstractNumId w:val="14"/>
  </w:num>
  <w:num w:numId="13" w16cid:durableId="1313872985">
    <w:abstractNumId w:val="8"/>
  </w:num>
  <w:num w:numId="14" w16cid:durableId="1711874331">
    <w:abstractNumId w:val="11"/>
  </w:num>
  <w:num w:numId="15" w16cid:durableId="1882857041">
    <w:abstractNumId w:val="18"/>
  </w:num>
  <w:num w:numId="16" w16cid:durableId="1716543449">
    <w:abstractNumId w:val="16"/>
  </w:num>
  <w:num w:numId="17" w16cid:durableId="1283533770">
    <w:abstractNumId w:val="23"/>
  </w:num>
  <w:num w:numId="18" w16cid:durableId="107358716">
    <w:abstractNumId w:val="30"/>
  </w:num>
  <w:num w:numId="19" w16cid:durableId="2057774604">
    <w:abstractNumId w:val="21"/>
  </w:num>
  <w:num w:numId="20" w16cid:durableId="52657127">
    <w:abstractNumId w:val="3"/>
  </w:num>
  <w:num w:numId="21" w16cid:durableId="1915309808">
    <w:abstractNumId w:val="2"/>
  </w:num>
  <w:num w:numId="22" w16cid:durableId="1242060149">
    <w:abstractNumId w:val="7"/>
  </w:num>
  <w:num w:numId="23" w16cid:durableId="1469394932">
    <w:abstractNumId w:val="28"/>
  </w:num>
  <w:num w:numId="24" w16cid:durableId="885946585">
    <w:abstractNumId w:val="31"/>
  </w:num>
  <w:num w:numId="25" w16cid:durableId="714081375">
    <w:abstractNumId w:val="25"/>
  </w:num>
  <w:num w:numId="26" w16cid:durableId="1121193650">
    <w:abstractNumId w:val="1"/>
  </w:num>
  <w:num w:numId="27" w16cid:durableId="341473804">
    <w:abstractNumId w:val="29"/>
  </w:num>
  <w:num w:numId="28" w16cid:durableId="1398093633">
    <w:abstractNumId w:val="32"/>
  </w:num>
  <w:num w:numId="29" w16cid:durableId="1719821319">
    <w:abstractNumId w:val="13"/>
  </w:num>
  <w:num w:numId="30" w16cid:durableId="1136216560">
    <w:abstractNumId w:val="9"/>
  </w:num>
  <w:num w:numId="31" w16cid:durableId="1914273622">
    <w:abstractNumId w:val="22"/>
  </w:num>
  <w:num w:numId="32" w16cid:durableId="1440682590">
    <w:abstractNumId w:val="20"/>
  </w:num>
  <w:num w:numId="33" w16cid:durableId="744759831">
    <w:abstractNumId w:val="0"/>
  </w:num>
  <w:num w:numId="34" w16cid:durableId="72549383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iams, Ketrina L">
    <w15:presenceInfo w15:providerId="AD" w15:userId="S::Ketrina.Hutcherson-Williams@CVSHealth.com::afafd5e1-d72d-4e4d-b010-20fe9608c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72"/>
    <w:rsid w:val="00004E26"/>
    <w:rsid w:val="00006239"/>
    <w:rsid w:val="00011A8D"/>
    <w:rsid w:val="000129A6"/>
    <w:rsid w:val="000144A0"/>
    <w:rsid w:val="00014970"/>
    <w:rsid w:val="0002227A"/>
    <w:rsid w:val="000300A3"/>
    <w:rsid w:val="0003133D"/>
    <w:rsid w:val="0003774E"/>
    <w:rsid w:val="000379DD"/>
    <w:rsid w:val="00042E1D"/>
    <w:rsid w:val="000431E9"/>
    <w:rsid w:val="00047653"/>
    <w:rsid w:val="000616B5"/>
    <w:rsid w:val="00066DCC"/>
    <w:rsid w:val="00071FC5"/>
    <w:rsid w:val="000728A1"/>
    <w:rsid w:val="00080982"/>
    <w:rsid w:val="00082E68"/>
    <w:rsid w:val="000878A2"/>
    <w:rsid w:val="000905A1"/>
    <w:rsid w:val="000959FC"/>
    <w:rsid w:val="00096A83"/>
    <w:rsid w:val="0009746E"/>
    <w:rsid w:val="00097974"/>
    <w:rsid w:val="000A256A"/>
    <w:rsid w:val="000A4F65"/>
    <w:rsid w:val="000B2E14"/>
    <w:rsid w:val="000B5502"/>
    <w:rsid w:val="000B79CB"/>
    <w:rsid w:val="000D488D"/>
    <w:rsid w:val="000D5CD5"/>
    <w:rsid w:val="000E3FC7"/>
    <w:rsid w:val="00101475"/>
    <w:rsid w:val="00111091"/>
    <w:rsid w:val="0011619B"/>
    <w:rsid w:val="001161A2"/>
    <w:rsid w:val="001170CE"/>
    <w:rsid w:val="001172C3"/>
    <w:rsid w:val="00127AEC"/>
    <w:rsid w:val="00127B37"/>
    <w:rsid w:val="00130D62"/>
    <w:rsid w:val="00133EF2"/>
    <w:rsid w:val="00137952"/>
    <w:rsid w:val="00143DE5"/>
    <w:rsid w:val="0015196D"/>
    <w:rsid w:val="001553E6"/>
    <w:rsid w:val="0015613B"/>
    <w:rsid w:val="00165813"/>
    <w:rsid w:val="00166AB5"/>
    <w:rsid w:val="00166CCC"/>
    <w:rsid w:val="00176D76"/>
    <w:rsid w:val="00185C1D"/>
    <w:rsid w:val="00187C2D"/>
    <w:rsid w:val="00196DC6"/>
    <w:rsid w:val="00197845"/>
    <w:rsid w:val="001A0E6C"/>
    <w:rsid w:val="001A4F87"/>
    <w:rsid w:val="001B1CE1"/>
    <w:rsid w:val="001B3C54"/>
    <w:rsid w:val="001B5E9F"/>
    <w:rsid w:val="001B6C55"/>
    <w:rsid w:val="001C2052"/>
    <w:rsid w:val="001C308E"/>
    <w:rsid w:val="001C56FA"/>
    <w:rsid w:val="001D0389"/>
    <w:rsid w:val="001D5B44"/>
    <w:rsid w:val="001F2A25"/>
    <w:rsid w:val="001F3B8B"/>
    <w:rsid w:val="001F634A"/>
    <w:rsid w:val="00201CCC"/>
    <w:rsid w:val="00206101"/>
    <w:rsid w:val="002150A2"/>
    <w:rsid w:val="0022187D"/>
    <w:rsid w:val="002244EB"/>
    <w:rsid w:val="00225B51"/>
    <w:rsid w:val="00227BF7"/>
    <w:rsid w:val="0023345E"/>
    <w:rsid w:val="00241F87"/>
    <w:rsid w:val="0024369A"/>
    <w:rsid w:val="0024415C"/>
    <w:rsid w:val="00245388"/>
    <w:rsid w:val="00251B1E"/>
    <w:rsid w:val="00256373"/>
    <w:rsid w:val="00261019"/>
    <w:rsid w:val="002622C3"/>
    <w:rsid w:val="00264CF8"/>
    <w:rsid w:val="002839BC"/>
    <w:rsid w:val="00292719"/>
    <w:rsid w:val="00296E47"/>
    <w:rsid w:val="002A4F62"/>
    <w:rsid w:val="002A5ECA"/>
    <w:rsid w:val="002B12B3"/>
    <w:rsid w:val="002B6071"/>
    <w:rsid w:val="002C4C78"/>
    <w:rsid w:val="002D0036"/>
    <w:rsid w:val="002D3227"/>
    <w:rsid w:val="002D6002"/>
    <w:rsid w:val="002E0349"/>
    <w:rsid w:val="002E0477"/>
    <w:rsid w:val="002E5C6E"/>
    <w:rsid w:val="002F19B5"/>
    <w:rsid w:val="002F457B"/>
    <w:rsid w:val="002F4EBE"/>
    <w:rsid w:val="002F6153"/>
    <w:rsid w:val="00312C78"/>
    <w:rsid w:val="00316B68"/>
    <w:rsid w:val="0032749F"/>
    <w:rsid w:val="00330028"/>
    <w:rsid w:val="00332448"/>
    <w:rsid w:val="0033741D"/>
    <w:rsid w:val="003379DF"/>
    <w:rsid w:val="00340912"/>
    <w:rsid w:val="00340989"/>
    <w:rsid w:val="003415C7"/>
    <w:rsid w:val="00350EC3"/>
    <w:rsid w:val="00353F65"/>
    <w:rsid w:val="00354D5D"/>
    <w:rsid w:val="0036183A"/>
    <w:rsid w:val="00363E26"/>
    <w:rsid w:val="00364A54"/>
    <w:rsid w:val="00370044"/>
    <w:rsid w:val="003714AB"/>
    <w:rsid w:val="00372D98"/>
    <w:rsid w:val="003737A2"/>
    <w:rsid w:val="0037441C"/>
    <w:rsid w:val="003749BA"/>
    <w:rsid w:val="00380DC5"/>
    <w:rsid w:val="00382E12"/>
    <w:rsid w:val="0039020B"/>
    <w:rsid w:val="003A1AA8"/>
    <w:rsid w:val="003A6F3F"/>
    <w:rsid w:val="003B1220"/>
    <w:rsid w:val="003B4CC0"/>
    <w:rsid w:val="003B66AB"/>
    <w:rsid w:val="003C397A"/>
    <w:rsid w:val="003D11C8"/>
    <w:rsid w:val="003D1ECA"/>
    <w:rsid w:val="003D30C3"/>
    <w:rsid w:val="003E1A99"/>
    <w:rsid w:val="003F228F"/>
    <w:rsid w:val="003F56FE"/>
    <w:rsid w:val="003F6730"/>
    <w:rsid w:val="0040137A"/>
    <w:rsid w:val="00402909"/>
    <w:rsid w:val="00410EE6"/>
    <w:rsid w:val="00413479"/>
    <w:rsid w:val="0041679F"/>
    <w:rsid w:val="004212B4"/>
    <w:rsid w:val="00431B5D"/>
    <w:rsid w:val="00436AA8"/>
    <w:rsid w:val="00441340"/>
    <w:rsid w:val="00444F00"/>
    <w:rsid w:val="0045503B"/>
    <w:rsid w:val="004614C9"/>
    <w:rsid w:val="00462351"/>
    <w:rsid w:val="00473F09"/>
    <w:rsid w:val="00473F5E"/>
    <w:rsid w:val="00474AF9"/>
    <w:rsid w:val="004759EB"/>
    <w:rsid w:val="004813EF"/>
    <w:rsid w:val="004938AC"/>
    <w:rsid w:val="0049575A"/>
    <w:rsid w:val="004F06CB"/>
    <w:rsid w:val="004F0AE8"/>
    <w:rsid w:val="00510DC9"/>
    <w:rsid w:val="005164BE"/>
    <w:rsid w:val="005215A8"/>
    <w:rsid w:val="005327B4"/>
    <w:rsid w:val="00546A70"/>
    <w:rsid w:val="00550D24"/>
    <w:rsid w:val="00553211"/>
    <w:rsid w:val="00555F56"/>
    <w:rsid w:val="005561F1"/>
    <w:rsid w:val="0056128B"/>
    <w:rsid w:val="0056171D"/>
    <w:rsid w:val="00562B86"/>
    <w:rsid w:val="00562E53"/>
    <w:rsid w:val="00565999"/>
    <w:rsid w:val="00583192"/>
    <w:rsid w:val="00586AA9"/>
    <w:rsid w:val="0059591B"/>
    <w:rsid w:val="005A186B"/>
    <w:rsid w:val="005A492A"/>
    <w:rsid w:val="005A5BEB"/>
    <w:rsid w:val="005A66E9"/>
    <w:rsid w:val="005B0A5D"/>
    <w:rsid w:val="005D2860"/>
    <w:rsid w:val="005F7603"/>
    <w:rsid w:val="006003C3"/>
    <w:rsid w:val="00602B66"/>
    <w:rsid w:val="00604F0C"/>
    <w:rsid w:val="00611784"/>
    <w:rsid w:val="006121AB"/>
    <w:rsid w:val="006209BC"/>
    <w:rsid w:val="006354A3"/>
    <w:rsid w:val="00645D73"/>
    <w:rsid w:val="00653088"/>
    <w:rsid w:val="00655663"/>
    <w:rsid w:val="00661EE1"/>
    <w:rsid w:val="00662152"/>
    <w:rsid w:val="00662AFA"/>
    <w:rsid w:val="0066590D"/>
    <w:rsid w:val="00682429"/>
    <w:rsid w:val="006855BC"/>
    <w:rsid w:val="0069046B"/>
    <w:rsid w:val="006915AA"/>
    <w:rsid w:val="0069227E"/>
    <w:rsid w:val="00693F11"/>
    <w:rsid w:val="00695ABB"/>
    <w:rsid w:val="006A06E1"/>
    <w:rsid w:val="006A0C7E"/>
    <w:rsid w:val="006A29BC"/>
    <w:rsid w:val="006A2C9C"/>
    <w:rsid w:val="006A4E08"/>
    <w:rsid w:val="006B300F"/>
    <w:rsid w:val="006C3E4B"/>
    <w:rsid w:val="006C5C95"/>
    <w:rsid w:val="006D3ACD"/>
    <w:rsid w:val="006E2315"/>
    <w:rsid w:val="006E399B"/>
    <w:rsid w:val="006E6768"/>
    <w:rsid w:val="006F57ED"/>
    <w:rsid w:val="006F6E85"/>
    <w:rsid w:val="0070221D"/>
    <w:rsid w:val="00706775"/>
    <w:rsid w:val="00707845"/>
    <w:rsid w:val="00712CAC"/>
    <w:rsid w:val="00713508"/>
    <w:rsid w:val="00715D65"/>
    <w:rsid w:val="00724129"/>
    <w:rsid w:val="00733AF8"/>
    <w:rsid w:val="007419A3"/>
    <w:rsid w:val="0074487D"/>
    <w:rsid w:val="00747BEA"/>
    <w:rsid w:val="00757804"/>
    <w:rsid w:val="00761F98"/>
    <w:rsid w:val="007628F1"/>
    <w:rsid w:val="007663F0"/>
    <w:rsid w:val="007764B6"/>
    <w:rsid w:val="007855BA"/>
    <w:rsid w:val="007864F1"/>
    <w:rsid w:val="007A2F5E"/>
    <w:rsid w:val="007B4522"/>
    <w:rsid w:val="007B4CCD"/>
    <w:rsid w:val="007C7539"/>
    <w:rsid w:val="007D1A34"/>
    <w:rsid w:val="007D6D9E"/>
    <w:rsid w:val="007F02A5"/>
    <w:rsid w:val="007F2588"/>
    <w:rsid w:val="00805940"/>
    <w:rsid w:val="00805EED"/>
    <w:rsid w:val="00807BA7"/>
    <w:rsid w:val="0081234F"/>
    <w:rsid w:val="008207A5"/>
    <w:rsid w:val="008210DE"/>
    <w:rsid w:val="00821E04"/>
    <w:rsid w:val="0082245E"/>
    <w:rsid w:val="00824B81"/>
    <w:rsid w:val="008329E3"/>
    <w:rsid w:val="00832E4D"/>
    <w:rsid w:val="00833D3A"/>
    <w:rsid w:val="00835B45"/>
    <w:rsid w:val="008419AB"/>
    <w:rsid w:val="00846076"/>
    <w:rsid w:val="008536B4"/>
    <w:rsid w:val="00860903"/>
    <w:rsid w:val="00861E28"/>
    <w:rsid w:val="0086208E"/>
    <w:rsid w:val="00872200"/>
    <w:rsid w:val="0087533B"/>
    <w:rsid w:val="00875DD4"/>
    <w:rsid w:val="00884F07"/>
    <w:rsid w:val="0088673A"/>
    <w:rsid w:val="008869FA"/>
    <w:rsid w:val="00886DDF"/>
    <w:rsid w:val="00890048"/>
    <w:rsid w:val="00895C8E"/>
    <w:rsid w:val="008A325E"/>
    <w:rsid w:val="008B1A9E"/>
    <w:rsid w:val="008D1B92"/>
    <w:rsid w:val="008D1F48"/>
    <w:rsid w:val="008E1EB1"/>
    <w:rsid w:val="008E2185"/>
    <w:rsid w:val="008E5676"/>
    <w:rsid w:val="008F3085"/>
    <w:rsid w:val="008F4B65"/>
    <w:rsid w:val="009059A8"/>
    <w:rsid w:val="009079C5"/>
    <w:rsid w:val="00907E36"/>
    <w:rsid w:val="00916146"/>
    <w:rsid w:val="00917531"/>
    <w:rsid w:val="009201E0"/>
    <w:rsid w:val="009219C5"/>
    <w:rsid w:val="009219F6"/>
    <w:rsid w:val="00925A86"/>
    <w:rsid w:val="00932ECE"/>
    <w:rsid w:val="00935E6B"/>
    <w:rsid w:val="00944303"/>
    <w:rsid w:val="0096653F"/>
    <w:rsid w:val="00973557"/>
    <w:rsid w:val="00975339"/>
    <w:rsid w:val="00975CA6"/>
    <w:rsid w:val="009814EA"/>
    <w:rsid w:val="00984042"/>
    <w:rsid w:val="00985E74"/>
    <w:rsid w:val="00986924"/>
    <w:rsid w:val="009A02BC"/>
    <w:rsid w:val="009A1197"/>
    <w:rsid w:val="009A660C"/>
    <w:rsid w:val="009A69EB"/>
    <w:rsid w:val="009A7B81"/>
    <w:rsid w:val="009B2516"/>
    <w:rsid w:val="009B43DB"/>
    <w:rsid w:val="009C73C3"/>
    <w:rsid w:val="009D021E"/>
    <w:rsid w:val="009D16EF"/>
    <w:rsid w:val="009E594E"/>
    <w:rsid w:val="009E625B"/>
    <w:rsid w:val="009F4BAE"/>
    <w:rsid w:val="009F4D7C"/>
    <w:rsid w:val="00A0438E"/>
    <w:rsid w:val="00A21746"/>
    <w:rsid w:val="00A2302D"/>
    <w:rsid w:val="00A24F31"/>
    <w:rsid w:val="00A308C5"/>
    <w:rsid w:val="00A4775E"/>
    <w:rsid w:val="00A525F2"/>
    <w:rsid w:val="00A52C3A"/>
    <w:rsid w:val="00A5353F"/>
    <w:rsid w:val="00A60CF5"/>
    <w:rsid w:val="00A6264A"/>
    <w:rsid w:val="00A6459A"/>
    <w:rsid w:val="00A668FE"/>
    <w:rsid w:val="00A72886"/>
    <w:rsid w:val="00A763C4"/>
    <w:rsid w:val="00A80D27"/>
    <w:rsid w:val="00A82C09"/>
    <w:rsid w:val="00A902C2"/>
    <w:rsid w:val="00A9087A"/>
    <w:rsid w:val="00A94D72"/>
    <w:rsid w:val="00A95845"/>
    <w:rsid w:val="00AA19F3"/>
    <w:rsid w:val="00AB2998"/>
    <w:rsid w:val="00AB7A09"/>
    <w:rsid w:val="00AC0940"/>
    <w:rsid w:val="00AC2A87"/>
    <w:rsid w:val="00AC5507"/>
    <w:rsid w:val="00AC60DB"/>
    <w:rsid w:val="00AC6C55"/>
    <w:rsid w:val="00AE7DD6"/>
    <w:rsid w:val="00B05380"/>
    <w:rsid w:val="00B05F05"/>
    <w:rsid w:val="00B067D3"/>
    <w:rsid w:val="00B11EB4"/>
    <w:rsid w:val="00B13106"/>
    <w:rsid w:val="00B135B7"/>
    <w:rsid w:val="00B13D84"/>
    <w:rsid w:val="00B22BF4"/>
    <w:rsid w:val="00B24EE5"/>
    <w:rsid w:val="00B41A59"/>
    <w:rsid w:val="00B4290A"/>
    <w:rsid w:val="00B56BC9"/>
    <w:rsid w:val="00B64F31"/>
    <w:rsid w:val="00B651C2"/>
    <w:rsid w:val="00B735B4"/>
    <w:rsid w:val="00B812A2"/>
    <w:rsid w:val="00B81ED0"/>
    <w:rsid w:val="00B83A96"/>
    <w:rsid w:val="00B90076"/>
    <w:rsid w:val="00B92701"/>
    <w:rsid w:val="00B9355B"/>
    <w:rsid w:val="00BA1212"/>
    <w:rsid w:val="00BA21A0"/>
    <w:rsid w:val="00BA7944"/>
    <w:rsid w:val="00BB3A32"/>
    <w:rsid w:val="00BB5684"/>
    <w:rsid w:val="00BB7ACD"/>
    <w:rsid w:val="00BC0FEF"/>
    <w:rsid w:val="00BC4682"/>
    <w:rsid w:val="00BC73A2"/>
    <w:rsid w:val="00BD1346"/>
    <w:rsid w:val="00BE2BD1"/>
    <w:rsid w:val="00BE2C4F"/>
    <w:rsid w:val="00BE6D54"/>
    <w:rsid w:val="00BF0B8F"/>
    <w:rsid w:val="00BF58E1"/>
    <w:rsid w:val="00C01444"/>
    <w:rsid w:val="00C04A13"/>
    <w:rsid w:val="00C10C6A"/>
    <w:rsid w:val="00C13B99"/>
    <w:rsid w:val="00C22146"/>
    <w:rsid w:val="00C26559"/>
    <w:rsid w:val="00C374F3"/>
    <w:rsid w:val="00C408F4"/>
    <w:rsid w:val="00C429EC"/>
    <w:rsid w:val="00C44938"/>
    <w:rsid w:val="00C46769"/>
    <w:rsid w:val="00C46DE1"/>
    <w:rsid w:val="00C47205"/>
    <w:rsid w:val="00C47842"/>
    <w:rsid w:val="00C6128F"/>
    <w:rsid w:val="00C61548"/>
    <w:rsid w:val="00C6202F"/>
    <w:rsid w:val="00C66812"/>
    <w:rsid w:val="00C67D8B"/>
    <w:rsid w:val="00C72192"/>
    <w:rsid w:val="00C72E6E"/>
    <w:rsid w:val="00C73105"/>
    <w:rsid w:val="00C7377B"/>
    <w:rsid w:val="00C80242"/>
    <w:rsid w:val="00C80EC0"/>
    <w:rsid w:val="00C97AA7"/>
    <w:rsid w:val="00CC4A69"/>
    <w:rsid w:val="00CC5A30"/>
    <w:rsid w:val="00CD29A6"/>
    <w:rsid w:val="00CD4335"/>
    <w:rsid w:val="00CE220C"/>
    <w:rsid w:val="00CF3E97"/>
    <w:rsid w:val="00D05141"/>
    <w:rsid w:val="00D056F8"/>
    <w:rsid w:val="00D05782"/>
    <w:rsid w:val="00D066F3"/>
    <w:rsid w:val="00D1252E"/>
    <w:rsid w:val="00D170EC"/>
    <w:rsid w:val="00D2228C"/>
    <w:rsid w:val="00D32294"/>
    <w:rsid w:val="00D3257D"/>
    <w:rsid w:val="00D4272A"/>
    <w:rsid w:val="00D46AAF"/>
    <w:rsid w:val="00D501B0"/>
    <w:rsid w:val="00D532FE"/>
    <w:rsid w:val="00D54105"/>
    <w:rsid w:val="00D60629"/>
    <w:rsid w:val="00D7158E"/>
    <w:rsid w:val="00D76D3B"/>
    <w:rsid w:val="00D76DA3"/>
    <w:rsid w:val="00D824D5"/>
    <w:rsid w:val="00D85B7B"/>
    <w:rsid w:val="00D92535"/>
    <w:rsid w:val="00DA1CE4"/>
    <w:rsid w:val="00DA26D8"/>
    <w:rsid w:val="00DA4EF0"/>
    <w:rsid w:val="00DB060B"/>
    <w:rsid w:val="00DB07E0"/>
    <w:rsid w:val="00DB44A3"/>
    <w:rsid w:val="00DC1C90"/>
    <w:rsid w:val="00DD580F"/>
    <w:rsid w:val="00DE1CCE"/>
    <w:rsid w:val="00DE2603"/>
    <w:rsid w:val="00DF394A"/>
    <w:rsid w:val="00DF4EE0"/>
    <w:rsid w:val="00DF732C"/>
    <w:rsid w:val="00DF73FF"/>
    <w:rsid w:val="00E007BE"/>
    <w:rsid w:val="00E02D76"/>
    <w:rsid w:val="00E03B72"/>
    <w:rsid w:val="00E064E6"/>
    <w:rsid w:val="00E06E3B"/>
    <w:rsid w:val="00E229D7"/>
    <w:rsid w:val="00E235A9"/>
    <w:rsid w:val="00E24599"/>
    <w:rsid w:val="00E251E1"/>
    <w:rsid w:val="00E2667D"/>
    <w:rsid w:val="00E368AB"/>
    <w:rsid w:val="00E4284A"/>
    <w:rsid w:val="00E4635E"/>
    <w:rsid w:val="00E500C4"/>
    <w:rsid w:val="00E511E7"/>
    <w:rsid w:val="00E524DA"/>
    <w:rsid w:val="00E61961"/>
    <w:rsid w:val="00E63EEA"/>
    <w:rsid w:val="00E641CF"/>
    <w:rsid w:val="00E70216"/>
    <w:rsid w:val="00E8093F"/>
    <w:rsid w:val="00E87CA9"/>
    <w:rsid w:val="00E926B0"/>
    <w:rsid w:val="00EA77EA"/>
    <w:rsid w:val="00EB137B"/>
    <w:rsid w:val="00EB202A"/>
    <w:rsid w:val="00EB56EA"/>
    <w:rsid w:val="00EB5AFB"/>
    <w:rsid w:val="00EB623F"/>
    <w:rsid w:val="00EB7208"/>
    <w:rsid w:val="00EB761B"/>
    <w:rsid w:val="00EB7719"/>
    <w:rsid w:val="00EB7B69"/>
    <w:rsid w:val="00EC23F2"/>
    <w:rsid w:val="00EC3EA0"/>
    <w:rsid w:val="00EC5988"/>
    <w:rsid w:val="00ED0ADB"/>
    <w:rsid w:val="00EE00F6"/>
    <w:rsid w:val="00EE7896"/>
    <w:rsid w:val="00EF2CAD"/>
    <w:rsid w:val="00EF2FB1"/>
    <w:rsid w:val="00F17CD1"/>
    <w:rsid w:val="00F2184E"/>
    <w:rsid w:val="00F24D52"/>
    <w:rsid w:val="00F31B35"/>
    <w:rsid w:val="00F31E4A"/>
    <w:rsid w:val="00F33AA0"/>
    <w:rsid w:val="00F4126B"/>
    <w:rsid w:val="00F602B5"/>
    <w:rsid w:val="00F63699"/>
    <w:rsid w:val="00F65FA5"/>
    <w:rsid w:val="00F7069A"/>
    <w:rsid w:val="00F72137"/>
    <w:rsid w:val="00F77BAB"/>
    <w:rsid w:val="00F8187B"/>
    <w:rsid w:val="00F819EA"/>
    <w:rsid w:val="00F85BC6"/>
    <w:rsid w:val="00F86056"/>
    <w:rsid w:val="00F96B67"/>
    <w:rsid w:val="00FA39CC"/>
    <w:rsid w:val="00FA3A10"/>
    <w:rsid w:val="00FA74C0"/>
    <w:rsid w:val="00FB0B1B"/>
    <w:rsid w:val="00FB2AF6"/>
    <w:rsid w:val="00FB79DD"/>
    <w:rsid w:val="00FD3329"/>
    <w:rsid w:val="00FE3062"/>
    <w:rsid w:val="00FF02F1"/>
    <w:rsid w:val="00FF2171"/>
    <w:rsid w:val="00FF6789"/>
    <w:rsid w:val="00FF73AE"/>
    <w:rsid w:val="1A45551C"/>
    <w:rsid w:val="4FE9C866"/>
    <w:rsid w:val="52A5A4FA"/>
    <w:rsid w:val="6253B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B1ADD"/>
  <w15:chartTrackingRefBased/>
  <w15:docId w15:val="{F1935BE3-F415-4394-AD25-7B9910E1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4E"/>
    <w:rPr>
      <w:rFonts w:ascii="Verdana" w:hAnsi="Verdana"/>
      <w:color w:val="000000" w:themeColor="text1"/>
      <w:kern w:val="0"/>
      <w:sz w:val="24"/>
      <w14:ligatures w14:val="none"/>
    </w:rPr>
  </w:style>
  <w:style w:type="paragraph" w:styleId="Heading1">
    <w:name w:val="heading 1"/>
    <w:basedOn w:val="Normal"/>
    <w:next w:val="Normal"/>
    <w:link w:val="Heading1Char"/>
    <w:qFormat/>
    <w:rsid w:val="0059591B"/>
    <w:pPr>
      <w:keepNext/>
      <w:keepLines/>
      <w:outlineLvl w:val="0"/>
    </w:pPr>
    <w:rPr>
      <w:rFonts w:eastAsiaTheme="majorEastAsia" w:cstheme="majorBidi"/>
      <w:b/>
      <w:sz w:val="36"/>
      <w:szCs w:val="40"/>
    </w:rPr>
  </w:style>
  <w:style w:type="paragraph" w:styleId="Heading2">
    <w:name w:val="heading 2"/>
    <w:basedOn w:val="Normal"/>
    <w:next w:val="Normal"/>
    <w:link w:val="Heading2Char"/>
    <w:unhideWhenUsed/>
    <w:qFormat/>
    <w:rsid w:val="00354D5D"/>
    <w:pPr>
      <w:keepNext/>
      <w:keepLines/>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E03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B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B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B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B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96B67"/>
  </w:style>
  <w:style w:type="character" w:customStyle="1" w:styleId="Heading1Char">
    <w:name w:val="Heading 1 Char"/>
    <w:basedOn w:val="DefaultParagraphFont"/>
    <w:link w:val="Heading1"/>
    <w:rsid w:val="0059591B"/>
    <w:rPr>
      <w:rFonts w:ascii="Verdana" w:eastAsiaTheme="majorEastAsia" w:hAnsi="Verdana" w:cstheme="majorBidi"/>
      <w:b/>
      <w:color w:val="000000" w:themeColor="text1"/>
      <w:kern w:val="0"/>
      <w:sz w:val="36"/>
      <w:szCs w:val="40"/>
      <w14:ligatures w14:val="none"/>
    </w:rPr>
  </w:style>
  <w:style w:type="character" w:customStyle="1" w:styleId="Heading2Char">
    <w:name w:val="Heading 2 Char"/>
    <w:basedOn w:val="DefaultParagraphFont"/>
    <w:link w:val="Heading2"/>
    <w:rsid w:val="00354D5D"/>
    <w:rPr>
      <w:rFonts w:ascii="Verdana" w:eastAsiaTheme="majorEastAsia" w:hAnsi="Verdana" w:cstheme="majorBidi"/>
      <w:b/>
      <w:color w:val="000000" w:themeColor="text1"/>
      <w:kern w:val="0"/>
      <w:sz w:val="28"/>
      <w:szCs w:val="32"/>
      <w14:ligatures w14:val="none"/>
    </w:rPr>
  </w:style>
  <w:style w:type="character" w:customStyle="1" w:styleId="Heading3Char">
    <w:name w:val="Heading 3 Char"/>
    <w:basedOn w:val="DefaultParagraphFont"/>
    <w:link w:val="Heading3"/>
    <w:uiPriority w:val="9"/>
    <w:semiHidden/>
    <w:rsid w:val="00E03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B72"/>
    <w:rPr>
      <w:rFonts w:eastAsiaTheme="majorEastAsia" w:cstheme="majorBidi"/>
      <w:color w:val="272727" w:themeColor="text1" w:themeTint="D8"/>
    </w:rPr>
  </w:style>
  <w:style w:type="paragraph" w:styleId="Title">
    <w:name w:val="Title"/>
    <w:basedOn w:val="Normal"/>
    <w:next w:val="Normal"/>
    <w:link w:val="TitleChar"/>
    <w:uiPriority w:val="10"/>
    <w:qFormat/>
    <w:rsid w:val="00E03B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B72"/>
    <w:pPr>
      <w:spacing w:before="160"/>
      <w:jc w:val="center"/>
    </w:pPr>
    <w:rPr>
      <w:i/>
      <w:iCs/>
      <w:color w:val="404040" w:themeColor="text1" w:themeTint="BF"/>
    </w:rPr>
  </w:style>
  <w:style w:type="character" w:customStyle="1" w:styleId="QuoteChar">
    <w:name w:val="Quote Char"/>
    <w:basedOn w:val="DefaultParagraphFont"/>
    <w:link w:val="Quote"/>
    <w:uiPriority w:val="29"/>
    <w:rsid w:val="00E03B72"/>
    <w:rPr>
      <w:i/>
      <w:iCs/>
      <w:color w:val="404040" w:themeColor="text1" w:themeTint="BF"/>
    </w:rPr>
  </w:style>
  <w:style w:type="paragraph" w:styleId="ListParagraph">
    <w:name w:val="List Paragraph"/>
    <w:basedOn w:val="Normal"/>
    <w:uiPriority w:val="34"/>
    <w:qFormat/>
    <w:rsid w:val="00E03B72"/>
    <w:pPr>
      <w:ind w:left="720"/>
      <w:contextualSpacing/>
    </w:pPr>
  </w:style>
  <w:style w:type="character" w:styleId="IntenseEmphasis">
    <w:name w:val="Intense Emphasis"/>
    <w:basedOn w:val="DefaultParagraphFont"/>
    <w:uiPriority w:val="21"/>
    <w:qFormat/>
    <w:rsid w:val="00E03B72"/>
    <w:rPr>
      <w:i/>
      <w:iCs/>
      <w:color w:val="0F4761" w:themeColor="accent1" w:themeShade="BF"/>
    </w:rPr>
  </w:style>
  <w:style w:type="paragraph" w:styleId="IntenseQuote">
    <w:name w:val="Intense Quote"/>
    <w:basedOn w:val="Normal"/>
    <w:next w:val="Normal"/>
    <w:link w:val="IntenseQuoteChar"/>
    <w:uiPriority w:val="30"/>
    <w:qFormat/>
    <w:rsid w:val="00E03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B72"/>
    <w:rPr>
      <w:i/>
      <w:iCs/>
      <w:color w:val="0F4761" w:themeColor="accent1" w:themeShade="BF"/>
    </w:rPr>
  </w:style>
  <w:style w:type="character" w:styleId="IntenseReference">
    <w:name w:val="Intense Reference"/>
    <w:basedOn w:val="DefaultParagraphFont"/>
    <w:uiPriority w:val="32"/>
    <w:qFormat/>
    <w:rsid w:val="00E03B72"/>
    <w:rPr>
      <w:b/>
      <w:bCs/>
      <w:smallCaps/>
      <w:color w:val="0F4761" w:themeColor="accent1" w:themeShade="BF"/>
      <w:spacing w:val="5"/>
    </w:rPr>
  </w:style>
  <w:style w:type="character" w:styleId="Hyperlink">
    <w:name w:val="Hyperlink"/>
    <w:uiPriority w:val="99"/>
    <w:unhideWhenUsed/>
    <w:rsid w:val="00E03B72"/>
    <w:rPr>
      <w:color w:val="0000FF"/>
      <w:u w:val="single"/>
    </w:rPr>
  </w:style>
  <w:style w:type="paragraph" w:styleId="TOC2">
    <w:name w:val="toc 2"/>
    <w:basedOn w:val="Normal"/>
    <w:next w:val="Normal"/>
    <w:autoRedefine/>
    <w:uiPriority w:val="39"/>
    <w:unhideWhenUsed/>
    <w:rsid w:val="0041679F"/>
    <w:pPr>
      <w:tabs>
        <w:tab w:val="right" w:leader="dot" w:pos="12950"/>
      </w:tabs>
      <w:spacing w:before="120"/>
    </w:pPr>
    <w:rPr>
      <w:rFonts w:eastAsia="Times New Roman" w:cs="Times New Roman"/>
      <w:noProof/>
      <w:color w:val="3333FF"/>
      <w:szCs w:val="24"/>
      <w:u w:val="single"/>
    </w:rPr>
  </w:style>
  <w:style w:type="table" w:styleId="TableGrid">
    <w:name w:val="Table Grid"/>
    <w:basedOn w:val="TableNormal"/>
    <w:uiPriority w:val="39"/>
    <w:rsid w:val="00E0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3B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219C5"/>
    <w:rPr>
      <w:rFonts w:ascii="Times New Roman" w:hAnsi="Times New Roman" w:cs="Times New Roman"/>
      <w:szCs w:val="24"/>
    </w:rPr>
  </w:style>
  <w:style w:type="character" w:styleId="FollowedHyperlink">
    <w:name w:val="FollowedHyperlink"/>
    <w:basedOn w:val="DefaultParagraphFont"/>
    <w:uiPriority w:val="99"/>
    <w:semiHidden/>
    <w:unhideWhenUsed/>
    <w:rsid w:val="009219C5"/>
    <w:rPr>
      <w:color w:val="96607D" w:themeColor="followedHyperlink"/>
      <w:u w:val="single"/>
    </w:rPr>
  </w:style>
  <w:style w:type="character" w:styleId="CommentReference">
    <w:name w:val="annotation reference"/>
    <w:basedOn w:val="DefaultParagraphFont"/>
    <w:uiPriority w:val="99"/>
    <w:semiHidden/>
    <w:unhideWhenUsed/>
    <w:rsid w:val="00F63699"/>
    <w:rPr>
      <w:sz w:val="16"/>
      <w:szCs w:val="16"/>
    </w:rPr>
  </w:style>
  <w:style w:type="paragraph" w:styleId="CommentText">
    <w:name w:val="annotation text"/>
    <w:basedOn w:val="Normal"/>
    <w:link w:val="CommentTextChar"/>
    <w:uiPriority w:val="99"/>
    <w:unhideWhenUsed/>
    <w:rsid w:val="00F63699"/>
    <w:rPr>
      <w:sz w:val="20"/>
      <w:szCs w:val="20"/>
    </w:rPr>
  </w:style>
  <w:style w:type="character" w:customStyle="1" w:styleId="CommentTextChar">
    <w:name w:val="Comment Text Char"/>
    <w:basedOn w:val="DefaultParagraphFont"/>
    <w:link w:val="CommentText"/>
    <w:uiPriority w:val="99"/>
    <w:rsid w:val="00F6369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63699"/>
    <w:rPr>
      <w:b/>
      <w:bCs/>
    </w:rPr>
  </w:style>
  <w:style w:type="character" w:customStyle="1" w:styleId="CommentSubjectChar">
    <w:name w:val="Comment Subject Char"/>
    <w:basedOn w:val="CommentTextChar"/>
    <w:link w:val="CommentSubject"/>
    <w:uiPriority w:val="99"/>
    <w:semiHidden/>
    <w:rsid w:val="00F63699"/>
    <w:rPr>
      <w:b/>
      <w:bCs/>
      <w:kern w:val="0"/>
      <w:sz w:val="20"/>
      <w:szCs w:val="20"/>
      <w14:ligatures w14:val="none"/>
    </w:rPr>
  </w:style>
  <w:style w:type="paragraph" w:styleId="Revision">
    <w:name w:val="Revision"/>
    <w:hidden/>
    <w:uiPriority w:val="99"/>
    <w:semiHidden/>
    <w:rsid w:val="00340989"/>
    <w:rPr>
      <w:kern w:val="0"/>
      <w14:ligatures w14:val="none"/>
    </w:rPr>
  </w:style>
  <w:style w:type="paragraph" w:styleId="Header">
    <w:name w:val="header"/>
    <w:basedOn w:val="Normal"/>
    <w:link w:val="HeaderChar"/>
    <w:uiPriority w:val="99"/>
    <w:semiHidden/>
    <w:unhideWhenUsed/>
    <w:rsid w:val="008A325E"/>
    <w:pPr>
      <w:tabs>
        <w:tab w:val="center" w:pos="4680"/>
        <w:tab w:val="right" w:pos="9360"/>
      </w:tabs>
    </w:pPr>
  </w:style>
  <w:style w:type="character" w:customStyle="1" w:styleId="HeaderChar">
    <w:name w:val="Header Char"/>
    <w:basedOn w:val="DefaultParagraphFont"/>
    <w:link w:val="Header"/>
    <w:uiPriority w:val="99"/>
    <w:semiHidden/>
    <w:rsid w:val="008A325E"/>
    <w:rPr>
      <w:kern w:val="0"/>
      <w14:ligatures w14:val="none"/>
    </w:rPr>
  </w:style>
  <w:style w:type="paragraph" w:styleId="Footer">
    <w:name w:val="footer"/>
    <w:basedOn w:val="Normal"/>
    <w:link w:val="FooterChar"/>
    <w:uiPriority w:val="99"/>
    <w:semiHidden/>
    <w:unhideWhenUsed/>
    <w:rsid w:val="008A325E"/>
    <w:pPr>
      <w:tabs>
        <w:tab w:val="center" w:pos="4680"/>
        <w:tab w:val="right" w:pos="9360"/>
      </w:tabs>
    </w:pPr>
  </w:style>
  <w:style w:type="character" w:customStyle="1" w:styleId="FooterChar">
    <w:name w:val="Footer Char"/>
    <w:basedOn w:val="DefaultParagraphFont"/>
    <w:link w:val="Footer"/>
    <w:uiPriority w:val="99"/>
    <w:semiHidden/>
    <w:rsid w:val="008A325E"/>
    <w:rPr>
      <w:kern w:val="0"/>
      <w14:ligatures w14:val="none"/>
    </w:rPr>
  </w:style>
  <w:style w:type="character" w:styleId="UnresolvedMention">
    <w:name w:val="Unresolved Mention"/>
    <w:basedOn w:val="DefaultParagraphFont"/>
    <w:uiPriority w:val="99"/>
    <w:semiHidden/>
    <w:unhideWhenUsed/>
    <w:rsid w:val="00C73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890503">
      <w:bodyDiv w:val="1"/>
      <w:marLeft w:val="0"/>
      <w:marRight w:val="0"/>
      <w:marTop w:val="0"/>
      <w:marBottom w:val="0"/>
      <w:divBdr>
        <w:top w:val="none" w:sz="0" w:space="0" w:color="auto"/>
        <w:left w:val="none" w:sz="0" w:space="0" w:color="auto"/>
        <w:bottom w:val="none" w:sz="0" w:space="0" w:color="auto"/>
        <w:right w:val="none" w:sz="0" w:space="0" w:color="auto"/>
      </w:divBdr>
    </w:div>
    <w:div w:id="1335761632">
      <w:bodyDiv w:val="1"/>
      <w:marLeft w:val="0"/>
      <w:marRight w:val="0"/>
      <w:marTop w:val="0"/>
      <w:marBottom w:val="0"/>
      <w:divBdr>
        <w:top w:val="none" w:sz="0" w:space="0" w:color="auto"/>
        <w:left w:val="none" w:sz="0" w:space="0" w:color="auto"/>
        <w:bottom w:val="none" w:sz="0" w:space="0" w:color="auto"/>
        <w:right w:val="none" w:sz="0" w:space="0" w:color="auto"/>
      </w:divBdr>
    </w:div>
    <w:div w:id="1578973257">
      <w:bodyDiv w:val="1"/>
      <w:marLeft w:val="0"/>
      <w:marRight w:val="0"/>
      <w:marTop w:val="0"/>
      <w:marBottom w:val="0"/>
      <w:divBdr>
        <w:top w:val="none" w:sz="0" w:space="0" w:color="auto"/>
        <w:left w:val="none" w:sz="0" w:space="0" w:color="auto"/>
        <w:bottom w:val="none" w:sz="0" w:space="0" w:color="auto"/>
        <w:right w:val="none" w:sz="0" w:space="0" w:color="auto"/>
      </w:divBdr>
    </w:div>
    <w:div w:id="1922832448">
      <w:bodyDiv w:val="1"/>
      <w:marLeft w:val="0"/>
      <w:marRight w:val="0"/>
      <w:marTop w:val="0"/>
      <w:marBottom w:val="0"/>
      <w:divBdr>
        <w:top w:val="none" w:sz="0" w:space="0" w:color="auto"/>
        <w:left w:val="none" w:sz="0" w:space="0" w:color="auto"/>
        <w:bottom w:val="none" w:sz="0" w:space="0" w:color="auto"/>
        <w:right w:val="none" w:sz="0" w:space="0" w:color="auto"/>
      </w:divBdr>
    </w:div>
    <w:div w:id="1956404361">
      <w:bodyDiv w:val="1"/>
      <w:marLeft w:val="0"/>
      <w:marRight w:val="0"/>
      <w:marTop w:val="0"/>
      <w:marBottom w:val="0"/>
      <w:divBdr>
        <w:top w:val="none" w:sz="0" w:space="0" w:color="auto"/>
        <w:left w:val="none" w:sz="0" w:space="0" w:color="auto"/>
        <w:bottom w:val="none" w:sz="0" w:space="0" w:color="auto"/>
        <w:right w:val="none" w:sz="0" w:space="0" w:color="auto"/>
      </w:divBdr>
      <w:divsChild>
        <w:div w:id="1050422224">
          <w:marLeft w:val="0"/>
          <w:marRight w:val="0"/>
          <w:marTop w:val="0"/>
          <w:marBottom w:val="0"/>
          <w:divBdr>
            <w:top w:val="none" w:sz="0" w:space="0" w:color="auto"/>
            <w:left w:val="none" w:sz="0" w:space="0" w:color="auto"/>
            <w:bottom w:val="none" w:sz="0" w:space="0" w:color="auto"/>
            <w:right w:val="none" w:sz="0" w:space="0" w:color="auto"/>
          </w:divBdr>
        </w:div>
        <w:div w:id="1720931754">
          <w:marLeft w:val="0"/>
          <w:marRight w:val="0"/>
          <w:marTop w:val="0"/>
          <w:marBottom w:val="0"/>
          <w:divBdr>
            <w:top w:val="none" w:sz="0" w:space="0" w:color="auto"/>
            <w:left w:val="none" w:sz="0" w:space="0" w:color="auto"/>
            <w:bottom w:val="none" w:sz="0" w:space="0" w:color="auto"/>
            <w:right w:val="none" w:sz="0" w:space="0" w:color="auto"/>
          </w:divBdr>
        </w:div>
      </w:divsChild>
    </w:div>
    <w:div w:id="21057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omments" Target="comments.xml"/><Relationship Id="rId28"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thesource.cvshealth.com/nuxeo/thesource/"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40b2f69-d51d-46fd-b2fd-fb0b658d9727" xsi:nil="true"/>
    <lcf76f155ced4ddcb4097134ff3c332f xmlns="665ee088-cfa4-4602-8c0a-d551c565f55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BEA34D0A34794D8FDB20BFB1987C97" ma:contentTypeVersion="16" ma:contentTypeDescription="Create a new document." ma:contentTypeScope="" ma:versionID="ff0f4dd71c821b6aa7d889496fcd6fc9">
  <xsd:schema xmlns:xsd="http://www.w3.org/2001/XMLSchema" xmlns:xs="http://www.w3.org/2001/XMLSchema" xmlns:p="http://schemas.microsoft.com/office/2006/metadata/properties" xmlns:ns2="665ee088-cfa4-4602-8c0a-d551c565f554" xmlns:ns3="140b2f69-d51d-46fd-b2fd-fb0b658d9727" targetNamespace="http://schemas.microsoft.com/office/2006/metadata/properties" ma:root="true" ma:fieldsID="3d6e4d2f63326bf2050b64971132576b" ns2:_="" ns3:_="">
    <xsd:import namespace="665ee088-cfa4-4602-8c0a-d551c565f554"/>
    <xsd:import namespace="140b2f69-d51d-46fd-b2fd-fb0b658d97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ee088-cfa4-4602-8c0a-d551c565f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0b2f69-d51d-46fd-b2fd-fb0b658d97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dc783e5-acb6-428d-b7d2-53ec96327519}" ma:internalName="TaxCatchAll" ma:showField="CatchAllData" ma:web="140b2f69-d51d-46fd-b2fd-fb0b658d97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5ABEB2-CF77-4B20-BC11-5510FF4AAB76}">
  <ds:schemaRefs>
    <ds:schemaRef ds:uri="http://schemas.microsoft.com/office/2006/metadata/properties"/>
    <ds:schemaRef ds:uri="http://schemas.microsoft.com/office/infopath/2007/PartnerControls"/>
    <ds:schemaRef ds:uri="140b2f69-d51d-46fd-b2fd-fb0b658d9727"/>
    <ds:schemaRef ds:uri="665ee088-cfa4-4602-8c0a-d551c565f554"/>
  </ds:schemaRefs>
</ds:datastoreItem>
</file>

<file path=customXml/itemProps2.xml><?xml version="1.0" encoding="utf-8"?>
<ds:datastoreItem xmlns:ds="http://schemas.openxmlformats.org/officeDocument/2006/customXml" ds:itemID="{0C851785-2F20-4C5F-AD3F-775E9352BB31}">
  <ds:schemaRefs>
    <ds:schemaRef ds:uri="http://schemas.openxmlformats.org/officeDocument/2006/bibliography"/>
  </ds:schemaRefs>
</ds:datastoreItem>
</file>

<file path=customXml/itemProps3.xml><?xml version="1.0" encoding="utf-8"?>
<ds:datastoreItem xmlns:ds="http://schemas.openxmlformats.org/officeDocument/2006/customXml" ds:itemID="{6282D494-8FD0-4095-BEA6-BC2A7AA5D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ee088-cfa4-4602-8c0a-d551c565f554"/>
    <ds:schemaRef ds:uri="140b2f69-d51d-46fd-b2fd-fb0b658d9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7103A1-0B40-4B22-9258-9F8E6624EE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Links>
    <vt:vector size="90" baseType="variant">
      <vt:variant>
        <vt:i4>262192</vt:i4>
      </vt:variant>
      <vt:variant>
        <vt:i4>45</vt:i4>
      </vt:variant>
      <vt:variant>
        <vt:i4>0</vt:i4>
      </vt:variant>
      <vt:variant>
        <vt:i4>5</vt:i4>
      </vt:variant>
      <vt:variant>
        <vt:lpwstr/>
      </vt:variant>
      <vt:variant>
        <vt:lpwstr>_top</vt:lpwstr>
      </vt:variant>
      <vt:variant>
        <vt:i4>1310793</vt:i4>
      </vt:variant>
      <vt:variant>
        <vt:i4>42</vt:i4>
      </vt:variant>
      <vt:variant>
        <vt:i4>0</vt:i4>
      </vt:variant>
      <vt:variant>
        <vt:i4>5</vt:i4>
      </vt:variant>
      <vt:variant>
        <vt:lpwstr>https://thesource.cvshealth.com/nuxeo/thesource/</vt:lpwstr>
      </vt:variant>
      <vt:variant>
        <vt:lpwstr>!/view?docid=ca9a6da8-e7b6-4eaf-aa3d-0c75eb4a6f06</vt:lpwstr>
      </vt:variant>
      <vt:variant>
        <vt:i4>4849738</vt:i4>
      </vt:variant>
      <vt:variant>
        <vt:i4>39</vt:i4>
      </vt:variant>
      <vt:variant>
        <vt:i4>0</vt:i4>
      </vt:variant>
      <vt:variant>
        <vt:i4>5</vt:i4>
      </vt:variant>
      <vt:variant>
        <vt:lpwstr>https://thesource.cvshealth.com/nuxeo/thesource/</vt:lpwstr>
      </vt:variant>
      <vt:variant>
        <vt:lpwstr>!/view?docid=8cf6bbce-ecb4-4e1a-a688-bafa0707b275</vt:lpwstr>
      </vt:variant>
      <vt:variant>
        <vt:i4>1704010</vt:i4>
      </vt:variant>
      <vt:variant>
        <vt:i4>36</vt:i4>
      </vt:variant>
      <vt:variant>
        <vt:i4>0</vt:i4>
      </vt:variant>
      <vt:variant>
        <vt:i4>5</vt:i4>
      </vt:variant>
      <vt:variant>
        <vt:lpwstr>https://thesource.cvshealth.com/nuxeo/thesource/</vt:lpwstr>
      </vt:variant>
      <vt:variant>
        <vt:lpwstr>!/view?docid=947b0b38-401d-4b18-a08e-60348558a9b9</vt:lpwstr>
      </vt:variant>
      <vt:variant>
        <vt:i4>262192</vt:i4>
      </vt:variant>
      <vt:variant>
        <vt:i4>33</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262192</vt:i4>
      </vt:variant>
      <vt:variant>
        <vt:i4>27</vt:i4>
      </vt:variant>
      <vt:variant>
        <vt:i4>0</vt:i4>
      </vt:variant>
      <vt:variant>
        <vt:i4>5</vt:i4>
      </vt:variant>
      <vt:variant>
        <vt:lpwstr/>
      </vt:variant>
      <vt:variant>
        <vt:lpwstr>_top</vt:lpwstr>
      </vt: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1966141</vt:i4>
      </vt:variant>
      <vt:variant>
        <vt:i4>17</vt:i4>
      </vt:variant>
      <vt:variant>
        <vt:i4>0</vt:i4>
      </vt:variant>
      <vt:variant>
        <vt:i4>5</vt:i4>
      </vt:variant>
      <vt:variant>
        <vt:lpwstr/>
      </vt:variant>
      <vt:variant>
        <vt:lpwstr>_Toc204935855</vt:lpwstr>
      </vt:variant>
      <vt:variant>
        <vt:i4>1966141</vt:i4>
      </vt:variant>
      <vt:variant>
        <vt:i4>14</vt:i4>
      </vt:variant>
      <vt:variant>
        <vt:i4>0</vt:i4>
      </vt:variant>
      <vt:variant>
        <vt:i4>5</vt:i4>
      </vt:variant>
      <vt:variant>
        <vt:lpwstr/>
      </vt:variant>
      <vt:variant>
        <vt:lpwstr>_Toc204935854</vt:lpwstr>
      </vt:variant>
      <vt:variant>
        <vt:i4>1966141</vt:i4>
      </vt:variant>
      <vt:variant>
        <vt:i4>11</vt:i4>
      </vt:variant>
      <vt:variant>
        <vt:i4>0</vt:i4>
      </vt:variant>
      <vt:variant>
        <vt:i4>5</vt:i4>
      </vt:variant>
      <vt:variant>
        <vt:lpwstr/>
      </vt:variant>
      <vt:variant>
        <vt:lpwstr>_Toc204935853</vt:lpwstr>
      </vt:variant>
      <vt:variant>
        <vt:i4>1966141</vt:i4>
      </vt:variant>
      <vt:variant>
        <vt:i4>8</vt:i4>
      </vt:variant>
      <vt:variant>
        <vt:i4>0</vt:i4>
      </vt:variant>
      <vt:variant>
        <vt:i4>5</vt:i4>
      </vt:variant>
      <vt:variant>
        <vt:lpwstr/>
      </vt:variant>
      <vt:variant>
        <vt:lpwstr>_Toc204935852</vt:lpwstr>
      </vt:variant>
      <vt:variant>
        <vt:i4>1966141</vt:i4>
      </vt:variant>
      <vt:variant>
        <vt:i4>5</vt:i4>
      </vt:variant>
      <vt:variant>
        <vt:i4>0</vt:i4>
      </vt:variant>
      <vt:variant>
        <vt:i4>5</vt:i4>
      </vt:variant>
      <vt:variant>
        <vt:lpwstr/>
      </vt:variant>
      <vt:variant>
        <vt:lpwstr>_Toc204935851</vt:lpwstr>
      </vt:variant>
      <vt:variant>
        <vt:i4>1966141</vt:i4>
      </vt:variant>
      <vt:variant>
        <vt:i4>2</vt:i4>
      </vt:variant>
      <vt:variant>
        <vt:i4>0</vt:i4>
      </vt:variant>
      <vt:variant>
        <vt:i4>5</vt:i4>
      </vt:variant>
      <vt:variant>
        <vt:lpwstr/>
      </vt:variant>
      <vt:variant>
        <vt:lpwstr>_Toc204935850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Schoenstein, Holly C</cp:lastModifiedBy>
  <cp:revision>3</cp:revision>
  <dcterms:created xsi:type="dcterms:W3CDTF">2025-08-01T14:22:00Z</dcterms:created>
  <dcterms:modified xsi:type="dcterms:W3CDTF">2025-08-01T14:26:00Z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2024-03-06T20:46:54Z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fa165bc4-dc87-4a6a-bb96-ed17f47c9432</vt:lpwstr>
  </property>
  <property fmtid="{D5CDD505-2E9C-101B-9397-08002B2CF9AE}" pid="8" name="MSIP_Label_1ecdf243-b9b0-4f63-8694-76742e4201b7_ContentBits">
    <vt:lpwstr>0</vt:lpwstr>
  </property>
  <property fmtid="{D5CDD505-2E9C-101B-9397-08002B2CF9AE}" pid="9" name="ContentTypeId">
    <vt:lpwstr>0x010100B6BEA34D0A34794D8FDB20BFB1987C97</vt:lpwstr>
  </property>
  <property fmtid="{D5CDD505-2E9C-101B-9397-08002B2CF9AE}" pid="10" name="MediaServiceImageTags">
    <vt:lpwstr/>
  </property>
</Properties>
</file>