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DCE21" w14:textId="77777777" w:rsidR="00A430D2" w:rsidRDefault="006701E0" w:rsidP="00A430D2">
      <w:pPr>
        <w:pStyle w:val="Heading1"/>
        <w:spacing w:before="120" w:after="120"/>
      </w:pPr>
      <w:bookmarkStart w:id="0" w:name="_top"/>
      <w:bookmarkEnd w:id="0"/>
      <w:r w:rsidRPr="00CC2203">
        <w:t>Formulary Change in Diabetic Supply Coverage Starting July 1, 2025</w:t>
      </w:r>
      <w:r w:rsidR="0058059E" w:rsidRPr="00CC2203">
        <w:t xml:space="preserve"> </w:t>
      </w:r>
    </w:p>
    <w:p w14:paraId="181A7AB9" w14:textId="77777777" w:rsidR="006C34E9" w:rsidRDefault="006C34E9" w:rsidP="006C34E9">
      <w:pPr>
        <w:pStyle w:val="TOC2"/>
      </w:pPr>
    </w:p>
    <w:p w14:paraId="3B65D9AE" w14:textId="6A6C95B1" w:rsidR="00E30C79" w:rsidRDefault="00FD7C3A" w:rsidP="00E30C79">
      <w:pPr>
        <w:rPr>
          <w:rFonts w:asciiTheme="minorHAnsi" w:eastAsiaTheme="minorEastAsia" w:hAnsiTheme="minorHAnsi"/>
          <w:noProof/>
          <w:szCs w:val="24"/>
        </w:rPr>
      </w:pPr>
      <w:r w:rsidRPr="00FD7C3A">
        <w:fldChar w:fldCharType="begin"/>
      </w:r>
      <w:r w:rsidRPr="00CC2203">
        <w:instrText xml:space="preserve"> TOC \o "2-2" \n \p " " \h \z \u </w:instrText>
      </w:r>
      <w:r w:rsidRPr="00FD7C3A">
        <w:fldChar w:fldCharType="separate"/>
      </w:r>
      <w:hyperlink w:anchor="_Toc205999420" w:history="1">
        <w:r w:rsidR="00E30C79" w:rsidRPr="004A0411">
          <w:rPr>
            <w:rStyle w:val="Hyperlink"/>
            <w:noProof/>
          </w:rPr>
          <w:t>Impacted Members</w:t>
        </w:r>
      </w:hyperlink>
    </w:p>
    <w:p w14:paraId="4D5CB89C" w14:textId="357A6CE6" w:rsidR="00E30C79" w:rsidRDefault="00E30C79" w:rsidP="00E30C79">
      <w:pPr>
        <w:rPr>
          <w:rFonts w:asciiTheme="minorHAnsi" w:eastAsiaTheme="minorEastAsia" w:hAnsiTheme="minorHAnsi"/>
          <w:noProof/>
          <w:szCs w:val="24"/>
        </w:rPr>
      </w:pPr>
      <w:hyperlink w:anchor="_Toc205999421" w:history="1">
        <w:r w:rsidRPr="004A0411">
          <w:rPr>
            <w:rStyle w:val="Hyperlink"/>
            <w:noProof/>
          </w:rPr>
          <w:t>Key Changes</w:t>
        </w:r>
      </w:hyperlink>
    </w:p>
    <w:p w14:paraId="79230EB0" w14:textId="701F7C0C" w:rsidR="00E30C79" w:rsidRDefault="00E30C79" w:rsidP="00E30C79">
      <w:pPr>
        <w:rPr>
          <w:rFonts w:asciiTheme="minorHAnsi" w:eastAsiaTheme="minorEastAsia" w:hAnsiTheme="minorHAnsi"/>
          <w:noProof/>
          <w:szCs w:val="24"/>
        </w:rPr>
      </w:pPr>
      <w:hyperlink w:anchor="_Toc205999422" w:history="1">
        <w:r w:rsidRPr="004A0411">
          <w:rPr>
            <w:rStyle w:val="Hyperlink"/>
            <w:noProof/>
          </w:rPr>
          <w:t>Communication to Members</w:t>
        </w:r>
      </w:hyperlink>
    </w:p>
    <w:p w14:paraId="50F763DB" w14:textId="6BB8CD5F" w:rsidR="00E30C79" w:rsidRDefault="00E30C79" w:rsidP="00E30C79">
      <w:pPr>
        <w:rPr>
          <w:rFonts w:asciiTheme="minorHAnsi" w:eastAsiaTheme="minorEastAsia" w:hAnsiTheme="minorHAnsi"/>
          <w:noProof/>
          <w:szCs w:val="24"/>
        </w:rPr>
      </w:pPr>
      <w:hyperlink w:anchor="_Toc205999423" w:history="1">
        <w:r w:rsidRPr="004A0411">
          <w:rPr>
            <w:rStyle w:val="Hyperlink"/>
            <w:noProof/>
          </w:rPr>
          <w:t>Action for Members</w:t>
        </w:r>
      </w:hyperlink>
    </w:p>
    <w:p w14:paraId="3DBEB462" w14:textId="7416C55C" w:rsidR="00E30C79" w:rsidRDefault="00E30C79" w:rsidP="00E30C79">
      <w:pPr>
        <w:rPr>
          <w:rFonts w:asciiTheme="minorHAnsi" w:eastAsiaTheme="minorEastAsia" w:hAnsiTheme="minorHAnsi"/>
          <w:noProof/>
          <w:szCs w:val="24"/>
        </w:rPr>
      </w:pPr>
      <w:hyperlink w:anchor="_Toc205999424" w:history="1">
        <w:r w:rsidRPr="004A0411">
          <w:rPr>
            <w:rStyle w:val="Hyperlink"/>
            <w:noProof/>
          </w:rPr>
          <w:t>Action for Care Agents</w:t>
        </w:r>
      </w:hyperlink>
    </w:p>
    <w:p w14:paraId="581AD5B0" w14:textId="5B2A7EC6" w:rsidR="00E30C79" w:rsidRDefault="00E30C79" w:rsidP="00E30C79">
      <w:pPr>
        <w:rPr>
          <w:rFonts w:asciiTheme="minorHAnsi" w:eastAsiaTheme="minorEastAsia" w:hAnsiTheme="minorHAnsi"/>
          <w:noProof/>
          <w:szCs w:val="24"/>
        </w:rPr>
      </w:pPr>
      <w:hyperlink w:anchor="_Toc205999425" w:history="1">
        <w:r w:rsidRPr="004A0411">
          <w:rPr>
            <w:rStyle w:val="Hyperlink"/>
            <w:noProof/>
          </w:rPr>
          <w:t>Related Documents</w:t>
        </w:r>
      </w:hyperlink>
    </w:p>
    <w:p w14:paraId="60BCFC5A" w14:textId="1884A2B9" w:rsidR="00151464" w:rsidRDefault="00FD7C3A" w:rsidP="00E30C79">
      <w:pPr>
        <w:rPr>
          <w:szCs w:val="24"/>
        </w:rPr>
      </w:pPr>
      <w:r w:rsidRPr="00FD7C3A">
        <w:rPr>
          <w:szCs w:val="24"/>
        </w:rPr>
        <w:fldChar w:fldCharType="end"/>
      </w:r>
    </w:p>
    <w:p w14:paraId="6D50315D" w14:textId="035EA3C2" w:rsidR="006701E0" w:rsidRDefault="006701E0" w:rsidP="00A430D2">
      <w:pPr>
        <w:spacing w:before="120" w:after="120"/>
        <w:rPr>
          <w:szCs w:val="24"/>
        </w:rPr>
      </w:pPr>
      <w:r>
        <w:rPr>
          <w:b/>
          <w:bCs/>
          <w:szCs w:val="24"/>
        </w:rPr>
        <w:t xml:space="preserve">Description: </w:t>
      </w:r>
      <w:r w:rsidRPr="006701E0">
        <w:rPr>
          <w:szCs w:val="24"/>
        </w:rPr>
        <w:t>As of July 1, 2025, CVS Caremark will no longer cover One Touch test strips, lancets, diabetic testing meters, or any other One Touch diabetic supplies</w:t>
      </w:r>
      <w:r w:rsidR="00000485">
        <w:rPr>
          <w:szCs w:val="24"/>
        </w:rPr>
        <w:t xml:space="preserve"> on </w:t>
      </w:r>
      <w:r w:rsidR="00206209" w:rsidRPr="0055301D">
        <w:rPr>
          <w:szCs w:val="24"/>
        </w:rPr>
        <w:t xml:space="preserve">select formularies (Caremark Standard/Choice formularies) </w:t>
      </w:r>
      <w:r w:rsidR="00206209">
        <w:rPr>
          <w:szCs w:val="24"/>
        </w:rPr>
        <w:t>but the change</w:t>
      </w:r>
      <w:r w:rsidR="00206209" w:rsidRPr="0055301D">
        <w:rPr>
          <w:szCs w:val="24"/>
        </w:rPr>
        <w:t xml:space="preserve"> will not affect custom formularies.</w:t>
      </w:r>
      <w:r w:rsidRPr="006701E0">
        <w:rPr>
          <w:szCs w:val="24"/>
        </w:rPr>
        <w:t xml:space="preserve"> Instead, CVS Caremark will cover the Accu-Chek brand. This job aid provides essential information for customer care agents to assist members effectively during this transition.</w:t>
      </w:r>
    </w:p>
    <w:p w14:paraId="4BE75B3F" w14:textId="77777777" w:rsidR="00151464" w:rsidRDefault="00151464" w:rsidP="00A430D2">
      <w:pPr>
        <w:spacing w:before="120" w:after="120"/>
        <w:rPr>
          <w:szCs w:val="24"/>
        </w:rPr>
      </w:pPr>
    </w:p>
    <w:tbl>
      <w:tblPr>
        <w:tblStyle w:val="TableGrid"/>
        <w:tblW w:w="5000" w:type="pct"/>
        <w:tblLook w:val="04A0" w:firstRow="1" w:lastRow="0" w:firstColumn="1" w:lastColumn="0" w:noHBand="0" w:noVBand="1"/>
      </w:tblPr>
      <w:tblGrid>
        <w:gridCol w:w="9350"/>
      </w:tblGrid>
      <w:tr w:rsidR="00967837" w14:paraId="1D9A2FE3" w14:textId="77777777" w:rsidTr="000D2439">
        <w:tc>
          <w:tcPr>
            <w:tcW w:w="5000" w:type="pct"/>
            <w:shd w:val="clear" w:color="auto" w:fill="BFBFBF" w:themeFill="background1" w:themeFillShade="BF"/>
          </w:tcPr>
          <w:p w14:paraId="251E7C7B" w14:textId="048A3415" w:rsidR="00967837" w:rsidRDefault="00967837" w:rsidP="000A1D3B">
            <w:pPr>
              <w:pStyle w:val="Heading2"/>
              <w:spacing w:before="120" w:after="120"/>
            </w:pPr>
            <w:bookmarkStart w:id="1" w:name="_Toc205999420"/>
            <w:r>
              <w:t xml:space="preserve">Impacted </w:t>
            </w:r>
            <w:r w:rsidR="000D2439">
              <w:t>Members</w:t>
            </w:r>
            <w:bookmarkEnd w:id="1"/>
          </w:p>
        </w:tc>
      </w:tr>
    </w:tbl>
    <w:p w14:paraId="3BC5950B" w14:textId="4DF684BD" w:rsidR="002C4567" w:rsidRDefault="000D2439" w:rsidP="000D2439">
      <w:pPr>
        <w:spacing w:before="120" w:after="120" w:line="240" w:lineRule="auto"/>
        <w:rPr>
          <w:rFonts w:eastAsia="Times New Roman" w:cs="Times New Roman"/>
          <w:color w:val="000000"/>
          <w:kern w:val="0"/>
          <w:szCs w:val="24"/>
          <w14:ligatures w14:val="none"/>
        </w:rPr>
      </w:pPr>
      <w:r w:rsidRPr="003C718D">
        <w:rPr>
          <w:rFonts w:eastAsia="Times New Roman" w:cs="Times New Roman"/>
          <w:color w:val="000000"/>
          <w:kern w:val="0"/>
          <w:szCs w:val="24"/>
          <w14:ligatures w14:val="none"/>
        </w:rPr>
        <w:t> </w:t>
      </w:r>
      <w:r w:rsidRPr="0063105F">
        <w:rPr>
          <w:rFonts w:eastAsia="Times New Roman" w:cs="Times New Roman"/>
          <w:color w:val="000000"/>
          <w:kern w:val="0"/>
          <w:szCs w:val="24"/>
          <w14:ligatures w14:val="none"/>
        </w:rPr>
        <w:t xml:space="preserve"> </w:t>
      </w:r>
      <w:r w:rsidR="00357FDC" w:rsidRPr="0021494E">
        <w:rPr>
          <w:noProof/>
          <w:szCs w:val="24"/>
        </w:rPr>
        <w:drawing>
          <wp:inline distT="0" distB="0" distL="0" distR="0" wp14:anchorId="2FECD728" wp14:editId="2C06E0B7">
            <wp:extent cx="241935" cy="210185"/>
            <wp:effectExtent l="0" t="0" r="5715" b="0"/>
            <wp:docPr id="103750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 cy="210185"/>
                    </a:xfrm>
                    <a:prstGeom prst="rect">
                      <a:avLst/>
                    </a:prstGeom>
                    <a:noFill/>
                    <a:ln>
                      <a:noFill/>
                    </a:ln>
                  </pic:spPr>
                </pic:pic>
              </a:graphicData>
            </a:graphic>
          </wp:inline>
        </w:drawing>
      </w:r>
      <w:r w:rsidR="00357FDC" w:rsidRPr="00AA16CC">
        <w:rPr>
          <w:rFonts w:eastAsia="Times New Roman" w:cs="Times New Roman"/>
          <w:color w:val="000000"/>
          <w:kern w:val="0"/>
          <w:szCs w:val="24"/>
          <w14:ligatures w14:val="none"/>
        </w:rPr>
        <w:t xml:space="preserve"> </w:t>
      </w:r>
      <w:r w:rsidR="00357FDC" w:rsidRPr="0021494E">
        <w:rPr>
          <w:rFonts w:eastAsia="Times New Roman" w:cs="Times New Roman"/>
          <w:color w:val="000000"/>
          <w:kern w:val="0"/>
          <w:szCs w:val="24"/>
          <w14:ligatures w14:val="none"/>
        </w:rPr>
        <w:t xml:space="preserve"> </w:t>
      </w:r>
      <w:r w:rsidR="00357FDC">
        <w:rPr>
          <w:rFonts w:eastAsia="Times New Roman" w:cs="Times New Roman"/>
          <w:color w:val="000000"/>
          <w:kern w:val="0"/>
          <w:szCs w:val="24"/>
          <w14:ligatures w14:val="none"/>
        </w:rPr>
        <w:t>The Formulary Change took place on 07/01, rely on your tools to determine coverage for members</w:t>
      </w:r>
      <w:r w:rsidR="00357FDC" w:rsidRPr="0021494E">
        <w:rPr>
          <w:rFonts w:eastAsia="Times New Roman" w:cs="Times New Roman"/>
          <w:color w:val="000000"/>
          <w:kern w:val="0"/>
          <w:szCs w:val="24"/>
          <w14:ligatures w14:val="none"/>
        </w:rPr>
        <w:t xml:space="preserve">: </w:t>
      </w:r>
    </w:p>
    <w:p w14:paraId="52BA97B8" w14:textId="054F1C28" w:rsidR="002C211A" w:rsidRPr="00D8286B" w:rsidRDefault="002C211A" w:rsidP="00D8286B">
      <w:pPr>
        <w:pStyle w:val="ListParagraph"/>
        <w:numPr>
          <w:ilvl w:val="0"/>
          <w:numId w:val="22"/>
        </w:numPr>
        <w:spacing w:before="120" w:after="120" w:line="240" w:lineRule="auto"/>
        <w:ind w:left="1440"/>
        <w:rPr>
          <w:rFonts w:eastAsia="Times New Roman" w:cs="Times New Roman"/>
          <w:color w:val="000000"/>
          <w:kern w:val="0"/>
          <w:szCs w:val="24"/>
          <w14:ligatures w14:val="none"/>
        </w:rPr>
      </w:pPr>
      <w:r w:rsidRPr="00D8286B">
        <w:rPr>
          <w:rFonts w:eastAsia="Times New Roman" w:cs="Times New Roman"/>
          <w:color w:val="000000"/>
          <w:kern w:val="0"/>
          <w:szCs w:val="24"/>
          <w14:ligatures w14:val="none"/>
        </w:rPr>
        <w:t>Review</w:t>
      </w:r>
      <w:r w:rsidR="00A428CE" w:rsidRPr="00D8286B">
        <w:rPr>
          <w:rFonts w:eastAsia="Times New Roman" w:cs="Times New Roman"/>
          <w:color w:val="000000"/>
          <w:kern w:val="0"/>
          <w:szCs w:val="24"/>
          <w14:ligatures w14:val="none"/>
        </w:rPr>
        <w:t xml:space="preserve"> the CIF</w:t>
      </w:r>
      <w:r w:rsidR="008B1F64">
        <w:rPr>
          <w:rFonts w:eastAsia="Times New Roman" w:cs="Times New Roman"/>
          <w:color w:val="000000"/>
          <w:kern w:val="0"/>
          <w:szCs w:val="24"/>
          <w14:ligatures w14:val="none"/>
        </w:rPr>
        <w:t>.</w:t>
      </w:r>
      <w:r w:rsidR="00A428CE" w:rsidRPr="00D8286B">
        <w:rPr>
          <w:rFonts w:eastAsia="Times New Roman" w:cs="Times New Roman"/>
          <w:color w:val="000000"/>
          <w:kern w:val="0"/>
          <w:szCs w:val="24"/>
          <w14:ligatures w14:val="none"/>
        </w:rPr>
        <w:t xml:space="preserve"> </w:t>
      </w:r>
    </w:p>
    <w:p w14:paraId="2427693E" w14:textId="46F7E7AC" w:rsidR="00715C4C" w:rsidRDefault="00273D80" w:rsidP="00D8286B">
      <w:pPr>
        <w:pStyle w:val="ListParagraph"/>
        <w:numPr>
          <w:ilvl w:val="0"/>
          <w:numId w:val="22"/>
        </w:numPr>
        <w:spacing w:before="120" w:after="120" w:line="240" w:lineRule="auto"/>
        <w:ind w:left="1440"/>
        <w:rPr>
          <w:rFonts w:eastAsia="Times New Roman" w:cs="Times New Roman"/>
          <w:color w:val="000000"/>
          <w:kern w:val="0"/>
          <w:szCs w:val="24"/>
          <w14:ligatures w14:val="none"/>
        </w:rPr>
      </w:pPr>
      <w:r>
        <w:rPr>
          <w:rFonts w:eastAsia="Times New Roman" w:cs="Times New Roman"/>
          <w:color w:val="000000"/>
          <w:kern w:val="0"/>
          <w:szCs w:val="24"/>
          <w14:ligatures w14:val="none"/>
        </w:rPr>
        <w:t>R</w:t>
      </w:r>
      <w:r w:rsidR="00FF639A" w:rsidRPr="00FF639A">
        <w:rPr>
          <w:rFonts w:eastAsia="Times New Roman" w:cs="Times New Roman"/>
          <w:color w:val="000000"/>
          <w:kern w:val="0"/>
          <w:szCs w:val="24"/>
          <w14:ligatures w14:val="none"/>
        </w:rPr>
        <w:t xml:space="preserve">un a test claim </w:t>
      </w:r>
      <w:r w:rsidR="00ED0A36">
        <w:rPr>
          <w:rFonts w:eastAsia="Times New Roman" w:cs="Times New Roman"/>
          <w:color w:val="000000"/>
          <w:kern w:val="0"/>
          <w:szCs w:val="24"/>
          <w14:ligatures w14:val="none"/>
        </w:rPr>
        <w:t>before</w:t>
      </w:r>
      <w:r w:rsidR="00FF639A" w:rsidRPr="00FF639A">
        <w:rPr>
          <w:rFonts w:eastAsia="Times New Roman" w:cs="Times New Roman"/>
          <w:color w:val="000000"/>
          <w:kern w:val="0"/>
          <w:szCs w:val="24"/>
          <w14:ligatures w14:val="none"/>
        </w:rPr>
        <w:t xml:space="preserve"> providing coverage details</w:t>
      </w:r>
      <w:r w:rsidR="002811AE">
        <w:rPr>
          <w:rFonts w:eastAsia="Times New Roman" w:cs="Times New Roman"/>
          <w:color w:val="000000"/>
          <w:kern w:val="0"/>
          <w:szCs w:val="24"/>
          <w14:ligatures w14:val="none"/>
        </w:rPr>
        <w:t xml:space="preserve"> </w:t>
      </w:r>
      <w:r w:rsidR="00D67EC1">
        <w:rPr>
          <w:rFonts w:eastAsia="Times New Roman" w:cs="Times New Roman"/>
          <w:color w:val="000000"/>
          <w:kern w:val="0"/>
          <w:szCs w:val="24"/>
          <w14:ligatures w14:val="none"/>
        </w:rPr>
        <w:t xml:space="preserve">to </w:t>
      </w:r>
      <w:r w:rsidR="00BB3EA0">
        <w:rPr>
          <w:rFonts w:eastAsia="Times New Roman" w:cs="Times New Roman"/>
          <w:color w:val="000000"/>
          <w:kern w:val="0"/>
          <w:szCs w:val="24"/>
          <w14:ligatures w14:val="none"/>
        </w:rPr>
        <w:t xml:space="preserve">ensure </w:t>
      </w:r>
      <w:r w:rsidR="00063438" w:rsidRPr="00FF639A">
        <w:rPr>
          <w:rFonts w:eastAsia="Times New Roman" w:cs="Times New Roman"/>
          <w:color w:val="000000"/>
          <w:kern w:val="0"/>
          <w:szCs w:val="24"/>
          <w14:ligatures w14:val="none"/>
        </w:rPr>
        <w:t xml:space="preserve">accurate information </w:t>
      </w:r>
      <w:r w:rsidR="0012439C">
        <w:rPr>
          <w:rFonts w:eastAsia="Times New Roman" w:cs="Times New Roman"/>
          <w:color w:val="000000"/>
          <w:kern w:val="0"/>
          <w:szCs w:val="24"/>
          <w14:ligatures w14:val="none"/>
        </w:rPr>
        <w:t xml:space="preserve">is communicated to members </w:t>
      </w:r>
      <w:r w:rsidR="00063438" w:rsidRPr="00FF639A">
        <w:rPr>
          <w:rFonts w:eastAsia="Times New Roman" w:cs="Times New Roman"/>
          <w:color w:val="000000"/>
          <w:kern w:val="0"/>
          <w:szCs w:val="24"/>
          <w14:ligatures w14:val="none"/>
        </w:rPr>
        <w:t>regarding formulary changes</w:t>
      </w:r>
      <w:r w:rsidR="00FF639A" w:rsidRPr="00FF639A">
        <w:rPr>
          <w:rFonts w:eastAsia="Times New Roman" w:cs="Times New Roman"/>
          <w:color w:val="000000"/>
          <w:kern w:val="0"/>
          <w:szCs w:val="24"/>
          <w14:ligatures w14:val="none"/>
        </w:rPr>
        <w:t>.</w:t>
      </w:r>
      <w:r w:rsidR="00F05F38">
        <w:rPr>
          <w:rFonts w:eastAsia="Times New Roman" w:cs="Times New Roman"/>
          <w:color w:val="000000"/>
          <w:kern w:val="0"/>
          <w:szCs w:val="24"/>
          <w14:ligatures w14:val="none"/>
        </w:rPr>
        <w:t xml:space="preserve"> Refer to </w:t>
      </w:r>
      <w:hyperlink r:id="rId10" w:anchor="!/view?docid=60c20ea0-1d07-46e3-809a-b54734b80fbe" w:history="1">
        <w:r w:rsidR="00F05F38" w:rsidRPr="0035159A">
          <w:rPr>
            <w:rStyle w:val="Hyperlink"/>
            <w:rFonts w:eastAsia="Times New Roman" w:cs="Times New Roman"/>
            <w:kern w:val="0"/>
            <w:szCs w:val="24"/>
            <w14:ligatures w14:val="none"/>
          </w:rPr>
          <w:t>Compass - Test Claims (050041)</w:t>
        </w:r>
      </w:hyperlink>
      <w:r w:rsidR="00F05F38" w:rsidRPr="003C718D">
        <w:rPr>
          <w:rFonts w:eastAsia="Times New Roman" w:cs="Times New Roman"/>
          <w:color w:val="000000"/>
          <w:kern w:val="0"/>
          <w:szCs w:val="24"/>
          <w14:ligatures w14:val="none"/>
        </w:rPr>
        <w:t>, as needed.</w:t>
      </w:r>
    </w:p>
    <w:p w14:paraId="1D8A233F" w14:textId="2F7F93B7" w:rsidR="00A428CE" w:rsidRPr="003542F7" w:rsidRDefault="00273D80" w:rsidP="00D8286B">
      <w:pPr>
        <w:pStyle w:val="ListParagraph"/>
        <w:spacing w:before="120" w:after="120" w:line="240" w:lineRule="auto"/>
        <w:ind w:left="1440"/>
        <w:rPr>
          <w:rFonts w:eastAsia="Times New Roman" w:cs="Times New Roman"/>
          <w:color w:val="000000"/>
          <w:kern w:val="0"/>
          <w:szCs w:val="24"/>
          <w14:ligatures w14:val="none"/>
        </w:rPr>
      </w:pPr>
      <w:r>
        <w:t xml:space="preserve">Refer to and </w:t>
      </w:r>
      <w:r w:rsidR="00D863FA">
        <w:t>u</w:t>
      </w:r>
      <w:r w:rsidR="002C211A">
        <w:t xml:space="preserve">tilize </w:t>
      </w:r>
      <w:hyperlink r:id="rId11" w:anchor="!/view?docid=c0238ae3-ea9b-4da2-b9c9-90c8d4ad62a8" w:history="1">
        <w:r w:rsidR="00A428CE" w:rsidRPr="003542F7">
          <w:rPr>
            <w:rStyle w:val="Hyperlink"/>
            <w:rFonts w:eastAsia="Times New Roman" w:cs="Times New Roman"/>
            <w:kern w:val="0"/>
            <w:szCs w:val="24"/>
            <w14:ligatures w14:val="none"/>
          </w:rPr>
          <w:t>Compass - Viewing Communications (056371)</w:t>
        </w:r>
      </w:hyperlink>
      <w:r w:rsidR="00A428CE" w:rsidRPr="003542F7">
        <w:rPr>
          <w:rFonts w:eastAsia="Times New Roman" w:cs="Times New Roman"/>
          <w:color w:val="000000"/>
          <w:kern w:val="0"/>
          <w:szCs w:val="24"/>
          <w14:ligatures w14:val="none"/>
        </w:rPr>
        <w:t xml:space="preserve"> to </w:t>
      </w:r>
      <w:r w:rsidR="00A428CE" w:rsidRPr="003542F7">
        <w:rPr>
          <w:rStyle w:val="Hyperlink"/>
          <w:color w:val="auto"/>
          <w:szCs w:val="24"/>
          <w:u w:val="none"/>
        </w:rPr>
        <w:t>review member letters and educate accordingly.</w:t>
      </w:r>
    </w:p>
    <w:p w14:paraId="0AB29516" w14:textId="22683F22" w:rsidR="00E2111F" w:rsidRPr="000A1D3B" w:rsidRDefault="00E2111F" w:rsidP="00D8286B">
      <w:pPr>
        <w:spacing w:before="120" w:after="120" w:line="240" w:lineRule="auto"/>
        <w:ind w:left="720"/>
        <w:rPr>
          <w:rStyle w:val="Hyperlink"/>
          <w:rFonts w:ascii="Times New Roman" w:eastAsia="Times New Roman" w:hAnsi="Times New Roman" w:cs="Times New Roman"/>
          <w:color w:val="000000"/>
          <w:kern w:val="0"/>
          <w:szCs w:val="24"/>
          <w:u w:val="none"/>
          <w14:ligatures w14:val="none"/>
        </w:rPr>
      </w:pPr>
    </w:p>
    <w:p w14:paraId="6D97C29A" w14:textId="77777777" w:rsidR="000F702E" w:rsidRPr="000A1D3B" w:rsidRDefault="000F702E" w:rsidP="000F702E">
      <w:pPr>
        <w:spacing w:before="120" w:after="120" w:line="240" w:lineRule="auto"/>
        <w:rPr>
          <w:rFonts w:ascii="Times New Roman" w:eastAsia="Times New Roman" w:hAnsi="Times New Roman" w:cs="Times New Roman"/>
          <w:color w:val="000000"/>
          <w:kern w:val="0"/>
          <w:szCs w:val="24"/>
          <w14:ligatures w14:val="none"/>
        </w:rPr>
      </w:pPr>
    </w:p>
    <w:p w14:paraId="16F74B08" w14:textId="30E96C04" w:rsidR="001E4C69" w:rsidRPr="000A1D3B" w:rsidRDefault="001E4C69" w:rsidP="001E4C69">
      <w:pPr>
        <w:spacing w:before="120" w:after="120" w:line="240" w:lineRule="auto"/>
        <w:rPr>
          <w:rFonts w:ascii="Times New Roman" w:eastAsia="Times New Roman" w:hAnsi="Times New Roman" w:cs="Times New Roman"/>
          <w:color w:val="000000"/>
          <w:kern w:val="0"/>
          <w:szCs w:val="24"/>
          <w14:ligatures w14:val="none"/>
        </w:rPr>
      </w:pPr>
      <w:r w:rsidRPr="00CA2CE9">
        <w:rPr>
          <w:rFonts w:eastAsia="Times New Roman" w:cs="Times New Roman"/>
          <w:b/>
          <w:bCs/>
          <w:color w:val="000000"/>
          <w:kern w:val="0"/>
          <w:szCs w:val="24"/>
          <w14:ligatures w14:val="none"/>
        </w:rPr>
        <w:t>Aetna Commercial Members only:</w:t>
      </w:r>
      <w:r w:rsidRPr="000A1D3B">
        <w:rPr>
          <w:rFonts w:eastAsia="Times New Roman" w:cs="Times New Roman"/>
          <w:color w:val="000000"/>
          <w:kern w:val="0"/>
          <w:szCs w:val="24"/>
          <w14:ligatures w14:val="none"/>
        </w:rPr>
        <w:t xml:space="preserve"> To verify if this formulary change applies, </w:t>
      </w:r>
      <w:r w:rsidRPr="00023859">
        <w:rPr>
          <w:rFonts w:eastAsia="Times New Roman" w:cs="Times New Roman"/>
          <w:b/>
          <w:bCs/>
          <w:color w:val="000000"/>
          <w:kern w:val="0"/>
          <w:szCs w:val="24"/>
          <w14:ligatures w14:val="none"/>
        </w:rPr>
        <w:t>Aetna CCRs</w:t>
      </w:r>
      <w:r w:rsidRPr="000A1D3B">
        <w:rPr>
          <w:rFonts w:eastAsia="Times New Roman" w:cs="Times New Roman"/>
          <w:color w:val="000000"/>
          <w:kern w:val="0"/>
          <w:szCs w:val="24"/>
          <w14:ligatures w14:val="none"/>
        </w:rPr>
        <w:t xml:space="preserve"> must verify the member's formulary in GPS and then proceed to Aetna.com and locate the Drug guide changes for July 1 (PDF) on that formulary's page. Refer to </w:t>
      </w:r>
      <w:hyperlink r:id="rId12" w:anchor="!/view?docid=75c5286e-dbf7-4d23-9888-905d455765f3" w:tgtFrame="_blank" w:tooltip="https://thesource.cvshealth.com/nuxeo/thesource/#!/view?docid=75c5286e-dbf7-4d23-9888-905d455765f3" w:history="1">
        <w:r w:rsidRPr="000A1D3B">
          <w:rPr>
            <w:rStyle w:val="Hyperlink"/>
            <w:rFonts w:eastAsia="Times New Roman" w:cs="Times New Roman"/>
            <w:kern w:val="0"/>
            <w:szCs w:val="24"/>
            <w14:ligatures w14:val="none"/>
          </w:rPr>
          <w:t>Aetna - GPS - Identifying Which Formulary Guide to Use for Commercial Members (068696)</w:t>
        </w:r>
      </w:hyperlink>
      <w:r w:rsidRPr="000A1D3B">
        <w:rPr>
          <w:rFonts w:eastAsia="Times New Roman" w:cs="Times New Roman"/>
          <w:color w:val="000000"/>
          <w:kern w:val="0"/>
          <w:szCs w:val="24"/>
          <w14:ligatures w14:val="none"/>
        </w:rPr>
        <w:t xml:space="preserve"> and </w:t>
      </w:r>
      <w:hyperlink r:id="rId13" w:anchor="!/view?docid=fdd78993-fbca-42e9-b51b-a464c3c7e2cf" w:tgtFrame="_blank" w:tooltip="https://thesource.cvshealth.com/nuxeo/thesource/#!/view?docid=fdd78993-fbca-42e9-b51b-a464c3c7e2cf" w:history="1">
        <w:r w:rsidRPr="000A1D3B">
          <w:rPr>
            <w:rStyle w:val="Hyperlink"/>
            <w:rFonts w:eastAsia="Times New Roman" w:cs="Times New Roman"/>
            <w:kern w:val="0"/>
            <w:szCs w:val="24"/>
            <w14:ligatures w14:val="none"/>
          </w:rPr>
          <w:t>Aetna - Medication Search Tool and Finding a Formulary (076129)</w:t>
        </w:r>
      </w:hyperlink>
      <w:r w:rsidRPr="000A1D3B">
        <w:rPr>
          <w:rFonts w:eastAsia="Times New Roman" w:cs="Times New Roman"/>
          <w:color w:val="000000"/>
          <w:kern w:val="0"/>
          <w:szCs w:val="24"/>
          <w14:ligatures w14:val="none"/>
        </w:rPr>
        <w:t xml:space="preserve"> for additional changes as needed. </w:t>
      </w:r>
    </w:p>
    <w:p w14:paraId="6616A079" w14:textId="77777777" w:rsidR="000F702E" w:rsidRDefault="000F702E" w:rsidP="000A1D3B">
      <w:pPr>
        <w:spacing w:before="120" w:after="120" w:line="240" w:lineRule="auto"/>
        <w:rPr>
          <w:rFonts w:ascii="Times New Roman" w:eastAsia="Times New Roman" w:hAnsi="Times New Roman" w:cs="Times New Roman"/>
          <w:color w:val="000000"/>
          <w:kern w:val="0"/>
          <w:szCs w:val="24"/>
          <w14:ligatures w14:val="none"/>
        </w:rPr>
      </w:pPr>
    </w:p>
    <w:p w14:paraId="6A665A77" w14:textId="10EC282C" w:rsidR="00A220AB" w:rsidRPr="00A220AB" w:rsidRDefault="00A220AB" w:rsidP="00A220AB">
      <w:pPr>
        <w:spacing w:before="120" w:after="120" w:line="240" w:lineRule="auto"/>
        <w:jc w:val="right"/>
        <w:rPr>
          <w:rFonts w:eastAsia="Times New Roman" w:cs="Times New Roman"/>
          <w:color w:val="000000"/>
          <w:kern w:val="0"/>
          <w:szCs w:val="24"/>
          <w14:ligatures w14:val="none"/>
        </w:rPr>
      </w:pPr>
      <w:hyperlink w:anchor="_top" w:history="1">
        <w:r w:rsidRPr="00A220AB">
          <w:rPr>
            <w:rStyle w:val="Hyperlink"/>
            <w:rFonts w:eastAsia="Times New Roman" w:cs="Times New Roman"/>
            <w:kern w:val="0"/>
            <w:szCs w:val="24"/>
            <w14:ligatures w14:val="none"/>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58059E" w:rsidRPr="0058059E" w14:paraId="4CA6CCF3" w14:textId="77777777" w:rsidTr="00FD7C3A">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166" w:type="dxa"/>
              <w:left w:w="108" w:type="dxa"/>
              <w:bottom w:w="108" w:type="dxa"/>
              <w:right w:w="108" w:type="dxa"/>
            </w:tcMar>
            <w:hideMark/>
          </w:tcPr>
          <w:p w14:paraId="086603A7" w14:textId="77777777" w:rsidR="006701E0" w:rsidRPr="00CC2203" w:rsidRDefault="006701E0" w:rsidP="00A430D2">
            <w:pPr>
              <w:pStyle w:val="Heading2"/>
              <w:spacing w:before="0" w:after="0"/>
            </w:pPr>
            <w:bookmarkStart w:id="2" w:name="_Toc205999421"/>
            <w:r w:rsidRPr="00CC2203">
              <w:t>Key Changes</w:t>
            </w:r>
            <w:bookmarkEnd w:id="2"/>
          </w:p>
        </w:tc>
      </w:tr>
    </w:tbl>
    <w:p w14:paraId="3611515B" w14:textId="4DDE2F93" w:rsidR="006701E0" w:rsidRDefault="006701E0" w:rsidP="00A430D2">
      <w:pPr>
        <w:spacing w:before="120" w:after="120"/>
        <w:rPr>
          <w:szCs w:val="24"/>
        </w:rPr>
      </w:pPr>
      <w:r w:rsidRPr="00870E46">
        <w:rPr>
          <w:szCs w:val="24"/>
        </w:rPr>
        <w:t>This</w:t>
      </w:r>
      <w:r w:rsidR="006209EB">
        <w:rPr>
          <w:szCs w:val="24"/>
        </w:rPr>
        <w:t xml:space="preserve"> is a</w:t>
      </w:r>
      <w:r w:rsidR="00B60AE3">
        <w:rPr>
          <w:szCs w:val="24"/>
        </w:rPr>
        <w:t xml:space="preserve"> </w:t>
      </w:r>
      <w:r w:rsidR="00023859">
        <w:rPr>
          <w:szCs w:val="24"/>
        </w:rPr>
        <w:t>“</w:t>
      </w:r>
      <w:r w:rsidR="00B60AE3" w:rsidRPr="009170EE">
        <w:rPr>
          <w:b/>
          <w:bCs/>
          <w:color w:val="FF0000"/>
          <w:szCs w:val="24"/>
        </w:rPr>
        <w:t>significant</w:t>
      </w:r>
      <w:r w:rsidR="00023859">
        <w:rPr>
          <w:b/>
          <w:bCs/>
          <w:color w:val="FF0000"/>
          <w:szCs w:val="24"/>
        </w:rPr>
        <w:t>”</w:t>
      </w:r>
      <w:r w:rsidRPr="00870E46">
        <w:rPr>
          <w:szCs w:val="24"/>
        </w:rPr>
        <w:t xml:space="preserve"> formulary change for our members</w:t>
      </w:r>
      <w:r w:rsidR="008D6117">
        <w:rPr>
          <w:szCs w:val="24"/>
        </w:rPr>
        <w:t xml:space="preserve"> currently using One Touch products</w:t>
      </w:r>
      <w:r w:rsidR="00B60AE3">
        <w:rPr>
          <w:szCs w:val="24"/>
        </w:rPr>
        <w:t>.</w:t>
      </w:r>
      <w:r w:rsidRPr="00870E46">
        <w:rPr>
          <w:szCs w:val="24"/>
        </w:rPr>
        <w:t xml:space="preserve"> </w:t>
      </w:r>
      <w:r w:rsidR="00B60AE3">
        <w:rPr>
          <w:szCs w:val="24"/>
        </w:rPr>
        <w:t>A</w:t>
      </w:r>
      <w:r>
        <w:rPr>
          <w:szCs w:val="24"/>
        </w:rPr>
        <w:t>gents</w:t>
      </w:r>
      <w:r w:rsidR="007B5941">
        <w:rPr>
          <w:szCs w:val="24"/>
        </w:rPr>
        <w:t xml:space="preserve"> must be</w:t>
      </w:r>
      <w:r w:rsidRPr="00870E46">
        <w:rPr>
          <w:szCs w:val="24"/>
        </w:rPr>
        <w:t xml:space="preserve"> well-informed to provide accurate and timely assistance. </w:t>
      </w:r>
      <w:r>
        <w:rPr>
          <w:szCs w:val="24"/>
        </w:rPr>
        <w:t>E</w:t>
      </w:r>
      <w:r w:rsidRPr="00870E46">
        <w:rPr>
          <w:szCs w:val="24"/>
        </w:rPr>
        <w:t>nsure that all member inquiries are handled with care and clarity.</w:t>
      </w:r>
    </w:p>
    <w:p w14:paraId="516AEA0C" w14:textId="77777777" w:rsidR="006701E0" w:rsidRDefault="006701E0" w:rsidP="00A430D2">
      <w:pPr>
        <w:spacing w:before="120" w:after="120"/>
        <w:rPr>
          <w:szCs w:val="24"/>
        </w:rPr>
      </w:pPr>
    </w:p>
    <w:p w14:paraId="4FBB4B97" w14:textId="5443FF1F" w:rsidR="006701E0" w:rsidRPr="006701E0" w:rsidRDefault="003A24AB" w:rsidP="00A430D2">
      <w:pPr>
        <w:spacing w:before="120" w:after="120"/>
        <w:rPr>
          <w:b/>
          <w:bCs/>
          <w:szCs w:val="24"/>
        </w:rPr>
      </w:pPr>
      <w:r>
        <w:rPr>
          <w:b/>
          <w:bCs/>
          <w:szCs w:val="24"/>
        </w:rPr>
        <w:t xml:space="preserve">As of July 1, 2025, </w:t>
      </w:r>
      <w:r w:rsidR="006701E0">
        <w:rPr>
          <w:b/>
          <w:bCs/>
          <w:szCs w:val="24"/>
        </w:rPr>
        <w:t xml:space="preserve">One Touch </w:t>
      </w:r>
      <w:r>
        <w:rPr>
          <w:b/>
          <w:bCs/>
          <w:szCs w:val="24"/>
        </w:rPr>
        <w:t xml:space="preserve">be </w:t>
      </w:r>
      <w:r w:rsidR="006701E0">
        <w:rPr>
          <w:b/>
          <w:bCs/>
          <w:szCs w:val="24"/>
        </w:rPr>
        <w:t>remov</w:t>
      </w:r>
      <w:r>
        <w:rPr>
          <w:b/>
          <w:bCs/>
          <w:szCs w:val="24"/>
        </w:rPr>
        <w:t>ed</w:t>
      </w:r>
      <w:r w:rsidR="006701E0">
        <w:rPr>
          <w:b/>
          <w:bCs/>
          <w:szCs w:val="24"/>
        </w:rPr>
        <w:t xml:space="preserve"> from </w:t>
      </w:r>
      <w:r w:rsidR="003348FF">
        <w:rPr>
          <w:b/>
          <w:bCs/>
          <w:szCs w:val="24"/>
        </w:rPr>
        <w:t xml:space="preserve">select </w:t>
      </w:r>
      <w:r w:rsidR="006701E0">
        <w:rPr>
          <w:b/>
          <w:bCs/>
          <w:szCs w:val="24"/>
        </w:rPr>
        <w:t>formularies</w:t>
      </w:r>
      <w:r w:rsidR="006701E0" w:rsidRPr="006701E0">
        <w:rPr>
          <w:b/>
          <w:bCs/>
          <w:szCs w:val="24"/>
        </w:rPr>
        <w:t>:</w:t>
      </w:r>
    </w:p>
    <w:p w14:paraId="5F4FB2A6" w14:textId="77777777" w:rsidR="006701E0" w:rsidRPr="006701E0" w:rsidRDefault="006701E0" w:rsidP="00A430D2">
      <w:pPr>
        <w:numPr>
          <w:ilvl w:val="0"/>
          <w:numId w:val="2"/>
        </w:numPr>
        <w:spacing w:before="120" w:after="120"/>
        <w:rPr>
          <w:szCs w:val="24"/>
        </w:rPr>
      </w:pPr>
      <w:r w:rsidRPr="006701E0">
        <w:rPr>
          <w:szCs w:val="24"/>
        </w:rPr>
        <w:t>One Touch test strips</w:t>
      </w:r>
    </w:p>
    <w:p w14:paraId="0F857F7F" w14:textId="77777777" w:rsidR="006701E0" w:rsidRPr="006701E0" w:rsidRDefault="006701E0" w:rsidP="00A430D2">
      <w:pPr>
        <w:numPr>
          <w:ilvl w:val="0"/>
          <w:numId w:val="2"/>
        </w:numPr>
        <w:spacing w:before="120" w:after="120"/>
        <w:rPr>
          <w:szCs w:val="24"/>
        </w:rPr>
      </w:pPr>
      <w:r w:rsidRPr="006701E0">
        <w:rPr>
          <w:szCs w:val="24"/>
        </w:rPr>
        <w:t>One Touch lancets</w:t>
      </w:r>
    </w:p>
    <w:p w14:paraId="0F78E1EA" w14:textId="77777777" w:rsidR="006701E0" w:rsidRPr="006701E0" w:rsidRDefault="006701E0" w:rsidP="00A430D2">
      <w:pPr>
        <w:numPr>
          <w:ilvl w:val="0"/>
          <w:numId w:val="2"/>
        </w:numPr>
        <w:spacing w:before="120" w:after="120"/>
        <w:rPr>
          <w:szCs w:val="24"/>
        </w:rPr>
      </w:pPr>
      <w:r w:rsidRPr="006701E0">
        <w:rPr>
          <w:szCs w:val="24"/>
        </w:rPr>
        <w:t>One Touch diabetic testing meters</w:t>
      </w:r>
    </w:p>
    <w:p w14:paraId="2B7F7905" w14:textId="77777777" w:rsidR="006701E0" w:rsidRDefault="006701E0" w:rsidP="00A430D2">
      <w:pPr>
        <w:numPr>
          <w:ilvl w:val="0"/>
          <w:numId w:val="2"/>
        </w:numPr>
        <w:spacing w:before="120" w:after="120"/>
        <w:rPr>
          <w:szCs w:val="24"/>
        </w:rPr>
      </w:pPr>
      <w:r w:rsidRPr="006701E0">
        <w:rPr>
          <w:szCs w:val="24"/>
        </w:rPr>
        <w:t>Other One Touch diabetic supplies</w:t>
      </w:r>
    </w:p>
    <w:p w14:paraId="4DDB67BD" w14:textId="77777777" w:rsidR="006701E0" w:rsidRDefault="006701E0" w:rsidP="00A430D2">
      <w:pPr>
        <w:spacing w:before="120" w:after="120"/>
        <w:rPr>
          <w:szCs w:val="24"/>
        </w:rPr>
      </w:pPr>
    </w:p>
    <w:p w14:paraId="0C89C88D" w14:textId="7E055FB4" w:rsidR="006701E0" w:rsidRDefault="003A24AB" w:rsidP="00A430D2">
      <w:pPr>
        <w:spacing w:before="120" w:after="120"/>
        <w:rPr>
          <w:b/>
          <w:bCs/>
          <w:szCs w:val="24"/>
        </w:rPr>
      </w:pPr>
      <w:r>
        <w:rPr>
          <w:b/>
          <w:bCs/>
          <w:szCs w:val="24"/>
        </w:rPr>
        <w:t>Starting July 1</w:t>
      </w:r>
      <w:r w:rsidRPr="35B4FCFC">
        <w:rPr>
          <w:b/>
          <w:bCs/>
          <w:szCs w:val="24"/>
        </w:rPr>
        <w:t>, 2025,</w:t>
      </w:r>
      <w:r>
        <w:rPr>
          <w:b/>
          <w:bCs/>
          <w:szCs w:val="24"/>
        </w:rPr>
        <w:t xml:space="preserve"> </w:t>
      </w:r>
      <w:r w:rsidR="006701E0" w:rsidRPr="006701E0">
        <w:rPr>
          <w:b/>
          <w:bCs/>
          <w:szCs w:val="24"/>
        </w:rPr>
        <w:t>Accu-Chek</w:t>
      </w:r>
      <w:r w:rsidR="00372AE2">
        <w:rPr>
          <w:b/>
          <w:bCs/>
          <w:szCs w:val="24"/>
        </w:rPr>
        <w:t xml:space="preserve"> and </w:t>
      </w:r>
      <w:r w:rsidR="00614B43">
        <w:rPr>
          <w:b/>
          <w:bCs/>
          <w:szCs w:val="24"/>
        </w:rPr>
        <w:t>True Metrix</w:t>
      </w:r>
      <w:r w:rsidR="006701E0" w:rsidRPr="006701E0">
        <w:rPr>
          <w:b/>
          <w:bCs/>
          <w:szCs w:val="24"/>
        </w:rPr>
        <w:t xml:space="preserve"> will be the </w:t>
      </w:r>
      <w:r w:rsidR="00023859">
        <w:rPr>
          <w:b/>
          <w:bCs/>
          <w:szCs w:val="24"/>
        </w:rPr>
        <w:t>“</w:t>
      </w:r>
      <w:r w:rsidR="006701E0" w:rsidRPr="006701E0">
        <w:rPr>
          <w:b/>
          <w:bCs/>
          <w:szCs w:val="24"/>
        </w:rPr>
        <w:t>preferred</w:t>
      </w:r>
      <w:r w:rsidR="00023859">
        <w:rPr>
          <w:b/>
          <w:bCs/>
          <w:szCs w:val="24"/>
        </w:rPr>
        <w:t>”</w:t>
      </w:r>
      <w:r w:rsidR="006701E0" w:rsidRPr="006701E0">
        <w:rPr>
          <w:b/>
          <w:bCs/>
          <w:szCs w:val="24"/>
        </w:rPr>
        <w:t xml:space="preserve"> formulary Diabetic Supplies</w:t>
      </w:r>
      <w:r w:rsidR="006701E0" w:rsidRPr="35B4FCFC">
        <w:rPr>
          <w:b/>
          <w:bCs/>
          <w:szCs w:val="24"/>
        </w:rPr>
        <w:t>:</w:t>
      </w:r>
    </w:p>
    <w:p w14:paraId="394B07C6" w14:textId="72BAD4B7" w:rsidR="006701E0" w:rsidRDefault="006701E0" w:rsidP="00A430D2">
      <w:pPr>
        <w:numPr>
          <w:ilvl w:val="0"/>
          <w:numId w:val="3"/>
        </w:numPr>
        <w:spacing w:before="120" w:after="120"/>
        <w:rPr>
          <w:szCs w:val="24"/>
        </w:rPr>
      </w:pPr>
      <w:r w:rsidRPr="006701E0">
        <w:rPr>
          <w:szCs w:val="24"/>
        </w:rPr>
        <w:t>Accu-Chek</w:t>
      </w:r>
      <w:r w:rsidR="00614B43">
        <w:rPr>
          <w:szCs w:val="24"/>
        </w:rPr>
        <w:t xml:space="preserve"> and True Metrix</w:t>
      </w:r>
      <w:r w:rsidRPr="006701E0">
        <w:rPr>
          <w:szCs w:val="24"/>
        </w:rPr>
        <w:t xml:space="preserve"> brand test strips and supplies will be covered under the </w:t>
      </w:r>
      <w:r w:rsidR="00BB3512">
        <w:rPr>
          <w:szCs w:val="24"/>
        </w:rPr>
        <w:t>formulary</w:t>
      </w:r>
      <w:r w:rsidRPr="006701E0">
        <w:rPr>
          <w:szCs w:val="24"/>
        </w:rPr>
        <w:t>.</w:t>
      </w:r>
      <w:r w:rsidR="4A67E10B" w:rsidRPr="3D08199B">
        <w:rPr>
          <w:szCs w:val="24"/>
        </w:rPr>
        <w:t xml:space="preserve"> However, only the Accu-Chek meters will be </w:t>
      </w:r>
      <w:r w:rsidR="42FADC9E" w:rsidRPr="58E6EF1A">
        <w:rPr>
          <w:szCs w:val="24"/>
        </w:rPr>
        <w:t>provided at no cost</w:t>
      </w:r>
      <w:r w:rsidR="00F56646">
        <w:rPr>
          <w:szCs w:val="24"/>
        </w:rPr>
        <w:t xml:space="preserve"> through the Diabetic</w:t>
      </w:r>
      <w:r w:rsidR="00B30981">
        <w:rPr>
          <w:szCs w:val="24"/>
        </w:rPr>
        <w:t xml:space="preserve"> Meter Program</w:t>
      </w:r>
      <w:r w:rsidR="42FADC9E" w:rsidRPr="58E6EF1A">
        <w:rPr>
          <w:szCs w:val="24"/>
        </w:rPr>
        <w:t xml:space="preserve">. </w:t>
      </w:r>
    </w:p>
    <w:p w14:paraId="0A15BD30" w14:textId="77777777" w:rsidR="006701E0" w:rsidRDefault="006701E0" w:rsidP="00A430D2">
      <w:pPr>
        <w:spacing w:before="120" w:after="120"/>
        <w:rPr>
          <w:szCs w:val="24"/>
        </w:rPr>
      </w:pPr>
    </w:p>
    <w:p w14:paraId="5E4C8DA8" w14:textId="3FDEC23A" w:rsidR="006701E0" w:rsidRDefault="00FD7C3A" w:rsidP="00A430D2">
      <w:pPr>
        <w:spacing w:before="120" w:after="120"/>
        <w:jc w:val="right"/>
        <w:rPr>
          <w:szCs w:val="24"/>
        </w:rPr>
      </w:pPr>
      <w:hyperlink w:anchor="_top" w:history="1">
        <w:r w:rsidRPr="00C17D00">
          <w:rPr>
            <w:rStyle w:val="Hyperlink"/>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713E61" w:rsidRPr="00713E61" w14:paraId="16642AD9" w14:textId="77777777" w:rsidTr="00FD7C3A">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166" w:type="dxa"/>
              <w:left w:w="108" w:type="dxa"/>
              <w:bottom w:w="108" w:type="dxa"/>
              <w:right w:w="108" w:type="dxa"/>
            </w:tcMar>
            <w:hideMark/>
          </w:tcPr>
          <w:p w14:paraId="56C9CA56" w14:textId="77777777" w:rsidR="006701E0" w:rsidRPr="00CC2203" w:rsidRDefault="006701E0" w:rsidP="00A430D2">
            <w:pPr>
              <w:pStyle w:val="Heading2"/>
              <w:spacing w:before="0" w:after="0"/>
            </w:pPr>
            <w:bookmarkStart w:id="3" w:name="_Toc205999422"/>
            <w:r w:rsidRPr="00713E61">
              <w:t>Communication to Members</w:t>
            </w:r>
            <w:bookmarkEnd w:id="3"/>
          </w:p>
        </w:tc>
      </w:tr>
    </w:tbl>
    <w:p w14:paraId="1E866ED9" w14:textId="77777777" w:rsidR="006701E0" w:rsidRDefault="006701E0" w:rsidP="00B03F23">
      <w:pPr>
        <w:numPr>
          <w:ilvl w:val="0"/>
          <w:numId w:val="4"/>
        </w:numPr>
        <w:spacing w:before="120" w:after="120" w:line="360" w:lineRule="auto"/>
        <w:rPr>
          <w:szCs w:val="24"/>
        </w:rPr>
      </w:pPr>
      <w:r w:rsidRPr="00870E46">
        <w:rPr>
          <w:b/>
          <w:bCs/>
          <w:szCs w:val="24"/>
        </w:rPr>
        <w:t>Notification Letters:</w:t>
      </w:r>
      <w:r w:rsidRPr="00870E46">
        <w:rPr>
          <w:szCs w:val="24"/>
        </w:rPr>
        <w:t xml:space="preserve"> Letters informing impacted members about the formulary change will be sent starting Thursday, May 1, 2025.</w:t>
      </w:r>
    </w:p>
    <w:p w14:paraId="5DA324DB" w14:textId="6C5DD2C4" w:rsidR="006701E0" w:rsidRPr="000C448B" w:rsidRDefault="006701E0" w:rsidP="00B03F23">
      <w:pPr>
        <w:numPr>
          <w:ilvl w:val="0"/>
          <w:numId w:val="4"/>
        </w:numPr>
        <w:spacing w:before="120" w:after="120" w:line="360" w:lineRule="auto"/>
        <w:rPr>
          <w:szCs w:val="24"/>
        </w:rPr>
      </w:pPr>
      <w:r w:rsidRPr="000C448B">
        <w:rPr>
          <w:b/>
          <w:bCs/>
          <w:szCs w:val="24"/>
        </w:rPr>
        <w:t>Letter Access:</w:t>
      </w:r>
      <w:r w:rsidRPr="000C448B">
        <w:rPr>
          <w:szCs w:val="24"/>
        </w:rPr>
        <w:t xml:space="preserve"> Letters will be loaded into Compass for reference. Refer to </w:t>
      </w:r>
      <w:hyperlink r:id="rId14" w:anchor="!/view?docid=c0238ae3-ea9b-4da2-b9c9-90c8d4ad62a8" w:history="1">
        <w:r w:rsidRPr="00252D1A">
          <w:rPr>
            <w:rStyle w:val="Hyperlink"/>
            <w:szCs w:val="24"/>
          </w:rPr>
          <w:t xml:space="preserve">Compass - Viewing Communications </w:t>
        </w:r>
        <w:r w:rsidR="00252D1A" w:rsidRPr="00252D1A">
          <w:rPr>
            <w:rStyle w:val="Hyperlink"/>
            <w:szCs w:val="24"/>
          </w:rPr>
          <w:t>(</w:t>
        </w:r>
        <w:r w:rsidRPr="00252D1A">
          <w:rPr>
            <w:rStyle w:val="Hyperlink"/>
            <w:szCs w:val="24"/>
          </w:rPr>
          <w:t>056371</w:t>
        </w:r>
        <w:r w:rsidR="00252D1A" w:rsidRPr="00252D1A">
          <w:rPr>
            <w:rStyle w:val="Hyperlink"/>
            <w:szCs w:val="24"/>
          </w:rPr>
          <w:t>)</w:t>
        </w:r>
      </w:hyperlink>
      <w:r w:rsidRPr="000C448B">
        <w:rPr>
          <w:szCs w:val="24"/>
        </w:rPr>
        <w:t xml:space="preserve"> for steps on viewing communications. </w:t>
      </w:r>
    </w:p>
    <w:p w14:paraId="3E43AE4E" w14:textId="10C7FA5B" w:rsidR="006701E0" w:rsidRPr="00713E61" w:rsidRDefault="00713E61" w:rsidP="00A430D2">
      <w:pPr>
        <w:spacing w:before="120" w:after="120"/>
        <w:jc w:val="right"/>
        <w:rPr>
          <w:szCs w:val="24"/>
        </w:rPr>
      </w:pPr>
      <w:hyperlink w:anchor="_top" w:history="1">
        <w:r w:rsidRPr="00C17D00">
          <w:rPr>
            <w:rStyle w:val="Hyperlink"/>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58059E" w:rsidRPr="0058059E" w14:paraId="5BF9A5FF" w14:textId="77777777" w:rsidTr="00B52862">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166" w:type="dxa"/>
              <w:left w:w="108" w:type="dxa"/>
              <w:bottom w:w="108" w:type="dxa"/>
              <w:right w:w="108" w:type="dxa"/>
            </w:tcMar>
            <w:hideMark/>
          </w:tcPr>
          <w:p w14:paraId="7F6B8C7D" w14:textId="71DF3BF6" w:rsidR="00EB544D" w:rsidRPr="00CC2203" w:rsidRDefault="00EB544D" w:rsidP="00A430D2">
            <w:pPr>
              <w:pStyle w:val="Heading2"/>
              <w:spacing w:before="0" w:after="0"/>
            </w:pPr>
            <w:bookmarkStart w:id="4" w:name="_Toc205999423"/>
            <w:r w:rsidRPr="00CC2203">
              <w:t>Action for Members</w:t>
            </w:r>
            <w:bookmarkEnd w:id="4"/>
          </w:p>
        </w:tc>
      </w:tr>
    </w:tbl>
    <w:p w14:paraId="35B0CB06" w14:textId="6A948B43" w:rsidR="00EB544D" w:rsidRPr="00870E46" w:rsidRDefault="00EB544D" w:rsidP="00B03F23">
      <w:pPr>
        <w:numPr>
          <w:ilvl w:val="0"/>
          <w:numId w:val="5"/>
        </w:numPr>
        <w:spacing w:before="120" w:after="120" w:line="360" w:lineRule="auto"/>
        <w:rPr>
          <w:szCs w:val="24"/>
        </w:rPr>
      </w:pPr>
      <w:r w:rsidRPr="00870E46">
        <w:rPr>
          <w:b/>
          <w:bCs/>
          <w:szCs w:val="24"/>
        </w:rPr>
        <w:t xml:space="preserve">Current </w:t>
      </w:r>
      <w:r>
        <w:rPr>
          <w:b/>
          <w:bCs/>
          <w:szCs w:val="24"/>
        </w:rPr>
        <w:t>Diabetic Supplies</w:t>
      </w:r>
      <w:r w:rsidRPr="00870E46">
        <w:rPr>
          <w:b/>
          <w:bCs/>
          <w:szCs w:val="24"/>
        </w:rPr>
        <w:t>:</w:t>
      </w:r>
      <w:r w:rsidRPr="00870E46">
        <w:rPr>
          <w:szCs w:val="24"/>
        </w:rPr>
        <w:t xml:space="preserve"> Members should continue </w:t>
      </w:r>
      <w:r w:rsidR="00BB3512">
        <w:rPr>
          <w:szCs w:val="24"/>
        </w:rPr>
        <w:t>filling</w:t>
      </w:r>
      <w:r>
        <w:rPr>
          <w:szCs w:val="24"/>
        </w:rPr>
        <w:t xml:space="preserve"> One Touch </w:t>
      </w:r>
      <w:r w:rsidRPr="00870E46">
        <w:rPr>
          <w:szCs w:val="24"/>
        </w:rPr>
        <w:t>until July 1, 2025.</w:t>
      </w:r>
      <w:r>
        <w:rPr>
          <w:szCs w:val="24"/>
        </w:rPr>
        <w:t xml:space="preserve"> </w:t>
      </w:r>
    </w:p>
    <w:p w14:paraId="0C4E1A5E" w14:textId="77777777" w:rsidR="002F4FC3" w:rsidRDefault="00EB544D" w:rsidP="00B03F23">
      <w:pPr>
        <w:numPr>
          <w:ilvl w:val="0"/>
          <w:numId w:val="5"/>
        </w:numPr>
        <w:spacing w:before="120" w:after="120" w:line="360" w:lineRule="auto"/>
        <w:rPr>
          <w:szCs w:val="24"/>
        </w:rPr>
      </w:pPr>
      <w:r>
        <w:rPr>
          <w:b/>
          <w:bCs/>
          <w:szCs w:val="24"/>
        </w:rPr>
        <w:t xml:space="preserve">Order a free new meter: </w:t>
      </w:r>
      <w:r>
        <w:rPr>
          <w:szCs w:val="24"/>
        </w:rPr>
        <w:t>Members can visit Caremark.com/ManagingDiabetes or b</w:t>
      </w:r>
      <w:r w:rsidR="00234101">
        <w:rPr>
          <w:szCs w:val="24"/>
        </w:rPr>
        <w:t>e transferred to</w:t>
      </w:r>
      <w:r>
        <w:rPr>
          <w:szCs w:val="24"/>
        </w:rPr>
        <w:t xml:space="preserve"> the Diabetic Meter Team at </w:t>
      </w:r>
      <w:r w:rsidRPr="00F075F7">
        <w:rPr>
          <w:szCs w:val="24"/>
        </w:rPr>
        <w:t>1-877-418-4746</w:t>
      </w:r>
      <w:r w:rsidR="002E4F64">
        <w:rPr>
          <w:szCs w:val="24"/>
        </w:rPr>
        <w:t>, option 1</w:t>
      </w:r>
      <w:r>
        <w:rPr>
          <w:szCs w:val="24"/>
        </w:rPr>
        <w:t xml:space="preserve"> (</w:t>
      </w:r>
      <w:r w:rsidR="007F435A" w:rsidRPr="00D13369">
        <w:rPr>
          <w:szCs w:val="24"/>
        </w:rPr>
        <w:t xml:space="preserve">Provide this contact information if the member prefers to call at a later time or it is outside the Diabetic Meter </w:t>
      </w:r>
      <w:r w:rsidR="00B14D3A" w:rsidRPr="00D13369">
        <w:rPr>
          <w:szCs w:val="24"/>
        </w:rPr>
        <w:t>team’s</w:t>
      </w:r>
      <w:r w:rsidR="007F435A" w:rsidRPr="00D13369">
        <w:rPr>
          <w:szCs w:val="24"/>
        </w:rPr>
        <w:t xml:space="preserve"> business hours.</w:t>
      </w:r>
      <w:r w:rsidR="007F435A">
        <w:t>)</w:t>
      </w:r>
      <w:r>
        <w:rPr>
          <w:szCs w:val="24"/>
        </w:rPr>
        <w:t xml:space="preserve"> </w:t>
      </w:r>
    </w:p>
    <w:p w14:paraId="1FC85986" w14:textId="23D07788" w:rsidR="00EC2F81" w:rsidRPr="00EC2F81" w:rsidRDefault="007701B2" w:rsidP="00B03F23">
      <w:pPr>
        <w:pStyle w:val="ListParagraph"/>
        <w:numPr>
          <w:ilvl w:val="0"/>
          <w:numId w:val="21"/>
        </w:numPr>
        <w:spacing w:before="120" w:after="120" w:line="360" w:lineRule="auto"/>
        <w:rPr>
          <w:szCs w:val="24"/>
        </w:rPr>
      </w:pPr>
      <w:r w:rsidRPr="002F4FC3">
        <w:rPr>
          <w:szCs w:val="24"/>
        </w:rPr>
        <w:t xml:space="preserve">Refer to </w:t>
      </w:r>
      <w:hyperlink r:id="rId15" w:anchor="!/view?docid=db096a28-c388-49f4-b535-76884ba26d91" w:history="1">
        <w:r w:rsidRPr="00C81AAC">
          <w:rPr>
            <w:rStyle w:val="Hyperlink"/>
          </w:rPr>
          <w:t>Diabetic Test Strips Formulary Change</w:t>
        </w:r>
        <w:r w:rsidR="002F3722" w:rsidRPr="00C81AAC">
          <w:rPr>
            <w:rStyle w:val="Hyperlink"/>
            <w:szCs w:val="24"/>
          </w:rPr>
          <w:t xml:space="preserve"> (015975)</w:t>
        </w:r>
      </w:hyperlink>
      <w:r w:rsidRPr="00C81AAC">
        <w:rPr>
          <w:szCs w:val="24"/>
        </w:rPr>
        <w:t xml:space="preserve"> </w:t>
      </w:r>
      <w:r w:rsidRPr="002F4FC3">
        <w:rPr>
          <w:szCs w:val="24"/>
        </w:rPr>
        <w:t>for more inf</w:t>
      </w:r>
      <w:r w:rsidR="002F4FC3" w:rsidRPr="002F4FC3">
        <w:rPr>
          <w:szCs w:val="24"/>
        </w:rPr>
        <w:t>ormation.</w:t>
      </w:r>
    </w:p>
    <w:p w14:paraId="55A93924" w14:textId="7427A952" w:rsidR="00EB50F3" w:rsidRPr="00EC2F81" w:rsidRDefault="00E42AAD" w:rsidP="00B03F23">
      <w:pPr>
        <w:numPr>
          <w:ilvl w:val="0"/>
          <w:numId w:val="5"/>
        </w:numPr>
        <w:spacing w:before="120" w:after="120" w:line="276" w:lineRule="auto"/>
        <w:rPr>
          <w:szCs w:val="24"/>
        </w:rPr>
      </w:pPr>
      <w:r>
        <w:rPr>
          <w:noProof/>
          <w:szCs w:val="24"/>
        </w:rPr>
        <w:drawing>
          <wp:inline distT="0" distB="0" distL="0" distR="0" wp14:anchorId="30979BF6" wp14:editId="4346F8DE">
            <wp:extent cx="304762" cy="304762"/>
            <wp:effectExtent l="0" t="0" r="635" b="635"/>
            <wp:docPr id="14316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27884" name="Picture 722127884"/>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B544D">
        <w:rPr>
          <w:szCs w:val="24"/>
        </w:rPr>
        <w:t xml:space="preserve">The diabetic meter team will process a request </w:t>
      </w:r>
      <w:r w:rsidR="00BB3512">
        <w:rPr>
          <w:szCs w:val="24"/>
        </w:rPr>
        <w:t>for a</w:t>
      </w:r>
      <w:r w:rsidR="00E245BC">
        <w:rPr>
          <w:szCs w:val="24"/>
        </w:rPr>
        <w:t xml:space="preserve">n </w:t>
      </w:r>
      <w:r w:rsidR="00E245BC" w:rsidRPr="00D13369">
        <w:rPr>
          <w:b/>
          <w:bCs/>
          <w:szCs w:val="24"/>
        </w:rPr>
        <w:t>Accu-Chek Guide</w:t>
      </w:r>
      <w:r w:rsidR="00E245BC" w:rsidRPr="00D13369">
        <w:rPr>
          <w:szCs w:val="24"/>
        </w:rPr>
        <w:t xml:space="preserve"> </w:t>
      </w:r>
      <w:r w:rsidR="0018261C">
        <w:rPr>
          <w:szCs w:val="24"/>
        </w:rPr>
        <w:t>or</w:t>
      </w:r>
      <w:r w:rsidR="00E245BC" w:rsidRPr="00D13369">
        <w:rPr>
          <w:szCs w:val="24"/>
        </w:rPr>
        <w:t xml:space="preserve"> </w:t>
      </w:r>
      <w:r w:rsidR="00E245BC" w:rsidRPr="00D13369">
        <w:rPr>
          <w:b/>
          <w:bCs/>
          <w:szCs w:val="24"/>
        </w:rPr>
        <w:t xml:space="preserve">Accu-Chek Guide </w:t>
      </w:r>
      <w:r w:rsidR="005528C4">
        <w:rPr>
          <w:b/>
          <w:bCs/>
          <w:szCs w:val="24"/>
        </w:rPr>
        <w:t xml:space="preserve">Me </w:t>
      </w:r>
      <w:r w:rsidR="00BB3512">
        <w:rPr>
          <w:szCs w:val="24"/>
        </w:rPr>
        <w:t xml:space="preserve">meter, along with submitting a request to the prescriber for Test Strips and supplies. </w:t>
      </w:r>
      <w:r w:rsidR="00680491">
        <w:rPr>
          <w:szCs w:val="24"/>
        </w:rPr>
        <w:t xml:space="preserve">Both meters use the Accu-Chek Guide Test Strips. </w:t>
      </w:r>
    </w:p>
    <w:p w14:paraId="70156688" w14:textId="3945F57C" w:rsidR="00A4084D" w:rsidRPr="00556CB9" w:rsidRDefault="00EB50F3" w:rsidP="00B03F23">
      <w:pPr>
        <w:numPr>
          <w:ilvl w:val="0"/>
          <w:numId w:val="5"/>
        </w:numPr>
        <w:spacing w:before="120" w:after="120" w:line="240" w:lineRule="auto"/>
        <w:rPr>
          <w:szCs w:val="24"/>
        </w:rPr>
      </w:pPr>
      <w:r w:rsidRPr="06AC3F11">
        <w:rPr>
          <w:szCs w:val="24"/>
        </w:rPr>
        <w:t xml:space="preserve">The Diabetic Meter Teams Hours of Operation are Monday thru Friday, 8 am to 6 pm CT. </w:t>
      </w:r>
      <w:r w:rsidRPr="06AC3F11">
        <w:rPr>
          <w:b/>
          <w:bCs/>
          <w:szCs w:val="24"/>
        </w:rPr>
        <w:t>** No Weekend Hours**</w:t>
      </w:r>
    </w:p>
    <w:p w14:paraId="2F6D98E7" w14:textId="3E6AF5AA" w:rsidR="00C02E0C" w:rsidRDefault="00C02E0C" w:rsidP="00A430D2">
      <w:pPr>
        <w:pStyle w:val="ListParagraph"/>
        <w:numPr>
          <w:ilvl w:val="0"/>
          <w:numId w:val="8"/>
        </w:numPr>
        <w:spacing w:before="120" w:after="120" w:line="240" w:lineRule="auto"/>
        <w:rPr>
          <w:szCs w:val="24"/>
        </w:rPr>
      </w:pPr>
      <w:r>
        <w:rPr>
          <w:szCs w:val="24"/>
        </w:rPr>
        <w:t>If the member opts for the True Metrix brand, they are not compatible with Accu-Chek meters. The Diabetic Meter Team</w:t>
      </w:r>
      <w:r w:rsidR="008C0433">
        <w:rPr>
          <w:szCs w:val="24"/>
        </w:rPr>
        <w:t xml:space="preserve"> is only able to request a free meter for Accu-Chek. Members would have to purchase a True Metrix Diabetic </w:t>
      </w:r>
      <w:r w:rsidR="002F46F6">
        <w:rPr>
          <w:szCs w:val="24"/>
        </w:rPr>
        <w:t>Meter and applicable plan</w:t>
      </w:r>
      <w:r w:rsidR="004676C5">
        <w:rPr>
          <w:szCs w:val="24"/>
        </w:rPr>
        <w:t xml:space="preserve"> </w:t>
      </w:r>
      <w:r w:rsidR="009E4DF5">
        <w:rPr>
          <w:szCs w:val="24"/>
        </w:rPr>
        <w:t>coverage,</w:t>
      </w:r>
      <w:r w:rsidR="00B2407A">
        <w:rPr>
          <w:szCs w:val="24"/>
        </w:rPr>
        <w:t xml:space="preserve"> and</w:t>
      </w:r>
      <w:r w:rsidR="002F46F6">
        <w:rPr>
          <w:szCs w:val="24"/>
        </w:rPr>
        <w:t xml:space="preserve"> cost share would apply. </w:t>
      </w:r>
    </w:p>
    <w:p w14:paraId="45079A47" w14:textId="77777777" w:rsidR="00D905C2" w:rsidRDefault="00D905C2" w:rsidP="00A430D2">
      <w:pPr>
        <w:pStyle w:val="ListParagraph"/>
        <w:spacing w:before="120" w:after="120" w:line="240" w:lineRule="auto"/>
        <w:ind w:left="1080"/>
        <w:rPr>
          <w:szCs w:val="24"/>
        </w:rPr>
      </w:pPr>
    </w:p>
    <w:p w14:paraId="77D42F32" w14:textId="72F7EEF7" w:rsidR="000E694B" w:rsidRDefault="000E694B" w:rsidP="00A430D2">
      <w:pPr>
        <w:pStyle w:val="ListParagraph"/>
        <w:numPr>
          <w:ilvl w:val="0"/>
          <w:numId w:val="8"/>
        </w:numPr>
        <w:spacing w:before="120" w:after="120" w:line="240" w:lineRule="auto"/>
        <w:rPr>
          <w:szCs w:val="24"/>
        </w:rPr>
      </w:pPr>
      <w:r>
        <w:rPr>
          <w:szCs w:val="24"/>
        </w:rPr>
        <w:t>T</w:t>
      </w:r>
      <w:r w:rsidR="00D905C2">
        <w:rPr>
          <w:szCs w:val="24"/>
        </w:rPr>
        <w:t xml:space="preserve">rue Metrix test strips will not be covered at retail CVS pharmacies. </w:t>
      </w:r>
      <w:r w:rsidR="00935647">
        <w:rPr>
          <w:szCs w:val="24"/>
        </w:rPr>
        <w:t>True Metrix</w:t>
      </w:r>
      <w:r w:rsidR="00210854">
        <w:rPr>
          <w:szCs w:val="24"/>
        </w:rPr>
        <w:t xml:space="preserve"> store branded products are available </w:t>
      </w:r>
      <w:r w:rsidR="00664888">
        <w:rPr>
          <w:szCs w:val="24"/>
        </w:rPr>
        <w:t xml:space="preserve">and will be covered </w:t>
      </w:r>
      <w:r w:rsidR="00210854">
        <w:rPr>
          <w:szCs w:val="24"/>
        </w:rPr>
        <w:t xml:space="preserve">at many </w:t>
      </w:r>
      <w:r w:rsidR="00664888">
        <w:rPr>
          <w:szCs w:val="24"/>
        </w:rPr>
        <w:t xml:space="preserve">other </w:t>
      </w:r>
      <w:r w:rsidR="00210854">
        <w:rPr>
          <w:szCs w:val="24"/>
        </w:rPr>
        <w:t>retail pharmacies and grocery store pharmacies, including but not limited to</w:t>
      </w:r>
      <w:r w:rsidR="00F04F01">
        <w:rPr>
          <w:szCs w:val="24"/>
        </w:rPr>
        <w:t xml:space="preserve"> </w:t>
      </w:r>
      <w:r w:rsidR="00050660" w:rsidRPr="00D13369">
        <w:rPr>
          <w:szCs w:val="24"/>
        </w:rPr>
        <w:t xml:space="preserve">Albertsons, Costco, H-E-B, Kroger, Rite Aid, Walgreens and Walmart.  </w:t>
      </w:r>
    </w:p>
    <w:p w14:paraId="596334ED" w14:textId="77777777" w:rsidR="00BB2705" w:rsidRPr="00D13369" w:rsidRDefault="00BB2705" w:rsidP="00A430D2">
      <w:pPr>
        <w:pStyle w:val="ListParagraph"/>
        <w:spacing w:before="120" w:after="120" w:line="240" w:lineRule="auto"/>
        <w:rPr>
          <w:szCs w:val="24"/>
        </w:rPr>
      </w:pPr>
    </w:p>
    <w:p w14:paraId="760E3ED7" w14:textId="77777777" w:rsidR="00BB2705" w:rsidRPr="00870E46" w:rsidRDefault="00BB2705" w:rsidP="00A430D2">
      <w:pPr>
        <w:numPr>
          <w:ilvl w:val="0"/>
          <w:numId w:val="5"/>
        </w:numPr>
        <w:spacing w:before="120" w:after="120" w:line="240" w:lineRule="auto"/>
        <w:rPr>
          <w:szCs w:val="24"/>
        </w:rPr>
      </w:pPr>
      <w:r w:rsidRPr="00870E46">
        <w:rPr>
          <w:b/>
          <w:bCs/>
          <w:szCs w:val="24"/>
        </w:rPr>
        <w:t>New Prescription:</w:t>
      </w:r>
      <w:r w:rsidRPr="00870E46">
        <w:rPr>
          <w:szCs w:val="24"/>
        </w:rPr>
        <w:t xml:space="preserve"> Members </w:t>
      </w:r>
      <w:r>
        <w:rPr>
          <w:szCs w:val="24"/>
        </w:rPr>
        <w:t xml:space="preserve">will need to talk to their prescriber about changing to the covered Diabetic Testing Supplies to Accu-Chek. </w:t>
      </w:r>
    </w:p>
    <w:p w14:paraId="6C4CCD0C" w14:textId="77777777" w:rsidR="00BB2705" w:rsidRPr="00D13369" w:rsidRDefault="00BB2705" w:rsidP="00A430D2">
      <w:pPr>
        <w:spacing w:before="120" w:after="120" w:line="240" w:lineRule="auto"/>
        <w:rPr>
          <w:szCs w:val="24"/>
        </w:rPr>
      </w:pPr>
    </w:p>
    <w:p w14:paraId="0BCDA2C3" w14:textId="23E79847" w:rsidR="00EB544D" w:rsidRDefault="00713E61" w:rsidP="00A430D2">
      <w:pPr>
        <w:spacing w:before="120" w:after="120" w:line="240" w:lineRule="auto"/>
        <w:jc w:val="right"/>
        <w:rPr>
          <w:szCs w:val="24"/>
        </w:rPr>
      </w:pPr>
      <w:hyperlink w:anchor="_top" w:history="1">
        <w:r w:rsidRPr="00C17D00">
          <w:rPr>
            <w:rStyle w:val="Hyperlink"/>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58059E" w:rsidRPr="0058059E" w14:paraId="23C3A434" w14:textId="77777777" w:rsidTr="00713E61">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166" w:type="dxa"/>
              <w:left w:w="108" w:type="dxa"/>
              <w:bottom w:w="108" w:type="dxa"/>
              <w:right w:w="108" w:type="dxa"/>
            </w:tcMar>
            <w:hideMark/>
          </w:tcPr>
          <w:p w14:paraId="6490D837" w14:textId="3C85AC18" w:rsidR="00BB3512" w:rsidRPr="00CC2203" w:rsidRDefault="00BB3512" w:rsidP="00A430D2">
            <w:pPr>
              <w:pStyle w:val="Heading2"/>
              <w:spacing w:before="0" w:after="0" w:line="240" w:lineRule="auto"/>
            </w:pPr>
            <w:bookmarkStart w:id="5" w:name="_Toc205999424"/>
            <w:r w:rsidRPr="00CC2203">
              <w:t>Action for Care Agents</w:t>
            </w:r>
            <w:bookmarkEnd w:id="5"/>
          </w:p>
        </w:tc>
      </w:tr>
    </w:tbl>
    <w:p w14:paraId="31A47062" w14:textId="09D7D882" w:rsidR="00032C63" w:rsidRPr="00CC2203" w:rsidRDefault="00032C63" w:rsidP="00A430D2">
      <w:pPr>
        <w:pStyle w:val="ListParagraph"/>
        <w:numPr>
          <w:ilvl w:val="0"/>
          <w:numId w:val="11"/>
        </w:numPr>
        <w:spacing w:before="120" w:after="120" w:line="240" w:lineRule="auto"/>
        <w:contextualSpacing w:val="0"/>
        <w:rPr>
          <w:rFonts w:eastAsia="Times New Roman"/>
          <w:szCs w:val="24"/>
        </w:rPr>
      </w:pPr>
      <w:r w:rsidRPr="00CC2203">
        <w:rPr>
          <w:rFonts w:eastAsia="Times New Roman"/>
          <w:szCs w:val="24"/>
        </w:rPr>
        <w:t>Agents should ask the member if they received any communication about the changes</w:t>
      </w:r>
      <w:r w:rsidR="0099701D">
        <w:rPr>
          <w:rFonts w:eastAsia="Times New Roman"/>
          <w:szCs w:val="24"/>
        </w:rPr>
        <w:t>.</w:t>
      </w:r>
      <w:r w:rsidRPr="00CC2203">
        <w:rPr>
          <w:rFonts w:eastAsia="Times New Roman"/>
          <w:szCs w:val="24"/>
        </w:rPr>
        <w:t xml:space="preserve"> </w:t>
      </w:r>
    </w:p>
    <w:p w14:paraId="0C783E17" w14:textId="6508AF1A" w:rsidR="00032C63" w:rsidRPr="00CC2203" w:rsidRDefault="00032C63" w:rsidP="00A430D2">
      <w:pPr>
        <w:pStyle w:val="ListParagraph"/>
        <w:numPr>
          <w:ilvl w:val="0"/>
          <w:numId w:val="11"/>
        </w:numPr>
        <w:spacing w:before="120" w:after="120" w:line="240" w:lineRule="auto"/>
        <w:contextualSpacing w:val="0"/>
        <w:rPr>
          <w:rFonts w:eastAsia="Times New Roman"/>
          <w:szCs w:val="24"/>
        </w:rPr>
      </w:pPr>
      <w:r w:rsidRPr="00CC2203">
        <w:rPr>
          <w:rFonts w:eastAsia="Times New Roman"/>
          <w:szCs w:val="24"/>
        </w:rPr>
        <w:t>Check the system for any letters sent regarding these formulary changes</w:t>
      </w:r>
      <w:r w:rsidR="0099701D">
        <w:rPr>
          <w:rFonts w:eastAsia="Times New Roman"/>
          <w:szCs w:val="24"/>
        </w:rPr>
        <w:t>. Refer to</w:t>
      </w:r>
      <w:r w:rsidR="00CC2203">
        <w:rPr>
          <w:rFonts w:eastAsia="Times New Roman"/>
          <w:szCs w:val="24"/>
        </w:rPr>
        <w:t xml:space="preserve"> </w:t>
      </w:r>
      <w:hyperlink r:id="rId17" w:anchor="!/view?docid=c0238ae3-ea9b-4da2-b9c9-90c8d4ad62a8" w:history="1">
        <w:r w:rsidRPr="00CC2203">
          <w:rPr>
            <w:rStyle w:val="Hyperlink"/>
            <w:szCs w:val="24"/>
          </w:rPr>
          <w:t>Compass - Viewing Communications (056371)</w:t>
        </w:r>
      </w:hyperlink>
      <w:r w:rsidR="00CC2203">
        <w:rPr>
          <w:szCs w:val="24"/>
        </w:rPr>
        <w:t>.</w:t>
      </w:r>
    </w:p>
    <w:p w14:paraId="7BF2ADB3" w14:textId="042B4D9A" w:rsidR="00032C63" w:rsidRPr="00CC2203" w:rsidRDefault="00F247D1" w:rsidP="00A430D2">
      <w:pPr>
        <w:pStyle w:val="ListParagraph"/>
        <w:numPr>
          <w:ilvl w:val="0"/>
          <w:numId w:val="11"/>
        </w:numPr>
        <w:spacing w:before="120" w:after="120" w:line="240" w:lineRule="auto"/>
        <w:contextualSpacing w:val="0"/>
        <w:rPr>
          <w:rFonts w:eastAsia="Times New Roman"/>
          <w:szCs w:val="24"/>
        </w:rPr>
      </w:pPr>
      <w:r>
        <w:rPr>
          <w:rFonts w:eastAsia="Times New Roman"/>
          <w:szCs w:val="24"/>
        </w:rPr>
        <w:t>C</w:t>
      </w:r>
      <w:r w:rsidR="00032C63" w:rsidRPr="00CC2203">
        <w:rPr>
          <w:rFonts w:eastAsia="Times New Roman"/>
          <w:szCs w:val="24"/>
        </w:rPr>
        <w:t>heck the CIF for relevant information regarding custom formularies.</w:t>
      </w:r>
    </w:p>
    <w:p w14:paraId="470DC9E7" w14:textId="77777777" w:rsidR="00F247D1" w:rsidRDefault="00032C63" w:rsidP="00A430D2">
      <w:pPr>
        <w:spacing w:before="120" w:after="120" w:line="240" w:lineRule="auto"/>
        <w:rPr>
          <w:b/>
          <w:bCs/>
          <w:szCs w:val="24"/>
        </w:rPr>
      </w:pPr>
      <w:r>
        <w:rPr>
          <w:b/>
          <w:bCs/>
          <w:szCs w:val="24"/>
        </w:rPr>
        <w:t xml:space="preserve">    </w:t>
      </w:r>
    </w:p>
    <w:p w14:paraId="34F3C5D4" w14:textId="76DAE846" w:rsidR="00BB3512" w:rsidRPr="00BB3512" w:rsidRDefault="00BB3512" w:rsidP="00F247D1">
      <w:pPr>
        <w:spacing w:before="120" w:after="120" w:line="240" w:lineRule="auto"/>
        <w:ind w:left="720"/>
        <w:rPr>
          <w:szCs w:val="24"/>
        </w:rPr>
      </w:pPr>
      <w:r w:rsidRPr="00BB3512">
        <w:rPr>
          <w:b/>
          <w:bCs/>
          <w:szCs w:val="24"/>
        </w:rPr>
        <w:t>Inform Members:</w:t>
      </w:r>
      <w:r w:rsidRPr="00BB3512">
        <w:rPr>
          <w:szCs w:val="24"/>
        </w:rPr>
        <w:t xml:space="preserve"> Be prepared to inform members about the </w:t>
      </w:r>
      <w:r w:rsidR="000F0AE5">
        <w:rPr>
          <w:szCs w:val="24"/>
        </w:rPr>
        <w:t xml:space="preserve">change in coverage </w:t>
      </w:r>
      <w:r w:rsidRPr="00BB3512">
        <w:rPr>
          <w:szCs w:val="24"/>
        </w:rPr>
        <w:t>of One Touch supplies and the new coverage for Accu-Chek.</w:t>
      </w:r>
    </w:p>
    <w:p w14:paraId="06F93447" w14:textId="5981B722" w:rsidR="00BB3512" w:rsidRPr="00BB3512" w:rsidRDefault="00BB3512" w:rsidP="00F247D1">
      <w:pPr>
        <w:spacing w:before="120" w:after="120" w:line="240" w:lineRule="auto"/>
        <w:ind w:left="720"/>
        <w:rPr>
          <w:szCs w:val="24"/>
        </w:rPr>
      </w:pPr>
      <w:r w:rsidRPr="06AC3F11">
        <w:rPr>
          <w:b/>
          <w:bCs/>
          <w:szCs w:val="24"/>
        </w:rPr>
        <w:t>Encourage Doctor Consultation:</w:t>
      </w:r>
      <w:r w:rsidRPr="06AC3F11">
        <w:rPr>
          <w:szCs w:val="24"/>
        </w:rPr>
        <w:t xml:space="preserve"> Advise members to talk to their doctors about switching to covered test strips as soon as possible</w:t>
      </w:r>
      <w:r w:rsidR="14E1B4FC" w:rsidRPr="06AC3F11">
        <w:rPr>
          <w:szCs w:val="24"/>
        </w:rPr>
        <w:t>, noting that the formulary change will not go into effect until 7/1/2025.</w:t>
      </w:r>
    </w:p>
    <w:p w14:paraId="21574E9A" w14:textId="77777777" w:rsidR="00BB3512" w:rsidRPr="00BB3512" w:rsidRDefault="00BB3512" w:rsidP="00F247D1">
      <w:pPr>
        <w:spacing w:before="120" w:after="120" w:line="240" w:lineRule="auto"/>
        <w:ind w:left="720"/>
        <w:rPr>
          <w:szCs w:val="24"/>
        </w:rPr>
      </w:pPr>
      <w:r w:rsidRPr="00BB3512">
        <w:rPr>
          <w:b/>
          <w:bCs/>
          <w:szCs w:val="24"/>
        </w:rPr>
        <w:t>Provide Ordering Information:</w:t>
      </w:r>
      <w:r w:rsidRPr="00BB3512">
        <w:rPr>
          <w:szCs w:val="24"/>
        </w:rPr>
        <w:t xml:space="preserve"> Share the ordering options for new meters and test strips.</w:t>
      </w:r>
    </w:p>
    <w:p w14:paraId="2D6F3660" w14:textId="22A47E31" w:rsidR="00BB3512" w:rsidRPr="00BB3512" w:rsidRDefault="00BB3512" w:rsidP="00F247D1">
      <w:pPr>
        <w:spacing w:before="120" w:after="120" w:line="240" w:lineRule="auto"/>
        <w:ind w:left="720"/>
        <w:rPr>
          <w:szCs w:val="24"/>
        </w:rPr>
      </w:pPr>
      <w:r w:rsidRPr="00BB3512">
        <w:rPr>
          <w:b/>
          <w:bCs/>
          <w:szCs w:val="24"/>
        </w:rPr>
        <w:t>Emphasize Cost Savings:</w:t>
      </w:r>
      <w:r w:rsidRPr="00BB3512">
        <w:rPr>
          <w:szCs w:val="24"/>
        </w:rPr>
        <w:t xml:space="preserve"> Highlight the importance of making the change to avoid paying full costs for non-covered supplies.</w:t>
      </w:r>
      <w:r w:rsidR="00D47BD0">
        <w:rPr>
          <w:szCs w:val="24"/>
        </w:rPr>
        <w:t xml:space="preserve"> Review the CIF to determine if the client participates in diabetic bundling kits, this could help reduce </w:t>
      </w:r>
      <w:r w:rsidR="00E20B5B">
        <w:rPr>
          <w:szCs w:val="24"/>
        </w:rPr>
        <w:t>the cost</w:t>
      </w:r>
      <w:r w:rsidR="00D47BD0">
        <w:rPr>
          <w:szCs w:val="24"/>
        </w:rPr>
        <w:t xml:space="preserve"> for the members for diabetic medication and supplies. </w:t>
      </w:r>
    </w:p>
    <w:p w14:paraId="1E85BED8" w14:textId="77777777" w:rsidR="00BB3512" w:rsidRDefault="00BB3512" w:rsidP="00F247D1">
      <w:pPr>
        <w:spacing w:before="120" w:after="120" w:line="240" w:lineRule="auto"/>
        <w:ind w:left="720"/>
        <w:rPr>
          <w:szCs w:val="24"/>
        </w:rPr>
      </w:pPr>
      <w:r w:rsidRPr="00BB3512">
        <w:rPr>
          <w:b/>
          <w:bCs/>
          <w:szCs w:val="24"/>
        </w:rPr>
        <w:t>Direct to Resources:</w:t>
      </w:r>
      <w:r w:rsidRPr="00BB3512">
        <w:rPr>
          <w:szCs w:val="24"/>
        </w:rPr>
        <w:t xml:space="preserve"> Guide members to Caremark.com for more information on covered products and FAQs.</w:t>
      </w:r>
    </w:p>
    <w:p w14:paraId="2D543C0A" w14:textId="77777777" w:rsidR="00DD3523" w:rsidRDefault="00DD3523" w:rsidP="00A430D2">
      <w:pPr>
        <w:spacing w:before="120" w:after="120" w:line="240" w:lineRule="auto"/>
        <w:ind w:left="720"/>
        <w:rPr>
          <w:szCs w:val="24"/>
        </w:rPr>
      </w:pPr>
    </w:p>
    <w:p w14:paraId="4AA12300" w14:textId="77777777" w:rsidR="002D3D66" w:rsidRDefault="002D3D66" w:rsidP="00A430D2">
      <w:pPr>
        <w:spacing w:before="120" w:after="120" w:line="240" w:lineRule="auto"/>
        <w:ind w:left="720"/>
        <w:rPr>
          <w:szCs w:val="24"/>
        </w:rPr>
      </w:pPr>
    </w:p>
    <w:p w14:paraId="32ED338D" w14:textId="77777777" w:rsidR="00DD3523" w:rsidRDefault="00DD3523" w:rsidP="00A430D2">
      <w:pPr>
        <w:spacing w:before="120" w:after="120" w:line="240" w:lineRule="auto"/>
        <w:rPr>
          <w:b/>
          <w:bCs/>
          <w:szCs w:val="24"/>
        </w:rPr>
      </w:pPr>
      <w:r w:rsidRPr="00F6708D">
        <w:rPr>
          <w:b/>
          <w:bCs/>
          <w:szCs w:val="24"/>
        </w:rPr>
        <w:t>Standard talking points in addressing member concerns regarding formulary changes:</w:t>
      </w:r>
    </w:p>
    <w:p w14:paraId="01657A04" w14:textId="77777777" w:rsidR="00FF65E4" w:rsidRPr="00FF65E4" w:rsidRDefault="00FF65E4" w:rsidP="001B059A">
      <w:pPr>
        <w:pStyle w:val="ListParagraph"/>
        <w:numPr>
          <w:ilvl w:val="0"/>
          <w:numId w:val="13"/>
        </w:numPr>
        <w:spacing w:before="120" w:after="120" w:line="240" w:lineRule="auto"/>
        <w:rPr>
          <w:szCs w:val="24"/>
        </w:rPr>
      </w:pPr>
      <w:r w:rsidRPr="00FF65E4">
        <w:rPr>
          <w:b/>
          <w:bCs/>
          <w:szCs w:val="24"/>
        </w:rPr>
        <w:t>Access to Medications:</w:t>
      </w:r>
      <w:r w:rsidRPr="00FF65E4">
        <w:rPr>
          <w:szCs w:val="24"/>
        </w:rPr>
        <w:t xml:space="preserve"> We are unable to provide specific reasons why certain medications are not covered or why coverage may have recently changed. CVS Caremark works diligently to ensure access to medications that are both clinically appropriate and cost-effective for our members and clients.</w:t>
      </w:r>
    </w:p>
    <w:p w14:paraId="2D0698DC" w14:textId="77777777" w:rsidR="00FF65E4" w:rsidRPr="00FF65E4" w:rsidRDefault="00FF65E4" w:rsidP="00FF65E4">
      <w:pPr>
        <w:spacing w:before="120" w:after="120" w:line="240" w:lineRule="auto"/>
        <w:rPr>
          <w:szCs w:val="24"/>
        </w:rPr>
      </w:pPr>
    </w:p>
    <w:p w14:paraId="71230C9B" w14:textId="77777777" w:rsidR="00FF65E4" w:rsidRPr="00FF65E4" w:rsidRDefault="00FF65E4" w:rsidP="001B059A">
      <w:pPr>
        <w:pStyle w:val="ListParagraph"/>
        <w:numPr>
          <w:ilvl w:val="0"/>
          <w:numId w:val="13"/>
        </w:numPr>
        <w:spacing w:before="120" w:after="120" w:line="240" w:lineRule="auto"/>
        <w:rPr>
          <w:szCs w:val="24"/>
        </w:rPr>
      </w:pPr>
      <w:r w:rsidRPr="00FF65E4">
        <w:rPr>
          <w:b/>
          <w:bCs/>
          <w:szCs w:val="24"/>
        </w:rPr>
        <w:t>Clinical Expertise:</w:t>
      </w:r>
      <w:r w:rsidRPr="00FF65E4">
        <w:rPr>
          <w:szCs w:val="24"/>
        </w:rPr>
        <w:t xml:space="preserve"> We have a panel of independent clinical experts, including physicians and pharmacists, who assist us in determining which drugs to cover. This ensures that the options we provide are clinically appropriate and cost-effective for patients.</w:t>
      </w:r>
    </w:p>
    <w:p w14:paraId="68A79619" w14:textId="77777777" w:rsidR="00FF65E4" w:rsidRPr="00FF65E4" w:rsidRDefault="00FF65E4" w:rsidP="00FF65E4">
      <w:pPr>
        <w:spacing w:before="120" w:after="120" w:line="240" w:lineRule="auto"/>
        <w:rPr>
          <w:szCs w:val="24"/>
        </w:rPr>
      </w:pPr>
    </w:p>
    <w:p w14:paraId="00362204" w14:textId="77777777" w:rsidR="00FF65E4" w:rsidRPr="00FF65E4" w:rsidRDefault="00FF65E4" w:rsidP="001B059A">
      <w:pPr>
        <w:pStyle w:val="ListParagraph"/>
        <w:numPr>
          <w:ilvl w:val="0"/>
          <w:numId w:val="13"/>
        </w:numPr>
        <w:spacing w:before="120" w:after="120" w:line="240" w:lineRule="auto"/>
        <w:rPr>
          <w:szCs w:val="24"/>
        </w:rPr>
      </w:pPr>
      <w:r w:rsidRPr="00FF65E4">
        <w:rPr>
          <w:b/>
          <w:bCs/>
          <w:szCs w:val="24"/>
        </w:rPr>
        <w:t>Market Monitoring:</w:t>
      </w:r>
      <w:r w:rsidRPr="00FF65E4">
        <w:rPr>
          <w:szCs w:val="24"/>
        </w:rPr>
        <w:t xml:space="preserve"> Our team is constantly monitoring the marketplace to deliver the best clinical and cost value possible. We encourage your doctor to review and consider all other formulary options available.</w:t>
      </w:r>
    </w:p>
    <w:p w14:paraId="37C39A44" w14:textId="77777777" w:rsidR="00FF65E4" w:rsidRPr="00FF65E4" w:rsidRDefault="00FF65E4" w:rsidP="00FF65E4">
      <w:pPr>
        <w:spacing w:before="120" w:after="120" w:line="240" w:lineRule="auto"/>
        <w:rPr>
          <w:szCs w:val="24"/>
        </w:rPr>
      </w:pPr>
    </w:p>
    <w:p w14:paraId="6601FFFD" w14:textId="00B69286" w:rsidR="00FF65E4" w:rsidRDefault="00E42AAD" w:rsidP="001B059A">
      <w:pPr>
        <w:pStyle w:val="ListParagraph"/>
        <w:numPr>
          <w:ilvl w:val="0"/>
          <w:numId w:val="13"/>
        </w:numPr>
        <w:spacing w:before="120" w:after="120" w:line="240" w:lineRule="auto"/>
        <w:rPr>
          <w:szCs w:val="24"/>
        </w:rPr>
      </w:pPr>
      <w:r>
        <w:rPr>
          <w:noProof/>
          <w:szCs w:val="24"/>
        </w:rPr>
        <w:drawing>
          <wp:inline distT="0" distB="0" distL="0" distR="0" wp14:anchorId="771FC87D" wp14:editId="195B4AE4">
            <wp:extent cx="304762" cy="304762"/>
            <wp:effectExtent l="0" t="0" r="635" b="635"/>
            <wp:docPr id="150315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27884" name="Picture 722127884"/>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F65E4" w:rsidRPr="00FF65E4">
        <w:rPr>
          <w:b/>
          <w:bCs/>
          <w:szCs w:val="24"/>
        </w:rPr>
        <w:t>Choice and Final Decision:</w:t>
      </w:r>
      <w:r w:rsidR="00FF65E4" w:rsidRPr="00FF65E4">
        <w:rPr>
          <w:szCs w:val="24"/>
        </w:rPr>
        <w:t xml:space="preserve"> You have the choice to continue with your current medication, and your doctor always has the final say on what medication is best for your condition. However, if you decide to continue taking your current medication, please be aware that you should expect to pay the full cost.</w:t>
      </w:r>
      <w:r w:rsidR="00627822">
        <w:rPr>
          <w:szCs w:val="24"/>
        </w:rPr>
        <w:t xml:space="preserve"> Refer to </w:t>
      </w:r>
      <w:hyperlink r:id="rId18" w:anchor="!/view?docid=62aa67ac-8298-4fa1-b1ba-fda383d15b4c" w:history="1">
        <w:r w:rsidR="00627822" w:rsidRPr="004A0965">
          <w:rPr>
            <w:rStyle w:val="Hyperlink"/>
            <w:szCs w:val="24"/>
          </w:rPr>
          <w:t xml:space="preserve">Member Cannot Afford Medication (Alternatives and Financial Assistance) </w:t>
        </w:r>
        <w:r w:rsidR="00D910F1" w:rsidRPr="004A0965">
          <w:rPr>
            <w:rStyle w:val="Hyperlink"/>
            <w:szCs w:val="24"/>
          </w:rPr>
          <w:t>(</w:t>
        </w:r>
        <w:r w:rsidR="00627822" w:rsidRPr="004A0965">
          <w:rPr>
            <w:rStyle w:val="Hyperlink"/>
            <w:szCs w:val="24"/>
          </w:rPr>
          <w:t>026963</w:t>
        </w:r>
        <w:r w:rsidR="00D910F1" w:rsidRPr="004A0965">
          <w:rPr>
            <w:rStyle w:val="Hyperlink"/>
            <w:szCs w:val="24"/>
          </w:rPr>
          <w:t>)</w:t>
        </w:r>
      </w:hyperlink>
      <w:r w:rsidR="00721BFB">
        <w:rPr>
          <w:szCs w:val="24"/>
        </w:rPr>
        <w:t xml:space="preserve"> or</w:t>
      </w:r>
      <w:r w:rsidR="00B45B4A">
        <w:rPr>
          <w:szCs w:val="24"/>
        </w:rPr>
        <w:t xml:space="preserve"> </w:t>
      </w:r>
      <w:hyperlink r:id="rId19" w:anchor="!/view?docid=a77ff19c-ab58-4967-be5e-0a7dd12fd0bc" w:history="1">
        <w:r w:rsidR="00B45B4A" w:rsidRPr="00B45B4A">
          <w:rPr>
            <w:rStyle w:val="Hyperlink"/>
            <w:szCs w:val="24"/>
          </w:rPr>
          <w:t>Aetna Compass - Member Cannot Afford Medication (Alternatives and Financial Assistance)</w:t>
        </w:r>
        <w:r w:rsidR="00721BFB" w:rsidRPr="00B45B4A">
          <w:rPr>
            <w:rStyle w:val="Hyperlink"/>
            <w:szCs w:val="24"/>
          </w:rPr>
          <w:t xml:space="preserve"> </w:t>
        </w:r>
        <w:r w:rsidR="00B45B4A" w:rsidRPr="00B45B4A">
          <w:rPr>
            <w:rStyle w:val="Hyperlink"/>
            <w:szCs w:val="24"/>
          </w:rPr>
          <w:t>(064676)</w:t>
        </w:r>
      </w:hyperlink>
      <w:r w:rsidR="007A4258">
        <w:rPr>
          <w:szCs w:val="24"/>
        </w:rPr>
        <w:t>.</w:t>
      </w:r>
    </w:p>
    <w:bookmarkStart w:id="6" w:name="_Toc57012853"/>
    <w:bookmarkStart w:id="7" w:name="Save_Time"/>
    <w:bookmarkStart w:id="8" w:name="_Toc57012854"/>
    <w:bookmarkEnd w:id="6"/>
    <w:bookmarkEnd w:id="7"/>
    <w:bookmarkEnd w:id="8"/>
    <w:p w14:paraId="75D39988" w14:textId="3D6CD608" w:rsidR="0063537A" w:rsidRPr="00DD3376" w:rsidRDefault="0063537A" w:rsidP="00A430D2">
      <w:pPr>
        <w:spacing w:before="120" w:after="120" w:line="240" w:lineRule="auto"/>
        <w:ind w:left="360"/>
        <w:jc w:val="right"/>
        <w:rPr>
          <w:szCs w:val="24"/>
        </w:rPr>
      </w:pPr>
      <w:r>
        <w:fldChar w:fldCharType="begin"/>
      </w:r>
      <w:r>
        <w:instrText>HYPERLINK \l "_top"</w:instrText>
      </w:r>
      <w:r>
        <w:fldChar w:fldCharType="separate"/>
      </w:r>
      <w:r w:rsidRPr="00C17D00">
        <w:rPr>
          <w:rStyle w:val="Hyperlink"/>
          <w:szCs w:val="24"/>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63537A" w:rsidRPr="00543BF2" w14:paraId="4D1EA335" w14:textId="77777777" w:rsidTr="00E42AAD">
        <w:tc>
          <w:tcPr>
            <w:tcW w:w="5000" w:type="pct"/>
            <w:shd w:val="clear" w:color="auto" w:fill="C0C0C0"/>
          </w:tcPr>
          <w:p w14:paraId="51B5F902" w14:textId="77777777" w:rsidR="0063537A" w:rsidRPr="00CC2203" w:rsidRDefault="0063537A" w:rsidP="00A430D2">
            <w:pPr>
              <w:pStyle w:val="Heading2"/>
              <w:spacing w:before="120" w:after="120"/>
            </w:pPr>
            <w:bookmarkStart w:id="9" w:name="_Available_Task_Types"/>
            <w:bookmarkStart w:id="10" w:name="_Various_Work_Instructions_2"/>
            <w:bookmarkStart w:id="11" w:name="_Log_Activity:"/>
            <w:bookmarkStart w:id="12" w:name="_Toc196725818"/>
            <w:bookmarkStart w:id="13" w:name="_Toc196986783"/>
            <w:bookmarkStart w:id="14" w:name="_Toc205999425"/>
            <w:bookmarkEnd w:id="9"/>
            <w:bookmarkEnd w:id="10"/>
            <w:bookmarkEnd w:id="11"/>
            <w:r w:rsidRPr="00CC2203">
              <w:t>Related Documents</w:t>
            </w:r>
            <w:bookmarkEnd w:id="12"/>
            <w:bookmarkEnd w:id="13"/>
            <w:bookmarkEnd w:id="14"/>
            <w:r w:rsidRPr="00CC2203">
              <w:t xml:space="preserve"> </w:t>
            </w:r>
          </w:p>
        </w:tc>
      </w:tr>
    </w:tbl>
    <w:p w14:paraId="36ACC7B1" w14:textId="270E37AF" w:rsidR="00470302" w:rsidRDefault="00E42AAD" w:rsidP="00A430D2">
      <w:pPr>
        <w:spacing w:before="120" w:after="120" w:line="240" w:lineRule="auto"/>
        <w:rPr>
          <w:rStyle w:val="Hyperlink"/>
          <w:szCs w:val="24"/>
        </w:rPr>
      </w:pPr>
      <w:r>
        <w:rPr>
          <w:noProof/>
          <w:szCs w:val="24"/>
        </w:rPr>
        <w:drawing>
          <wp:inline distT="0" distB="0" distL="0" distR="0" wp14:anchorId="367F08D5" wp14:editId="42829C6F">
            <wp:extent cx="304762" cy="304762"/>
            <wp:effectExtent l="0" t="0" r="635" b="635"/>
            <wp:docPr id="67875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27884" name="Picture 722127884"/>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20" w:anchor="!/view?docid=eea2c64c-d61c-4cd5-a2ab-444fcde92964" w:history="1">
        <w:r w:rsidR="00B349D0">
          <w:rPr>
            <w:rStyle w:val="Hyperlink"/>
            <w:szCs w:val="24"/>
          </w:rPr>
          <w:t>Compass - Standard Formulary Changes (065563)</w:t>
        </w:r>
      </w:hyperlink>
    </w:p>
    <w:p w14:paraId="19B47A6D" w14:textId="26427523" w:rsidR="001C7051" w:rsidRPr="00713E61" w:rsidRDefault="001C7051" w:rsidP="00A430D2">
      <w:pPr>
        <w:spacing w:before="120" w:after="120" w:line="240" w:lineRule="auto"/>
        <w:rPr>
          <w:szCs w:val="24"/>
        </w:rPr>
      </w:pPr>
      <w:hyperlink r:id="rId21" w:anchor="!/view?docid=12a95cea-1a70-41c8-83bf-b424b7578ab8" w:history="1">
        <w:r w:rsidRPr="00B250C6">
          <w:rPr>
            <w:rStyle w:val="Hyperlink"/>
            <w:szCs w:val="24"/>
          </w:rPr>
          <w:t xml:space="preserve">Aetna - Commercial Changes to Drug Lists / Formulary Updates FAQs </w:t>
        </w:r>
        <w:r w:rsidR="00FA63E9" w:rsidRPr="00B250C6">
          <w:rPr>
            <w:rStyle w:val="Hyperlink"/>
            <w:szCs w:val="24"/>
          </w:rPr>
          <w:t>(</w:t>
        </w:r>
        <w:r w:rsidRPr="00B250C6">
          <w:rPr>
            <w:rStyle w:val="Hyperlink"/>
            <w:szCs w:val="24"/>
          </w:rPr>
          <w:t>010891</w:t>
        </w:r>
        <w:r w:rsidR="00FA63E9" w:rsidRPr="00B250C6">
          <w:rPr>
            <w:rStyle w:val="Hyperlink"/>
            <w:szCs w:val="24"/>
          </w:rPr>
          <w:t>)</w:t>
        </w:r>
      </w:hyperlink>
    </w:p>
    <w:p w14:paraId="4616970B" w14:textId="38E250DC" w:rsidR="00470302" w:rsidRPr="00D331C2" w:rsidRDefault="00470302" w:rsidP="00A430D2">
      <w:pPr>
        <w:spacing w:before="120" w:after="120" w:line="240" w:lineRule="auto"/>
        <w:rPr>
          <w:szCs w:val="24"/>
        </w:rPr>
      </w:pPr>
      <w:hyperlink r:id="rId22" w:anchor="!/view?docid=91eac667-77eb-4131-8351-979ec7e1ae2e" w:history="1">
        <w:r w:rsidRPr="00713E61">
          <w:rPr>
            <w:rStyle w:val="Hyperlink"/>
            <w:szCs w:val="24"/>
          </w:rPr>
          <w:t>Diabetic Programs &amp; Supplies Index</w:t>
        </w:r>
        <w:r w:rsidR="00090EF2" w:rsidRPr="00713E61">
          <w:rPr>
            <w:rStyle w:val="Hyperlink"/>
            <w:szCs w:val="24"/>
          </w:rPr>
          <w:t xml:space="preserve"> (049788)</w:t>
        </w:r>
      </w:hyperlink>
    </w:p>
    <w:p w14:paraId="7CB6B5B6" w14:textId="15FBF219" w:rsidR="006701E0" w:rsidRDefault="00D331C2" w:rsidP="00A430D2">
      <w:pPr>
        <w:spacing w:before="120" w:after="120"/>
        <w:jc w:val="right"/>
      </w:pPr>
      <w:hyperlink w:anchor="_top" w:history="1">
        <w:r w:rsidRPr="00C17D00">
          <w:rPr>
            <w:rStyle w:val="Hyperlink"/>
            <w:szCs w:val="24"/>
          </w:rPr>
          <w:t>Top of the Document</w:t>
        </w:r>
      </w:hyperlink>
    </w:p>
    <w:p w14:paraId="61FE250B" w14:textId="77777777" w:rsidR="00A430D2" w:rsidRDefault="00A430D2" w:rsidP="00A430D2">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300FAC1A" w14:textId="1B66D651" w:rsidR="00A430D2" w:rsidRPr="00A430D2" w:rsidRDefault="00A430D2" w:rsidP="00A430D2">
      <w:pPr>
        <w:pStyle w:val="NormalWeb"/>
        <w:spacing w:before="0" w:beforeAutospacing="0" w:after="0" w:afterAutospacing="0"/>
        <w:jc w:val="center"/>
        <w:rPr>
          <w:rFonts w:ascii="Verdana" w:eastAsia="Calibri" w:hAnsi="Verdana" w:cs="Calibri"/>
        </w:rPr>
      </w:pPr>
      <w:r>
        <w:rPr>
          <w:rFonts w:ascii="Verdana" w:hAnsi="Verdana"/>
          <w:b/>
          <w:bCs/>
          <w:color w:val="000000"/>
          <w:sz w:val="16"/>
          <w:szCs w:val="16"/>
        </w:rPr>
        <w:t>ELECTRONIC DATA = OFFICIAL VERSION / PAPER COPY = INFORMATIONAL ONLY</w:t>
      </w:r>
    </w:p>
    <w:sectPr w:rsidR="00A430D2" w:rsidRPr="00A4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7.25pt;visibility:visible;mso-wrap-style:square" o:bullet="t">
        <v:imagedata r:id="rId1" o:title=""/>
      </v:shape>
    </w:pict>
  </w:numPicBullet>
  <w:numPicBullet w:numPicBulletId="1">
    <w:pict>
      <v:shape id="_x0000_i1027" type="#_x0000_t75" style="width:18.75pt;height:16.5pt;visibility:visible;mso-wrap-style:square" o:bullet="t">
        <v:imagedata r:id="rId2" o:title=""/>
      </v:shape>
    </w:pict>
  </w:numPicBullet>
  <w:abstractNum w:abstractNumId="0" w15:restartNumberingAfterBreak="0">
    <w:nsid w:val="0A8A7841"/>
    <w:multiLevelType w:val="multilevel"/>
    <w:tmpl w:val="7270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B72A9"/>
    <w:multiLevelType w:val="hybridMultilevel"/>
    <w:tmpl w:val="232A81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083BB6"/>
    <w:multiLevelType w:val="hybridMultilevel"/>
    <w:tmpl w:val="C3CA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D4E47"/>
    <w:multiLevelType w:val="multilevel"/>
    <w:tmpl w:val="9A58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863B3"/>
    <w:multiLevelType w:val="hybridMultilevel"/>
    <w:tmpl w:val="3EAA7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C41105"/>
    <w:multiLevelType w:val="multilevel"/>
    <w:tmpl w:val="400E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B3026"/>
    <w:multiLevelType w:val="hybridMultilevel"/>
    <w:tmpl w:val="B5B8F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21999"/>
    <w:multiLevelType w:val="hybridMultilevel"/>
    <w:tmpl w:val="1C8EC118"/>
    <w:lvl w:ilvl="0" w:tplc="6652AC96">
      <w:start w:val="1"/>
      <w:numFmt w:val="decimal"/>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C2655"/>
    <w:multiLevelType w:val="hybridMultilevel"/>
    <w:tmpl w:val="68FCEB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5B38B5"/>
    <w:multiLevelType w:val="multilevel"/>
    <w:tmpl w:val="8F44CC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heme="minorHAnsi" w:hAnsi="Verdana"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91FE0"/>
    <w:multiLevelType w:val="multilevel"/>
    <w:tmpl w:val="22AC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114CAE"/>
    <w:multiLevelType w:val="multilevel"/>
    <w:tmpl w:val="DDC2D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D60FBF"/>
    <w:multiLevelType w:val="multilevel"/>
    <w:tmpl w:val="655C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0737D5"/>
    <w:multiLevelType w:val="multilevel"/>
    <w:tmpl w:val="494E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C3086"/>
    <w:multiLevelType w:val="multilevel"/>
    <w:tmpl w:val="7D0CD56E"/>
    <w:lvl w:ilvl="0">
      <w:start w:val="1"/>
      <w:numFmt w:val="bullet"/>
      <w:lvlText w:val=""/>
      <w:lvlJc w:val="left"/>
      <w:pPr>
        <w:tabs>
          <w:tab w:val="num" w:pos="-392"/>
        </w:tabs>
        <w:ind w:left="-392" w:hanging="360"/>
      </w:pPr>
      <w:rPr>
        <w:rFonts w:ascii="Symbol" w:hAnsi="Symbol" w:hint="default"/>
        <w:sz w:val="20"/>
      </w:rPr>
    </w:lvl>
    <w:lvl w:ilvl="1" w:tentative="1">
      <w:start w:val="1"/>
      <w:numFmt w:val="bullet"/>
      <w:lvlText w:val=""/>
      <w:lvlJc w:val="left"/>
      <w:pPr>
        <w:tabs>
          <w:tab w:val="num" w:pos="328"/>
        </w:tabs>
        <w:ind w:left="328" w:hanging="360"/>
      </w:pPr>
      <w:rPr>
        <w:rFonts w:ascii="Symbol" w:hAnsi="Symbol" w:hint="default"/>
        <w:sz w:val="20"/>
      </w:rPr>
    </w:lvl>
    <w:lvl w:ilvl="2" w:tentative="1">
      <w:start w:val="1"/>
      <w:numFmt w:val="bullet"/>
      <w:lvlText w:val=""/>
      <w:lvlJc w:val="left"/>
      <w:pPr>
        <w:tabs>
          <w:tab w:val="num" w:pos="1048"/>
        </w:tabs>
        <w:ind w:left="1048" w:hanging="360"/>
      </w:pPr>
      <w:rPr>
        <w:rFonts w:ascii="Symbol" w:hAnsi="Symbol" w:hint="default"/>
        <w:sz w:val="20"/>
      </w:rPr>
    </w:lvl>
    <w:lvl w:ilvl="3" w:tentative="1">
      <w:start w:val="1"/>
      <w:numFmt w:val="bullet"/>
      <w:lvlText w:val=""/>
      <w:lvlJc w:val="left"/>
      <w:pPr>
        <w:tabs>
          <w:tab w:val="num" w:pos="1768"/>
        </w:tabs>
        <w:ind w:left="1768" w:hanging="360"/>
      </w:pPr>
      <w:rPr>
        <w:rFonts w:ascii="Symbol" w:hAnsi="Symbol" w:hint="default"/>
        <w:sz w:val="20"/>
      </w:rPr>
    </w:lvl>
    <w:lvl w:ilvl="4" w:tentative="1">
      <w:start w:val="1"/>
      <w:numFmt w:val="bullet"/>
      <w:lvlText w:val=""/>
      <w:lvlJc w:val="left"/>
      <w:pPr>
        <w:tabs>
          <w:tab w:val="num" w:pos="2488"/>
        </w:tabs>
        <w:ind w:left="2488" w:hanging="360"/>
      </w:pPr>
      <w:rPr>
        <w:rFonts w:ascii="Symbol" w:hAnsi="Symbol" w:hint="default"/>
        <w:sz w:val="20"/>
      </w:rPr>
    </w:lvl>
    <w:lvl w:ilvl="5" w:tentative="1">
      <w:start w:val="1"/>
      <w:numFmt w:val="bullet"/>
      <w:lvlText w:val=""/>
      <w:lvlJc w:val="left"/>
      <w:pPr>
        <w:tabs>
          <w:tab w:val="num" w:pos="3208"/>
        </w:tabs>
        <w:ind w:left="3208" w:hanging="360"/>
      </w:pPr>
      <w:rPr>
        <w:rFonts w:ascii="Symbol" w:hAnsi="Symbol" w:hint="default"/>
        <w:sz w:val="20"/>
      </w:rPr>
    </w:lvl>
    <w:lvl w:ilvl="6" w:tentative="1">
      <w:start w:val="1"/>
      <w:numFmt w:val="bullet"/>
      <w:lvlText w:val=""/>
      <w:lvlJc w:val="left"/>
      <w:pPr>
        <w:tabs>
          <w:tab w:val="num" w:pos="3928"/>
        </w:tabs>
        <w:ind w:left="3928" w:hanging="360"/>
      </w:pPr>
      <w:rPr>
        <w:rFonts w:ascii="Symbol" w:hAnsi="Symbol" w:hint="default"/>
        <w:sz w:val="20"/>
      </w:rPr>
    </w:lvl>
    <w:lvl w:ilvl="7" w:tentative="1">
      <w:start w:val="1"/>
      <w:numFmt w:val="bullet"/>
      <w:lvlText w:val=""/>
      <w:lvlJc w:val="left"/>
      <w:pPr>
        <w:tabs>
          <w:tab w:val="num" w:pos="4648"/>
        </w:tabs>
        <w:ind w:left="4648" w:hanging="360"/>
      </w:pPr>
      <w:rPr>
        <w:rFonts w:ascii="Symbol" w:hAnsi="Symbol" w:hint="default"/>
        <w:sz w:val="20"/>
      </w:rPr>
    </w:lvl>
    <w:lvl w:ilvl="8" w:tentative="1">
      <w:start w:val="1"/>
      <w:numFmt w:val="bullet"/>
      <w:lvlText w:val=""/>
      <w:lvlJc w:val="left"/>
      <w:pPr>
        <w:tabs>
          <w:tab w:val="num" w:pos="5368"/>
        </w:tabs>
        <w:ind w:left="5368" w:hanging="360"/>
      </w:pPr>
      <w:rPr>
        <w:rFonts w:ascii="Symbol" w:hAnsi="Symbol" w:hint="default"/>
        <w:sz w:val="20"/>
      </w:rPr>
    </w:lvl>
  </w:abstractNum>
  <w:abstractNum w:abstractNumId="15" w15:restartNumberingAfterBreak="0">
    <w:nsid w:val="618D1C46"/>
    <w:multiLevelType w:val="hybridMultilevel"/>
    <w:tmpl w:val="A856806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A7108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CB102A4"/>
    <w:multiLevelType w:val="multilevel"/>
    <w:tmpl w:val="1C58B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39414E"/>
    <w:multiLevelType w:val="hybridMultilevel"/>
    <w:tmpl w:val="FC88A8B8"/>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4296A"/>
    <w:multiLevelType w:val="multilevel"/>
    <w:tmpl w:val="13D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F41F44"/>
    <w:multiLevelType w:val="hybridMultilevel"/>
    <w:tmpl w:val="25FC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790262"/>
    <w:multiLevelType w:val="hybridMultilevel"/>
    <w:tmpl w:val="89D0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62005">
    <w:abstractNumId w:val="11"/>
  </w:num>
  <w:num w:numId="2" w16cid:durableId="1840074698">
    <w:abstractNumId w:val="5"/>
  </w:num>
  <w:num w:numId="3" w16cid:durableId="686709548">
    <w:abstractNumId w:val="3"/>
  </w:num>
  <w:num w:numId="4" w16cid:durableId="2073698308">
    <w:abstractNumId w:val="0"/>
  </w:num>
  <w:num w:numId="5" w16cid:durableId="1501264906">
    <w:abstractNumId w:val="9"/>
  </w:num>
  <w:num w:numId="6" w16cid:durableId="1104838212">
    <w:abstractNumId w:val="13"/>
  </w:num>
  <w:num w:numId="7" w16cid:durableId="2136606437">
    <w:abstractNumId w:val="8"/>
  </w:num>
  <w:num w:numId="8" w16cid:durableId="167335264">
    <w:abstractNumId w:val="1"/>
  </w:num>
  <w:num w:numId="9" w16cid:durableId="873276717">
    <w:abstractNumId w:val="16"/>
  </w:num>
  <w:num w:numId="10" w16cid:durableId="503740706">
    <w:abstractNumId w:val="10"/>
  </w:num>
  <w:num w:numId="11" w16cid:durableId="418916463">
    <w:abstractNumId w:val="20"/>
  </w:num>
  <w:num w:numId="12" w16cid:durableId="392436079">
    <w:abstractNumId w:val="21"/>
  </w:num>
  <w:num w:numId="13" w16cid:durableId="1648322549">
    <w:abstractNumId w:val="18"/>
  </w:num>
  <w:num w:numId="14" w16cid:durableId="856777155">
    <w:abstractNumId w:val="14"/>
  </w:num>
  <w:num w:numId="15" w16cid:durableId="864169278">
    <w:abstractNumId w:val="12"/>
  </w:num>
  <w:num w:numId="16" w16cid:durableId="322398760">
    <w:abstractNumId w:val="19"/>
  </w:num>
  <w:num w:numId="17" w16cid:durableId="1523275871">
    <w:abstractNumId w:val="17"/>
  </w:num>
  <w:num w:numId="18" w16cid:durableId="1343508435">
    <w:abstractNumId w:val="4"/>
  </w:num>
  <w:num w:numId="19" w16cid:durableId="2008242660">
    <w:abstractNumId w:val="2"/>
  </w:num>
  <w:num w:numId="20" w16cid:durableId="404768586">
    <w:abstractNumId w:val="6"/>
  </w:num>
  <w:num w:numId="21" w16cid:durableId="911083172">
    <w:abstractNumId w:val="15"/>
  </w:num>
  <w:num w:numId="22" w16cid:durableId="304240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E0"/>
    <w:rsid w:val="00000485"/>
    <w:rsid w:val="00023323"/>
    <w:rsid w:val="00023859"/>
    <w:rsid w:val="000323A7"/>
    <w:rsid w:val="00032C63"/>
    <w:rsid w:val="00050660"/>
    <w:rsid w:val="00053E3E"/>
    <w:rsid w:val="000570B7"/>
    <w:rsid w:val="00057C7E"/>
    <w:rsid w:val="00063438"/>
    <w:rsid w:val="00082111"/>
    <w:rsid w:val="00090EF2"/>
    <w:rsid w:val="000A1C6F"/>
    <w:rsid w:val="000A1D3B"/>
    <w:rsid w:val="000B3509"/>
    <w:rsid w:val="000B4B16"/>
    <w:rsid w:val="000C2852"/>
    <w:rsid w:val="000C448B"/>
    <w:rsid w:val="000D2439"/>
    <w:rsid w:val="000D6925"/>
    <w:rsid w:val="000E5EFA"/>
    <w:rsid w:val="000E694B"/>
    <w:rsid w:val="000F0AE5"/>
    <w:rsid w:val="000F702E"/>
    <w:rsid w:val="00100717"/>
    <w:rsid w:val="00101225"/>
    <w:rsid w:val="0012439C"/>
    <w:rsid w:val="0013431D"/>
    <w:rsid w:val="001478AB"/>
    <w:rsid w:val="00151464"/>
    <w:rsid w:val="00153139"/>
    <w:rsid w:val="00155A99"/>
    <w:rsid w:val="00160774"/>
    <w:rsid w:val="00174AC2"/>
    <w:rsid w:val="00175A5F"/>
    <w:rsid w:val="00177007"/>
    <w:rsid w:val="00177CE3"/>
    <w:rsid w:val="0018261C"/>
    <w:rsid w:val="00192082"/>
    <w:rsid w:val="001B059A"/>
    <w:rsid w:val="001B2CB5"/>
    <w:rsid w:val="001C114A"/>
    <w:rsid w:val="001C4537"/>
    <w:rsid w:val="001C7051"/>
    <w:rsid w:val="001D35DF"/>
    <w:rsid w:val="001E4C69"/>
    <w:rsid w:val="001F52E0"/>
    <w:rsid w:val="00203876"/>
    <w:rsid w:val="00206209"/>
    <w:rsid w:val="00210854"/>
    <w:rsid w:val="00222CEF"/>
    <w:rsid w:val="0022487D"/>
    <w:rsid w:val="00234101"/>
    <w:rsid w:val="00252D1A"/>
    <w:rsid w:val="00273D80"/>
    <w:rsid w:val="002811AE"/>
    <w:rsid w:val="002B48C4"/>
    <w:rsid w:val="002C211A"/>
    <w:rsid w:val="002C4567"/>
    <w:rsid w:val="002D3D66"/>
    <w:rsid w:val="002E4F64"/>
    <w:rsid w:val="002F0906"/>
    <w:rsid w:val="002F1213"/>
    <w:rsid w:val="002F2470"/>
    <w:rsid w:val="002F3722"/>
    <w:rsid w:val="002F46F6"/>
    <w:rsid w:val="002F4FC3"/>
    <w:rsid w:val="00311054"/>
    <w:rsid w:val="00323599"/>
    <w:rsid w:val="003348FF"/>
    <w:rsid w:val="003369F1"/>
    <w:rsid w:val="0035159A"/>
    <w:rsid w:val="003542F7"/>
    <w:rsid w:val="00357FDC"/>
    <w:rsid w:val="00366884"/>
    <w:rsid w:val="00372AE2"/>
    <w:rsid w:val="00372C43"/>
    <w:rsid w:val="00386847"/>
    <w:rsid w:val="003961FB"/>
    <w:rsid w:val="00397551"/>
    <w:rsid w:val="003A24AB"/>
    <w:rsid w:val="003B61A9"/>
    <w:rsid w:val="003D3504"/>
    <w:rsid w:val="0040049C"/>
    <w:rsid w:val="004129EF"/>
    <w:rsid w:val="00436BB0"/>
    <w:rsid w:val="00445C27"/>
    <w:rsid w:val="00463D5F"/>
    <w:rsid w:val="00465036"/>
    <w:rsid w:val="004676C5"/>
    <w:rsid w:val="00470302"/>
    <w:rsid w:val="0047069D"/>
    <w:rsid w:val="0047080C"/>
    <w:rsid w:val="00492AF3"/>
    <w:rsid w:val="004A0965"/>
    <w:rsid w:val="004C0F8C"/>
    <w:rsid w:val="004D31BE"/>
    <w:rsid w:val="004E3D6D"/>
    <w:rsid w:val="004E5854"/>
    <w:rsid w:val="004F3AF5"/>
    <w:rsid w:val="004F5158"/>
    <w:rsid w:val="00504E53"/>
    <w:rsid w:val="00511629"/>
    <w:rsid w:val="00522527"/>
    <w:rsid w:val="00524252"/>
    <w:rsid w:val="00533A67"/>
    <w:rsid w:val="005528C4"/>
    <w:rsid w:val="00556CB9"/>
    <w:rsid w:val="0056442F"/>
    <w:rsid w:val="00565724"/>
    <w:rsid w:val="005764D6"/>
    <w:rsid w:val="005804CF"/>
    <w:rsid w:val="0058059E"/>
    <w:rsid w:val="0059337A"/>
    <w:rsid w:val="0059670F"/>
    <w:rsid w:val="005A0613"/>
    <w:rsid w:val="005C5DCA"/>
    <w:rsid w:val="005E13FE"/>
    <w:rsid w:val="005E3AF5"/>
    <w:rsid w:val="005E5C43"/>
    <w:rsid w:val="00614B43"/>
    <w:rsid w:val="006209EB"/>
    <w:rsid w:val="00627822"/>
    <w:rsid w:val="0063537A"/>
    <w:rsid w:val="006531DD"/>
    <w:rsid w:val="00664888"/>
    <w:rsid w:val="006701E0"/>
    <w:rsid w:val="00680491"/>
    <w:rsid w:val="006A2C95"/>
    <w:rsid w:val="006A5AA8"/>
    <w:rsid w:val="006B24E5"/>
    <w:rsid w:val="006B30EB"/>
    <w:rsid w:val="006C34E9"/>
    <w:rsid w:val="00706889"/>
    <w:rsid w:val="00712501"/>
    <w:rsid w:val="00713E61"/>
    <w:rsid w:val="00715C4C"/>
    <w:rsid w:val="00717C48"/>
    <w:rsid w:val="00721BFB"/>
    <w:rsid w:val="007701B2"/>
    <w:rsid w:val="00775D36"/>
    <w:rsid w:val="00780A89"/>
    <w:rsid w:val="007A3246"/>
    <w:rsid w:val="007A4258"/>
    <w:rsid w:val="007B5941"/>
    <w:rsid w:val="007D697A"/>
    <w:rsid w:val="007F08B4"/>
    <w:rsid w:val="007F435A"/>
    <w:rsid w:val="008032B2"/>
    <w:rsid w:val="008106B5"/>
    <w:rsid w:val="008333F5"/>
    <w:rsid w:val="00834D40"/>
    <w:rsid w:val="00835D26"/>
    <w:rsid w:val="00835D75"/>
    <w:rsid w:val="00846D21"/>
    <w:rsid w:val="008605B9"/>
    <w:rsid w:val="00873D7B"/>
    <w:rsid w:val="008775D8"/>
    <w:rsid w:val="008B1F64"/>
    <w:rsid w:val="008B4AAE"/>
    <w:rsid w:val="008C0433"/>
    <w:rsid w:val="008C3026"/>
    <w:rsid w:val="008C482F"/>
    <w:rsid w:val="008D6117"/>
    <w:rsid w:val="008E7BCF"/>
    <w:rsid w:val="00901BC5"/>
    <w:rsid w:val="00903436"/>
    <w:rsid w:val="009170EE"/>
    <w:rsid w:val="00921873"/>
    <w:rsid w:val="0092425F"/>
    <w:rsid w:val="0092571C"/>
    <w:rsid w:val="00935647"/>
    <w:rsid w:val="00940E18"/>
    <w:rsid w:val="00967837"/>
    <w:rsid w:val="0097142E"/>
    <w:rsid w:val="0097473D"/>
    <w:rsid w:val="009849DF"/>
    <w:rsid w:val="00993343"/>
    <w:rsid w:val="0099701D"/>
    <w:rsid w:val="009B0217"/>
    <w:rsid w:val="009B0D46"/>
    <w:rsid w:val="009E4DF5"/>
    <w:rsid w:val="009E5185"/>
    <w:rsid w:val="009E6FE8"/>
    <w:rsid w:val="009F6F38"/>
    <w:rsid w:val="00A07505"/>
    <w:rsid w:val="00A220AB"/>
    <w:rsid w:val="00A33238"/>
    <w:rsid w:val="00A4084D"/>
    <w:rsid w:val="00A428CE"/>
    <w:rsid w:val="00A430D2"/>
    <w:rsid w:val="00A4597A"/>
    <w:rsid w:val="00A477E5"/>
    <w:rsid w:val="00A579F5"/>
    <w:rsid w:val="00A65B27"/>
    <w:rsid w:val="00AC7ADF"/>
    <w:rsid w:val="00B03F23"/>
    <w:rsid w:val="00B105B4"/>
    <w:rsid w:val="00B14D3A"/>
    <w:rsid w:val="00B150CA"/>
    <w:rsid w:val="00B2407A"/>
    <w:rsid w:val="00B250C6"/>
    <w:rsid w:val="00B25B41"/>
    <w:rsid w:val="00B30981"/>
    <w:rsid w:val="00B30AD2"/>
    <w:rsid w:val="00B349D0"/>
    <w:rsid w:val="00B42206"/>
    <w:rsid w:val="00B45B4A"/>
    <w:rsid w:val="00B50F1C"/>
    <w:rsid w:val="00B52862"/>
    <w:rsid w:val="00B53333"/>
    <w:rsid w:val="00B60AE3"/>
    <w:rsid w:val="00B6195D"/>
    <w:rsid w:val="00B82DCE"/>
    <w:rsid w:val="00B84201"/>
    <w:rsid w:val="00B921B8"/>
    <w:rsid w:val="00BA5D41"/>
    <w:rsid w:val="00BB2705"/>
    <w:rsid w:val="00BB3512"/>
    <w:rsid w:val="00BB3EA0"/>
    <w:rsid w:val="00BB5807"/>
    <w:rsid w:val="00BD627F"/>
    <w:rsid w:val="00BD67E9"/>
    <w:rsid w:val="00BF294B"/>
    <w:rsid w:val="00C02E0C"/>
    <w:rsid w:val="00C11FFC"/>
    <w:rsid w:val="00C17D00"/>
    <w:rsid w:val="00C202AA"/>
    <w:rsid w:val="00C2166D"/>
    <w:rsid w:val="00C31496"/>
    <w:rsid w:val="00C4375D"/>
    <w:rsid w:val="00C505ED"/>
    <w:rsid w:val="00C560AF"/>
    <w:rsid w:val="00C70CCF"/>
    <w:rsid w:val="00C81AAC"/>
    <w:rsid w:val="00C96A8E"/>
    <w:rsid w:val="00CA2A0A"/>
    <w:rsid w:val="00CA2CE9"/>
    <w:rsid w:val="00CC2203"/>
    <w:rsid w:val="00CC7002"/>
    <w:rsid w:val="00CD1193"/>
    <w:rsid w:val="00CD2192"/>
    <w:rsid w:val="00CD7D03"/>
    <w:rsid w:val="00CE6D39"/>
    <w:rsid w:val="00CF110D"/>
    <w:rsid w:val="00CF2F2E"/>
    <w:rsid w:val="00CF4811"/>
    <w:rsid w:val="00D1220E"/>
    <w:rsid w:val="00D131AC"/>
    <w:rsid w:val="00D13369"/>
    <w:rsid w:val="00D24D94"/>
    <w:rsid w:val="00D331C2"/>
    <w:rsid w:val="00D41B47"/>
    <w:rsid w:val="00D47BD0"/>
    <w:rsid w:val="00D67EC1"/>
    <w:rsid w:val="00D7267C"/>
    <w:rsid w:val="00D8286B"/>
    <w:rsid w:val="00D863FA"/>
    <w:rsid w:val="00D905C2"/>
    <w:rsid w:val="00D910F1"/>
    <w:rsid w:val="00DA5E62"/>
    <w:rsid w:val="00DB52C1"/>
    <w:rsid w:val="00DC1325"/>
    <w:rsid w:val="00DD3376"/>
    <w:rsid w:val="00DD3523"/>
    <w:rsid w:val="00DF19D9"/>
    <w:rsid w:val="00E20B5B"/>
    <w:rsid w:val="00E2111F"/>
    <w:rsid w:val="00E245BC"/>
    <w:rsid w:val="00E30C79"/>
    <w:rsid w:val="00E31FC9"/>
    <w:rsid w:val="00E328F8"/>
    <w:rsid w:val="00E33D26"/>
    <w:rsid w:val="00E42AAD"/>
    <w:rsid w:val="00E44967"/>
    <w:rsid w:val="00E5631A"/>
    <w:rsid w:val="00E822C4"/>
    <w:rsid w:val="00E84C7E"/>
    <w:rsid w:val="00E93F59"/>
    <w:rsid w:val="00E9696F"/>
    <w:rsid w:val="00EA00B6"/>
    <w:rsid w:val="00EA6BF4"/>
    <w:rsid w:val="00EB50F3"/>
    <w:rsid w:val="00EB544D"/>
    <w:rsid w:val="00EC0C12"/>
    <w:rsid w:val="00EC2F81"/>
    <w:rsid w:val="00EC6968"/>
    <w:rsid w:val="00ED0A36"/>
    <w:rsid w:val="00EE7656"/>
    <w:rsid w:val="00F04F01"/>
    <w:rsid w:val="00F05F38"/>
    <w:rsid w:val="00F075F7"/>
    <w:rsid w:val="00F13857"/>
    <w:rsid w:val="00F17B88"/>
    <w:rsid w:val="00F247D1"/>
    <w:rsid w:val="00F405EB"/>
    <w:rsid w:val="00F42781"/>
    <w:rsid w:val="00F56646"/>
    <w:rsid w:val="00F83D02"/>
    <w:rsid w:val="00F86263"/>
    <w:rsid w:val="00F94E31"/>
    <w:rsid w:val="00FA3ACD"/>
    <w:rsid w:val="00FA63E9"/>
    <w:rsid w:val="00FD334B"/>
    <w:rsid w:val="00FD7C3A"/>
    <w:rsid w:val="00FF639A"/>
    <w:rsid w:val="00FF65E4"/>
    <w:rsid w:val="06374139"/>
    <w:rsid w:val="06AC3F11"/>
    <w:rsid w:val="1023B22B"/>
    <w:rsid w:val="12874A33"/>
    <w:rsid w:val="14E1B4FC"/>
    <w:rsid w:val="2AF2DF1F"/>
    <w:rsid w:val="35B4FCFC"/>
    <w:rsid w:val="3D08199B"/>
    <w:rsid w:val="414AB25E"/>
    <w:rsid w:val="42FADC9E"/>
    <w:rsid w:val="4A67E10B"/>
    <w:rsid w:val="54651634"/>
    <w:rsid w:val="58E6EF1A"/>
    <w:rsid w:val="6C208D72"/>
    <w:rsid w:val="7073322D"/>
    <w:rsid w:val="78888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2D9725"/>
  <w15:chartTrackingRefBased/>
  <w15:docId w15:val="{CF6BAB09-41EE-4363-88CE-D4D34996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203"/>
    <w:rPr>
      <w:rFonts w:ascii="Verdana" w:hAnsi="Verdana"/>
      <w:sz w:val="24"/>
    </w:rPr>
  </w:style>
  <w:style w:type="paragraph" w:styleId="Heading1">
    <w:name w:val="heading 1"/>
    <w:basedOn w:val="Normal"/>
    <w:next w:val="Normal"/>
    <w:link w:val="Heading1Char"/>
    <w:uiPriority w:val="9"/>
    <w:qFormat/>
    <w:rsid w:val="00CC2203"/>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CC2203"/>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670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1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1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1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1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203"/>
    <w:rPr>
      <w:rFonts w:ascii="Verdana" w:eastAsiaTheme="majorEastAsia" w:hAnsi="Verdana" w:cstheme="majorBidi"/>
      <w:b/>
      <w:sz w:val="36"/>
      <w:szCs w:val="40"/>
    </w:rPr>
  </w:style>
  <w:style w:type="character" w:customStyle="1" w:styleId="Heading2Char">
    <w:name w:val="Heading 2 Char"/>
    <w:basedOn w:val="DefaultParagraphFont"/>
    <w:link w:val="Heading2"/>
    <w:uiPriority w:val="9"/>
    <w:rsid w:val="00CC2203"/>
    <w:rPr>
      <w:rFonts w:ascii="Verdana" w:eastAsiaTheme="majorEastAsia" w:hAnsi="Verdana" w:cstheme="majorBidi"/>
      <w:b/>
      <w:sz w:val="28"/>
      <w:szCs w:val="32"/>
    </w:rPr>
  </w:style>
  <w:style w:type="character" w:customStyle="1" w:styleId="Heading3Char">
    <w:name w:val="Heading 3 Char"/>
    <w:basedOn w:val="DefaultParagraphFont"/>
    <w:link w:val="Heading3"/>
    <w:uiPriority w:val="9"/>
    <w:semiHidden/>
    <w:rsid w:val="00670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1E0"/>
    <w:rPr>
      <w:rFonts w:eastAsiaTheme="majorEastAsia" w:cstheme="majorBidi"/>
      <w:color w:val="272727" w:themeColor="text1" w:themeTint="D8"/>
    </w:rPr>
  </w:style>
  <w:style w:type="paragraph" w:styleId="Title">
    <w:name w:val="Title"/>
    <w:basedOn w:val="Normal"/>
    <w:next w:val="Normal"/>
    <w:link w:val="TitleChar"/>
    <w:uiPriority w:val="10"/>
    <w:qFormat/>
    <w:rsid w:val="00670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1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1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01E0"/>
    <w:rPr>
      <w:i/>
      <w:iCs/>
      <w:color w:val="404040" w:themeColor="text1" w:themeTint="BF"/>
    </w:rPr>
  </w:style>
  <w:style w:type="paragraph" w:styleId="ListParagraph">
    <w:name w:val="List Paragraph"/>
    <w:basedOn w:val="Normal"/>
    <w:uiPriority w:val="34"/>
    <w:qFormat/>
    <w:rsid w:val="006701E0"/>
    <w:pPr>
      <w:ind w:left="720"/>
      <w:contextualSpacing/>
    </w:pPr>
  </w:style>
  <w:style w:type="character" w:styleId="IntenseEmphasis">
    <w:name w:val="Intense Emphasis"/>
    <w:basedOn w:val="DefaultParagraphFont"/>
    <w:uiPriority w:val="21"/>
    <w:qFormat/>
    <w:rsid w:val="006701E0"/>
    <w:rPr>
      <w:i/>
      <w:iCs/>
      <w:color w:val="0F4761" w:themeColor="accent1" w:themeShade="BF"/>
    </w:rPr>
  </w:style>
  <w:style w:type="paragraph" w:styleId="IntenseQuote">
    <w:name w:val="Intense Quote"/>
    <w:basedOn w:val="Normal"/>
    <w:next w:val="Normal"/>
    <w:link w:val="IntenseQuoteChar"/>
    <w:uiPriority w:val="30"/>
    <w:qFormat/>
    <w:rsid w:val="00670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1E0"/>
    <w:rPr>
      <w:i/>
      <w:iCs/>
      <w:color w:val="0F4761" w:themeColor="accent1" w:themeShade="BF"/>
    </w:rPr>
  </w:style>
  <w:style w:type="character" w:styleId="IntenseReference">
    <w:name w:val="Intense Reference"/>
    <w:basedOn w:val="DefaultParagraphFont"/>
    <w:uiPriority w:val="32"/>
    <w:qFormat/>
    <w:rsid w:val="006701E0"/>
    <w:rPr>
      <w:b/>
      <w:bCs/>
      <w:smallCaps/>
      <w:color w:val="0F4761" w:themeColor="accent1" w:themeShade="BF"/>
      <w:spacing w:val="5"/>
    </w:rPr>
  </w:style>
  <w:style w:type="paragraph" w:styleId="Revision">
    <w:name w:val="Revision"/>
    <w:hidden/>
    <w:uiPriority w:val="99"/>
    <w:semiHidden/>
    <w:rsid w:val="00372AE2"/>
    <w:pPr>
      <w:spacing w:line="240" w:lineRule="auto"/>
    </w:pPr>
  </w:style>
  <w:style w:type="character" w:styleId="CommentReference">
    <w:name w:val="annotation reference"/>
    <w:basedOn w:val="DefaultParagraphFont"/>
    <w:uiPriority w:val="99"/>
    <w:semiHidden/>
    <w:unhideWhenUsed/>
    <w:rsid w:val="00EB50F3"/>
    <w:rPr>
      <w:sz w:val="16"/>
      <w:szCs w:val="16"/>
    </w:rPr>
  </w:style>
  <w:style w:type="paragraph" w:styleId="CommentText">
    <w:name w:val="annotation text"/>
    <w:basedOn w:val="Normal"/>
    <w:link w:val="CommentTextChar"/>
    <w:uiPriority w:val="99"/>
    <w:unhideWhenUsed/>
    <w:rsid w:val="00EB50F3"/>
    <w:pPr>
      <w:spacing w:line="240" w:lineRule="auto"/>
    </w:pPr>
    <w:rPr>
      <w:sz w:val="20"/>
      <w:szCs w:val="20"/>
    </w:rPr>
  </w:style>
  <w:style w:type="character" w:customStyle="1" w:styleId="CommentTextChar">
    <w:name w:val="Comment Text Char"/>
    <w:basedOn w:val="DefaultParagraphFont"/>
    <w:link w:val="CommentText"/>
    <w:uiPriority w:val="99"/>
    <w:rsid w:val="00EB50F3"/>
    <w:rPr>
      <w:sz w:val="20"/>
      <w:szCs w:val="20"/>
    </w:rPr>
  </w:style>
  <w:style w:type="character" w:styleId="Hyperlink">
    <w:name w:val="Hyperlink"/>
    <w:uiPriority w:val="99"/>
    <w:rsid w:val="0063537A"/>
    <w:rPr>
      <w:color w:val="0000FF"/>
      <w:u w:val="single"/>
    </w:rPr>
  </w:style>
  <w:style w:type="character" w:styleId="UnresolvedMention">
    <w:name w:val="Unresolved Mention"/>
    <w:basedOn w:val="DefaultParagraphFont"/>
    <w:uiPriority w:val="99"/>
    <w:semiHidden/>
    <w:unhideWhenUsed/>
    <w:rsid w:val="00090EF2"/>
    <w:rPr>
      <w:color w:val="605E5C"/>
      <w:shd w:val="clear" w:color="auto" w:fill="E1DFDD"/>
    </w:rPr>
  </w:style>
  <w:style w:type="paragraph" w:styleId="TOC2">
    <w:name w:val="toc 2"/>
    <w:basedOn w:val="Normal"/>
    <w:next w:val="Normal"/>
    <w:autoRedefine/>
    <w:uiPriority w:val="39"/>
    <w:unhideWhenUsed/>
    <w:rsid w:val="006C34E9"/>
    <w:pPr>
      <w:tabs>
        <w:tab w:val="right" w:leader="dot" w:pos="9350"/>
      </w:tabs>
      <w:spacing w:after="100"/>
    </w:pPr>
  </w:style>
  <w:style w:type="paragraph" w:styleId="NormalWeb">
    <w:name w:val="Normal (Web)"/>
    <w:basedOn w:val="Normal"/>
    <w:uiPriority w:val="99"/>
    <w:unhideWhenUsed/>
    <w:rsid w:val="00A430D2"/>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FollowedHyperlink">
    <w:name w:val="FollowedHyperlink"/>
    <w:basedOn w:val="DefaultParagraphFont"/>
    <w:uiPriority w:val="99"/>
    <w:semiHidden/>
    <w:unhideWhenUsed/>
    <w:rsid w:val="001E4C69"/>
    <w:rPr>
      <w:color w:val="96607D" w:themeColor="followedHyperlink"/>
      <w:u w:val="single"/>
    </w:rPr>
  </w:style>
  <w:style w:type="table" w:styleId="TableGrid">
    <w:name w:val="Table Grid"/>
    <w:basedOn w:val="TableNormal"/>
    <w:uiPriority w:val="39"/>
    <w:rsid w:val="009678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A6B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3831">
      <w:bodyDiv w:val="1"/>
      <w:marLeft w:val="0"/>
      <w:marRight w:val="0"/>
      <w:marTop w:val="0"/>
      <w:marBottom w:val="0"/>
      <w:divBdr>
        <w:top w:val="none" w:sz="0" w:space="0" w:color="auto"/>
        <w:left w:val="none" w:sz="0" w:space="0" w:color="auto"/>
        <w:bottom w:val="none" w:sz="0" w:space="0" w:color="auto"/>
        <w:right w:val="none" w:sz="0" w:space="0" w:color="auto"/>
      </w:divBdr>
    </w:div>
    <w:div w:id="131138951">
      <w:bodyDiv w:val="1"/>
      <w:marLeft w:val="0"/>
      <w:marRight w:val="0"/>
      <w:marTop w:val="0"/>
      <w:marBottom w:val="0"/>
      <w:divBdr>
        <w:top w:val="none" w:sz="0" w:space="0" w:color="auto"/>
        <w:left w:val="none" w:sz="0" w:space="0" w:color="auto"/>
        <w:bottom w:val="none" w:sz="0" w:space="0" w:color="auto"/>
        <w:right w:val="none" w:sz="0" w:space="0" w:color="auto"/>
      </w:divBdr>
    </w:div>
    <w:div w:id="180124883">
      <w:bodyDiv w:val="1"/>
      <w:marLeft w:val="0"/>
      <w:marRight w:val="0"/>
      <w:marTop w:val="0"/>
      <w:marBottom w:val="0"/>
      <w:divBdr>
        <w:top w:val="none" w:sz="0" w:space="0" w:color="auto"/>
        <w:left w:val="none" w:sz="0" w:space="0" w:color="auto"/>
        <w:bottom w:val="none" w:sz="0" w:space="0" w:color="auto"/>
        <w:right w:val="none" w:sz="0" w:space="0" w:color="auto"/>
      </w:divBdr>
    </w:div>
    <w:div w:id="435367036">
      <w:bodyDiv w:val="1"/>
      <w:marLeft w:val="0"/>
      <w:marRight w:val="0"/>
      <w:marTop w:val="0"/>
      <w:marBottom w:val="0"/>
      <w:divBdr>
        <w:top w:val="none" w:sz="0" w:space="0" w:color="auto"/>
        <w:left w:val="none" w:sz="0" w:space="0" w:color="auto"/>
        <w:bottom w:val="none" w:sz="0" w:space="0" w:color="auto"/>
        <w:right w:val="none" w:sz="0" w:space="0" w:color="auto"/>
      </w:divBdr>
    </w:div>
    <w:div w:id="570046153">
      <w:bodyDiv w:val="1"/>
      <w:marLeft w:val="0"/>
      <w:marRight w:val="0"/>
      <w:marTop w:val="0"/>
      <w:marBottom w:val="0"/>
      <w:divBdr>
        <w:top w:val="none" w:sz="0" w:space="0" w:color="auto"/>
        <w:left w:val="none" w:sz="0" w:space="0" w:color="auto"/>
        <w:bottom w:val="none" w:sz="0" w:space="0" w:color="auto"/>
        <w:right w:val="none" w:sz="0" w:space="0" w:color="auto"/>
      </w:divBdr>
    </w:div>
    <w:div w:id="580262398">
      <w:bodyDiv w:val="1"/>
      <w:marLeft w:val="0"/>
      <w:marRight w:val="0"/>
      <w:marTop w:val="0"/>
      <w:marBottom w:val="0"/>
      <w:divBdr>
        <w:top w:val="none" w:sz="0" w:space="0" w:color="auto"/>
        <w:left w:val="none" w:sz="0" w:space="0" w:color="auto"/>
        <w:bottom w:val="none" w:sz="0" w:space="0" w:color="auto"/>
        <w:right w:val="none" w:sz="0" w:space="0" w:color="auto"/>
      </w:divBdr>
      <w:divsChild>
        <w:div w:id="871381193">
          <w:marLeft w:val="0"/>
          <w:marRight w:val="0"/>
          <w:marTop w:val="0"/>
          <w:marBottom w:val="0"/>
          <w:divBdr>
            <w:top w:val="none" w:sz="0" w:space="0" w:color="auto"/>
            <w:left w:val="none" w:sz="0" w:space="0" w:color="auto"/>
            <w:bottom w:val="none" w:sz="0" w:space="0" w:color="auto"/>
            <w:right w:val="none" w:sz="0" w:space="0" w:color="auto"/>
          </w:divBdr>
          <w:divsChild>
            <w:div w:id="998728702">
              <w:marLeft w:val="330"/>
              <w:marRight w:val="0"/>
              <w:marTop w:val="0"/>
              <w:marBottom w:val="0"/>
              <w:divBdr>
                <w:top w:val="none" w:sz="0" w:space="0" w:color="auto"/>
                <w:left w:val="none" w:sz="0" w:space="0" w:color="auto"/>
                <w:bottom w:val="none" w:sz="0" w:space="0" w:color="auto"/>
                <w:right w:val="none" w:sz="0" w:space="0" w:color="auto"/>
              </w:divBdr>
            </w:div>
          </w:divsChild>
        </w:div>
        <w:div w:id="1911236075">
          <w:marLeft w:val="0"/>
          <w:marRight w:val="0"/>
          <w:marTop w:val="0"/>
          <w:marBottom w:val="0"/>
          <w:divBdr>
            <w:top w:val="none" w:sz="0" w:space="0" w:color="auto"/>
            <w:left w:val="none" w:sz="0" w:space="0" w:color="auto"/>
            <w:bottom w:val="none" w:sz="0" w:space="0" w:color="auto"/>
            <w:right w:val="none" w:sz="0" w:space="0" w:color="auto"/>
          </w:divBdr>
          <w:divsChild>
            <w:div w:id="703601809">
              <w:marLeft w:val="0"/>
              <w:marRight w:val="0"/>
              <w:marTop w:val="0"/>
              <w:marBottom w:val="0"/>
              <w:divBdr>
                <w:top w:val="none" w:sz="0" w:space="0" w:color="auto"/>
                <w:left w:val="none" w:sz="0" w:space="0" w:color="auto"/>
                <w:bottom w:val="none" w:sz="0" w:space="0" w:color="auto"/>
                <w:right w:val="none" w:sz="0" w:space="0" w:color="auto"/>
              </w:divBdr>
              <w:divsChild>
                <w:div w:id="208799108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60569">
      <w:bodyDiv w:val="1"/>
      <w:marLeft w:val="0"/>
      <w:marRight w:val="0"/>
      <w:marTop w:val="0"/>
      <w:marBottom w:val="0"/>
      <w:divBdr>
        <w:top w:val="none" w:sz="0" w:space="0" w:color="auto"/>
        <w:left w:val="none" w:sz="0" w:space="0" w:color="auto"/>
        <w:bottom w:val="none" w:sz="0" w:space="0" w:color="auto"/>
        <w:right w:val="none" w:sz="0" w:space="0" w:color="auto"/>
      </w:divBdr>
    </w:div>
    <w:div w:id="821850750">
      <w:bodyDiv w:val="1"/>
      <w:marLeft w:val="0"/>
      <w:marRight w:val="0"/>
      <w:marTop w:val="0"/>
      <w:marBottom w:val="0"/>
      <w:divBdr>
        <w:top w:val="none" w:sz="0" w:space="0" w:color="auto"/>
        <w:left w:val="none" w:sz="0" w:space="0" w:color="auto"/>
        <w:bottom w:val="none" w:sz="0" w:space="0" w:color="auto"/>
        <w:right w:val="none" w:sz="0" w:space="0" w:color="auto"/>
      </w:divBdr>
    </w:div>
    <w:div w:id="926428555">
      <w:bodyDiv w:val="1"/>
      <w:marLeft w:val="0"/>
      <w:marRight w:val="0"/>
      <w:marTop w:val="0"/>
      <w:marBottom w:val="0"/>
      <w:divBdr>
        <w:top w:val="none" w:sz="0" w:space="0" w:color="auto"/>
        <w:left w:val="none" w:sz="0" w:space="0" w:color="auto"/>
        <w:bottom w:val="none" w:sz="0" w:space="0" w:color="auto"/>
        <w:right w:val="none" w:sz="0" w:space="0" w:color="auto"/>
      </w:divBdr>
      <w:divsChild>
        <w:div w:id="145242838">
          <w:marLeft w:val="0"/>
          <w:marRight w:val="0"/>
          <w:marTop w:val="0"/>
          <w:marBottom w:val="0"/>
          <w:divBdr>
            <w:top w:val="none" w:sz="0" w:space="0" w:color="auto"/>
            <w:left w:val="none" w:sz="0" w:space="0" w:color="auto"/>
            <w:bottom w:val="none" w:sz="0" w:space="0" w:color="auto"/>
            <w:right w:val="none" w:sz="0" w:space="0" w:color="auto"/>
          </w:divBdr>
          <w:divsChild>
            <w:div w:id="1454440842">
              <w:marLeft w:val="330"/>
              <w:marRight w:val="0"/>
              <w:marTop w:val="0"/>
              <w:marBottom w:val="0"/>
              <w:divBdr>
                <w:top w:val="none" w:sz="0" w:space="0" w:color="auto"/>
                <w:left w:val="none" w:sz="0" w:space="0" w:color="auto"/>
                <w:bottom w:val="none" w:sz="0" w:space="0" w:color="auto"/>
                <w:right w:val="none" w:sz="0" w:space="0" w:color="auto"/>
              </w:divBdr>
            </w:div>
          </w:divsChild>
        </w:div>
        <w:div w:id="1635790390">
          <w:marLeft w:val="0"/>
          <w:marRight w:val="0"/>
          <w:marTop w:val="0"/>
          <w:marBottom w:val="0"/>
          <w:divBdr>
            <w:top w:val="none" w:sz="0" w:space="0" w:color="auto"/>
            <w:left w:val="none" w:sz="0" w:space="0" w:color="auto"/>
            <w:bottom w:val="none" w:sz="0" w:space="0" w:color="auto"/>
            <w:right w:val="none" w:sz="0" w:space="0" w:color="auto"/>
          </w:divBdr>
          <w:divsChild>
            <w:div w:id="531572321">
              <w:marLeft w:val="0"/>
              <w:marRight w:val="0"/>
              <w:marTop w:val="0"/>
              <w:marBottom w:val="0"/>
              <w:divBdr>
                <w:top w:val="none" w:sz="0" w:space="0" w:color="auto"/>
                <w:left w:val="none" w:sz="0" w:space="0" w:color="auto"/>
                <w:bottom w:val="none" w:sz="0" w:space="0" w:color="auto"/>
                <w:right w:val="none" w:sz="0" w:space="0" w:color="auto"/>
              </w:divBdr>
              <w:divsChild>
                <w:div w:id="7284588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5129">
      <w:bodyDiv w:val="1"/>
      <w:marLeft w:val="0"/>
      <w:marRight w:val="0"/>
      <w:marTop w:val="0"/>
      <w:marBottom w:val="0"/>
      <w:divBdr>
        <w:top w:val="none" w:sz="0" w:space="0" w:color="auto"/>
        <w:left w:val="none" w:sz="0" w:space="0" w:color="auto"/>
        <w:bottom w:val="none" w:sz="0" w:space="0" w:color="auto"/>
        <w:right w:val="none" w:sz="0" w:space="0" w:color="auto"/>
      </w:divBdr>
    </w:div>
    <w:div w:id="1724981982">
      <w:bodyDiv w:val="1"/>
      <w:marLeft w:val="0"/>
      <w:marRight w:val="0"/>
      <w:marTop w:val="0"/>
      <w:marBottom w:val="0"/>
      <w:divBdr>
        <w:top w:val="none" w:sz="0" w:space="0" w:color="auto"/>
        <w:left w:val="none" w:sz="0" w:space="0" w:color="auto"/>
        <w:bottom w:val="none" w:sz="0" w:space="0" w:color="auto"/>
        <w:right w:val="none" w:sz="0" w:space="0" w:color="auto"/>
      </w:divBdr>
    </w:div>
    <w:div w:id="1916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fontTable" Target="fontTable.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image" Target="media/image3.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Customer Care - Plan Design</BPO>
    <ProjectAnalyst xmlns="d19e0082-693e-45ae-8f74-da0dd659fa03" xsi:nil="true"/>
    <DocumentConsultatnt xmlns="d19e0082-693e-45ae-8f74-da0dd659fa03">David Davis</DocumentConsultatnt>
    <DueDate xmlns="d19e0082-693e-45ae-8f74-da0dd659fa03" xsi:nil="true"/>
    <LifelineQuickChat xmlns="d19e0082-693e-45ae-8f74-da0dd659fa03" xsi:nil="true"/>
    <Status xmlns="d19e0082-693e-45ae-8f74-da0dd659fa03" xsi:nil="true"/>
  </documentManagement>
</p:properties>
</file>

<file path=customXml/itemProps1.xml><?xml version="1.0" encoding="utf-8"?>
<ds:datastoreItem xmlns:ds="http://schemas.openxmlformats.org/officeDocument/2006/customXml" ds:itemID="{4D70C524-A798-4D1B-A127-10823BBD9BFA}">
  <ds:schemaRefs>
    <ds:schemaRef ds:uri="http://schemas.microsoft.com/sharepoint/v3/contenttype/forms"/>
  </ds:schemaRefs>
</ds:datastoreItem>
</file>

<file path=customXml/itemProps2.xml><?xml version="1.0" encoding="utf-8"?>
<ds:datastoreItem xmlns:ds="http://schemas.openxmlformats.org/officeDocument/2006/customXml" ds:itemID="{6D29BC53-AD3C-47EF-AB2C-A26AD620315D}">
  <ds:schemaRefs>
    <ds:schemaRef ds:uri="http://schemas.openxmlformats.org/officeDocument/2006/bibliography"/>
  </ds:schemaRefs>
</ds:datastoreItem>
</file>

<file path=customXml/itemProps3.xml><?xml version="1.0" encoding="utf-8"?>
<ds:datastoreItem xmlns:ds="http://schemas.openxmlformats.org/officeDocument/2006/customXml" ds:itemID="{157E5763-98B4-4D26-B79A-9B516C247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8CBB73-E571-4F84-8488-AF1FB74BDA0B}">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Links>
    <vt:vector size="126" baseType="variant">
      <vt:variant>
        <vt:i4>262192</vt:i4>
      </vt:variant>
      <vt:variant>
        <vt:i4>63</vt:i4>
      </vt:variant>
      <vt:variant>
        <vt:i4>0</vt:i4>
      </vt:variant>
      <vt:variant>
        <vt:i4>5</vt:i4>
      </vt:variant>
      <vt:variant>
        <vt:lpwstr/>
      </vt:variant>
      <vt:variant>
        <vt:lpwstr>_top</vt:lpwstr>
      </vt:variant>
      <vt:variant>
        <vt:i4>1310799</vt:i4>
      </vt:variant>
      <vt:variant>
        <vt:i4>60</vt:i4>
      </vt:variant>
      <vt:variant>
        <vt:i4>0</vt:i4>
      </vt:variant>
      <vt:variant>
        <vt:i4>5</vt:i4>
      </vt:variant>
      <vt:variant>
        <vt:lpwstr>https://thesource.cvshealth.com/nuxeo/thesource/</vt:lpwstr>
      </vt:variant>
      <vt:variant>
        <vt:lpwstr>!/view?docid=91eac667-77eb-4131-8351-979ec7e1ae2e</vt:lpwstr>
      </vt:variant>
      <vt:variant>
        <vt:i4>1441869</vt:i4>
      </vt:variant>
      <vt:variant>
        <vt:i4>57</vt:i4>
      </vt:variant>
      <vt:variant>
        <vt:i4>0</vt:i4>
      </vt:variant>
      <vt:variant>
        <vt:i4>5</vt:i4>
      </vt:variant>
      <vt:variant>
        <vt:lpwstr>https://thesource.cvshealth.com/nuxeo/thesource/</vt:lpwstr>
      </vt:variant>
      <vt:variant>
        <vt:lpwstr>!/view?docid=12a95cea-1a70-41c8-83bf-b424b7578ab8</vt:lpwstr>
      </vt:variant>
      <vt:variant>
        <vt:i4>1704011</vt:i4>
      </vt:variant>
      <vt:variant>
        <vt:i4>54</vt:i4>
      </vt:variant>
      <vt:variant>
        <vt:i4>0</vt:i4>
      </vt:variant>
      <vt:variant>
        <vt:i4>5</vt:i4>
      </vt:variant>
      <vt:variant>
        <vt:lpwstr>https://thesource.cvshealth.com/nuxeo/thesource/</vt:lpwstr>
      </vt:variant>
      <vt:variant>
        <vt:lpwstr>!/view?docid=0afb51c4-054b-4d6e-b989-5aeefdb37145</vt:lpwstr>
      </vt:variant>
      <vt:variant>
        <vt:i4>262192</vt:i4>
      </vt:variant>
      <vt:variant>
        <vt:i4>51</vt:i4>
      </vt:variant>
      <vt:variant>
        <vt:i4>0</vt:i4>
      </vt:variant>
      <vt:variant>
        <vt:i4>5</vt:i4>
      </vt:variant>
      <vt:variant>
        <vt:lpwstr/>
      </vt:variant>
      <vt:variant>
        <vt:lpwstr>_top</vt:lpwstr>
      </vt:variant>
      <vt:variant>
        <vt:i4>4849728</vt:i4>
      </vt:variant>
      <vt:variant>
        <vt:i4>48</vt:i4>
      </vt:variant>
      <vt:variant>
        <vt:i4>0</vt:i4>
      </vt:variant>
      <vt:variant>
        <vt:i4>5</vt:i4>
      </vt:variant>
      <vt:variant>
        <vt:lpwstr>https://thesource.cvshealth.com/nuxeo/thesource/</vt:lpwstr>
      </vt:variant>
      <vt:variant>
        <vt:lpwstr>!/view?docid=c0238ae3-ea9b-4da2-b9c9-90c8d4ad62a8</vt:lpwstr>
      </vt:variant>
      <vt:variant>
        <vt:i4>262192</vt:i4>
      </vt:variant>
      <vt:variant>
        <vt:i4>45</vt:i4>
      </vt:variant>
      <vt:variant>
        <vt:i4>0</vt:i4>
      </vt:variant>
      <vt:variant>
        <vt:i4>5</vt:i4>
      </vt:variant>
      <vt:variant>
        <vt:lpwstr/>
      </vt:variant>
      <vt:variant>
        <vt:lpwstr>_top</vt:lpwstr>
      </vt:variant>
      <vt:variant>
        <vt:i4>262192</vt:i4>
      </vt:variant>
      <vt:variant>
        <vt:i4>42</vt:i4>
      </vt:variant>
      <vt:variant>
        <vt:i4>0</vt:i4>
      </vt:variant>
      <vt:variant>
        <vt:i4>5</vt:i4>
      </vt:variant>
      <vt:variant>
        <vt:lpwstr/>
      </vt:variant>
      <vt:variant>
        <vt:lpwstr>_top</vt:lpwstr>
      </vt:variant>
      <vt:variant>
        <vt:i4>4849728</vt:i4>
      </vt:variant>
      <vt:variant>
        <vt:i4>39</vt:i4>
      </vt:variant>
      <vt:variant>
        <vt:i4>0</vt:i4>
      </vt:variant>
      <vt:variant>
        <vt:i4>5</vt:i4>
      </vt:variant>
      <vt:variant>
        <vt:lpwstr>https://thesource.cvshealth.com/nuxeo/thesource/</vt:lpwstr>
      </vt:variant>
      <vt:variant>
        <vt:lpwstr>!/view?docid=c0238ae3-ea9b-4da2-b9c9-90c8d4ad62a8</vt:lpwstr>
      </vt:variant>
      <vt:variant>
        <vt:i4>262192</vt:i4>
      </vt:variant>
      <vt:variant>
        <vt:i4>36</vt:i4>
      </vt:variant>
      <vt:variant>
        <vt:i4>0</vt:i4>
      </vt:variant>
      <vt:variant>
        <vt:i4>5</vt:i4>
      </vt:variant>
      <vt:variant>
        <vt:lpwstr/>
      </vt:variant>
      <vt:variant>
        <vt:lpwstr>_top</vt:lpwstr>
      </vt:variant>
      <vt:variant>
        <vt:i4>262192</vt:i4>
      </vt:variant>
      <vt:variant>
        <vt:i4>33</vt:i4>
      </vt:variant>
      <vt:variant>
        <vt:i4>0</vt:i4>
      </vt:variant>
      <vt:variant>
        <vt:i4>5</vt:i4>
      </vt:variant>
      <vt:variant>
        <vt:lpwstr/>
      </vt:variant>
      <vt:variant>
        <vt:lpwstr>_top</vt:lpwstr>
      </vt:variant>
      <vt:variant>
        <vt:i4>5177410</vt:i4>
      </vt:variant>
      <vt:variant>
        <vt:i4>30</vt:i4>
      </vt:variant>
      <vt:variant>
        <vt:i4>0</vt:i4>
      </vt:variant>
      <vt:variant>
        <vt:i4>5</vt:i4>
      </vt:variant>
      <vt:variant>
        <vt:lpwstr>https://thesource.cvshealth.com/nuxeo/thesource/</vt:lpwstr>
      </vt:variant>
      <vt:variant>
        <vt:lpwstr>!/view?docid=fdd78993-fbca-42e9-b51b-a464c3c7e2cf</vt:lpwstr>
      </vt:variant>
      <vt:variant>
        <vt:i4>4587546</vt:i4>
      </vt:variant>
      <vt:variant>
        <vt:i4>27</vt:i4>
      </vt:variant>
      <vt:variant>
        <vt:i4>0</vt:i4>
      </vt:variant>
      <vt:variant>
        <vt:i4>5</vt:i4>
      </vt:variant>
      <vt:variant>
        <vt:lpwstr>https://thesource.cvshealth.com/nuxeo/thesource/</vt:lpwstr>
      </vt:variant>
      <vt:variant>
        <vt:lpwstr>!/view?docid=75c5286e-dbf7-4d23-9888-905d455765f3</vt:lpwstr>
      </vt:variant>
      <vt:variant>
        <vt:i4>4849728</vt:i4>
      </vt:variant>
      <vt:variant>
        <vt:i4>24</vt:i4>
      </vt:variant>
      <vt:variant>
        <vt:i4>0</vt:i4>
      </vt:variant>
      <vt:variant>
        <vt:i4>5</vt:i4>
      </vt:variant>
      <vt:variant>
        <vt:lpwstr>https://thesource.cvshealth.com/nuxeo/thesource/</vt:lpwstr>
      </vt:variant>
      <vt:variant>
        <vt:lpwstr>!/view?docid=c0238ae3-ea9b-4da2-b9c9-90c8d4ad62a8</vt:lpwstr>
      </vt:variant>
      <vt:variant>
        <vt:i4>1441860</vt:i4>
      </vt:variant>
      <vt:variant>
        <vt:i4>21</vt:i4>
      </vt:variant>
      <vt:variant>
        <vt:i4>0</vt:i4>
      </vt:variant>
      <vt:variant>
        <vt:i4>5</vt:i4>
      </vt:variant>
      <vt:variant>
        <vt:lpwstr>https://thesource.cvshealth.com/nuxeo/thesource/</vt:lpwstr>
      </vt:variant>
      <vt:variant>
        <vt:lpwstr>!/view?docid=6f0c0394-e5dd-46c4-a37e-4b1066e1f6a2</vt:lpwstr>
      </vt:variant>
      <vt:variant>
        <vt:i4>1835070</vt:i4>
      </vt:variant>
      <vt:variant>
        <vt:i4>17</vt:i4>
      </vt:variant>
      <vt:variant>
        <vt:i4>0</vt:i4>
      </vt:variant>
      <vt:variant>
        <vt:i4>5</vt:i4>
      </vt:variant>
      <vt:variant>
        <vt:lpwstr/>
      </vt:variant>
      <vt:variant>
        <vt:lpwstr>_Toc199777125</vt:lpwstr>
      </vt:variant>
      <vt:variant>
        <vt:i4>1835070</vt:i4>
      </vt:variant>
      <vt:variant>
        <vt:i4>14</vt:i4>
      </vt:variant>
      <vt:variant>
        <vt:i4>0</vt:i4>
      </vt:variant>
      <vt:variant>
        <vt:i4>5</vt:i4>
      </vt:variant>
      <vt:variant>
        <vt:lpwstr/>
      </vt:variant>
      <vt:variant>
        <vt:lpwstr>_Toc199777124</vt:lpwstr>
      </vt:variant>
      <vt:variant>
        <vt:i4>1835070</vt:i4>
      </vt:variant>
      <vt:variant>
        <vt:i4>11</vt:i4>
      </vt:variant>
      <vt:variant>
        <vt:i4>0</vt:i4>
      </vt:variant>
      <vt:variant>
        <vt:i4>5</vt:i4>
      </vt:variant>
      <vt:variant>
        <vt:lpwstr/>
      </vt:variant>
      <vt:variant>
        <vt:lpwstr>_Toc199777123</vt:lpwstr>
      </vt:variant>
      <vt:variant>
        <vt:i4>1835070</vt:i4>
      </vt:variant>
      <vt:variant>
        <vt:i4>8</vt:i4>
      </vt:variant>
      <vt:variant>
        <vt:i4>0</vt:i4>
      </vt:variant>
      <vt:variant>
        <vt:i4>5</vt:i4>
      </vt:variant>
      <vt:variant>
        <vt:lpwstr/>
      </vt:variant>
      <vt:variant>
        <vt:lpwstr>_Toc199777122</vt:lpwstr>
      </vt:variant>
      <vt:variant>
        <vt:i4>1835070</vt:i4>
      </vt:variant>
      <vt:variant>
        <vt:i4>5</vt:i4>
      </vt:variant>
      <vt:variant>
        <vt:i4>0</vt:i4>
      </vt:variant>
      <vt:variant>
        <vt:i4>5</vt:i4>
      </vt:variant>
      <vt:variant>
        <vt:lpwstr/>
      </vt:variant>
      <vt:variant>
        <vt:lpwstr>_Toc199777121</vt:lpwstr>
      </vt:variant>
      <vt:variant>
        <vt:i4>1835070</vt:i4>
      </vt:variant>
      <vt:variant>
        <vt:i4>2</vt:i4>
      </vt:variant>
      <vt:variant>
        <vt:i4>0</vt:i4>
      </vt:variant>
      <vt:variant>
        <vt:i4>5</vt:i4>
      </vt:variant>
      <vt:variant>
        <vt:lpwstr/>
      </vt:variant>
      <vt:variant>
        <vt:lpwstr>_Toc199777120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Blondell, Michael S</dc:creator>
  <cp:keywords/>
  <dc:description/>
  <cp:lastModifiedBy>Davis, David P.</cp:lastModifiedBy>
  <cp:revision>8</cp:revision>
  <dcterms:created xsi:type="dcterms:W3CDTF">2025-08-13T22:35:00Z</dcterms:created>
  <dcterms:modified xsi:type="dcterms:W3CDTF">2025-08-13T22:45:00Z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2025-04-28T21:07:43Z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ce8b0883-c812-4485-bfe6-5073d5811651</vt:lpwstr>
  </property>
  <property fmtid="{D5CDD505-2E9C-101B-9397-08002B2CF9AE}" pid="8" name="MSIP_Label_1ecdf243-b9b0-4f63-8694-76742e4201b7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