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2B504" w14:textId="77777777" w:rsidR="009E1561" w:rsidRDefault="00AB311B" w:rsidP="00AD35F4">
      <w:pPr>
        <w:pStyle w:val="Heading1"/>
        <w:spacing w:before="120" w:after="120"/>
        <w:rPr>
          <w:rFonts w:ascii="Verdana" w:hAnsi="Verdana"/>
          <w:bCs/>
          <w:color w:val="auto"/>
          <w:sz w:val="36"/>
        </w:rPr>
      </w:pPr>
      <w:bookmarkStart w:id="0" w:name="_top"/>
      <w:bookmarkEnd w:id="0"/>
      <w:r>
        <w:rPr>
          <w:rFonts w:ascii="Verdana" w:hAnsi="Verdana"/>
          <w:bCs/>
          <w:color w:val="auto"/>
          <w:sz w:val="36"/>
        </w:rPr>
        <w:t>Ascension to Excellence (</w:t>
      </w:r>
      <w:proofErr w:type="spellStart"/>
      <w:r>
        <w:rPr>
          <w:rFonts w:ascii="Verdana" w:hAnsi="Verdana"/>
          <w:bCs/>
          <w:color w:val="auto"/>
          <w:sz w:val="36"/>
        </w:rPr>
        <w:t>A2E</w:t>
      </w:r>
      <w:proofErr w:type="spellEnd"/>
      <w:r>
        <w:rPr>
          <w:rFonts w:ascii="Verdana" w:hAnsi="Verdana"/>
          <w:bCs/>
          <w:color w:val="auto"/>
          <w:sz w:val="36"/>
        </w:rPr>
        <w:t>) Program Information</w:t>
      </w:r>
    </w:p>
    <w:p w14:paraId="1D0B9BB8" w14:textId="77777777" w:rsidR="006B4D96" w:rsidRDefault="006B4D96" w:rsidP="00AD35F4">
      <w:pPr>
        <w:pStyle w:val="TOC1"/>
        <w:spacing w:after="120"/>
        <w:rPr>
          <w:b/>
        </w:rPr>
      </w:pPr>
    </w:p>
    <w:p w14:paraId="6E8236FF" w14:textId="62F178E7" w:rsidR="00556D53" w:rsidRDefault="00AC135E">
      <w:pPr>
        <w:pStyle w:val="TOC1"/>
        <w:rPr>
          <w:rFonts w:asciiTheme="minorHAnsi" w:eastAsiaTheme="minorEastAsia" w:hAnsiTheme="minorHAnsi" w:cstheme="minorBidi"/>
          <w:noProof/>
          <w:kern w:val="2"/>
          <w14:ligatures w14:val="standardContextual"/>
        </w:rPr>
      </w:pPr>
      <w:r>
        <w:rPr>
          <w:b/>
        </w:rPr>
        <w:fldChar w:fldCharType="begin"/>
      </w:r>
      <w:r>
        <w:instrText xml:space="preserve"> TOC \n \p " " \h \z \u \t "Heading 2,1" </w:instrText>
      </w:r>
      <w:r>
        <w:rPr>
          <w:b/>
        </w:rPr>
        <w:fldChar w:fldCharType="separate"/>
      </w:r>
      <w:hyperlink w:anchor="_Toc199757738" w:history="1">
        <w:r w:rsidR="00556D53" w:rsidRPr="00713254">
          <w:rPr>
            <w:rStyle w:val="Hyperlink"/>
            <w:noProof/>
          </w:rPr>
          <w:t>A2E Promotion Process</w:t>
        </w:r>
      </w:hyperlink>
    </w:p>
    <w:p w14:paraId="1484D3A5" w14:textId="04F66F01" w:rsidR="00556D53" w:rsidRDefault="00556D53">
      <w:pPr>
        <w:pStyle w:val="TOC1"/>
        <w:rPr>
          <w:rFonts w:asciiTheme="minorHAnsi" w:eastAsiaTheme="minorEastAsia" w:hAnsiTheme="minorHAnsi" w:cstheme="minorBidi"/>
          <w:noProof/>
          <w:kern w:val="2"/>
          <w14:ligatures w14:val="standardContextual"/>
        </w:rPr>
      </w:pPr>
      <w:hyperlink w:anchor="_Toc199757739" w:history="1">
        <w:r w:rsidRPr="00713254">
          <w:rPr>
            <w:rStyle w:val="Hyperlink"/>
            <w:noProof/>
          </w:rPr>
          <w:t>A2E Eligibility – Frontline Call Takers</w:t>
        </w:r>
      </w:hyperlink>
    </w:p>
    <w:p w14:paraId="46B80FEC" w14:textId="7EC2D729" w:rsidR="00556D53" w:rsidRDefault="00556D53">
      <w:pPr>
        <w:pStyle w:val="TOC1"/>
        <w:rPr>
          <w:rFonts w:asciiTheme="minorHAnsi" w:eastAsiaTheme="minorEastAsia" w:hAnsiTheme="minorHAnsi" w:cstheme="minorBidi"/>
          <w:noProof/>
          <w:kern w:val="2"/>
          <w14:ligatures w14:val="standardContextual"/>
        </w:rPr>
      </w:pPr>
      <w:hyperlink w:anchor="_Toc199757740" w:history="1">
        <w:r w:rsidRPr="00713254">
          <w:rPr>
            <w:rStyle w:val="Hyperlink"/>
            <w:b/>
            <w:bCs/>
            <w:noProof/>
          </w:rPr>
          <w:drawing>
            <wp:inline distT="0" distB="0" distL="0" distR="0" wp14:anchorId="117707DA" wp14:editId="1E74E866">
              <wp:extent cx="304762" cy="304762"/>
              <wp:effectExtent l="0" t="0" r="635" b="635"/>
              <wp:docPr id="19502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2981" name="Picture 2112312981"/>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713254">
          <w:rPr>
            <w:rStyle w:val="Hyperlink"/>
            <w:noProof/>
          </w:rPr>
          <w:t xml:space="preserve"> A2E Eligibility – Offline eCare</w:t>
        </w:r>
      </w:hyperlink>
    </w:p>
    <w:p w14:paraId="1E47A64E" w14:textId="105E5AA9" w:rsidR="00556D53" w:rsidRDefault="00556D53">
      <w:pPr>
        <w:pStyle w:val="TOC1"/>
        <w:rPr>
          <w:rFonts w:asciiTheme="minorHAnsi" w:eastAsiaTheme="minorEastAsia" w:hAnsiTheme="minorHAnsi" w:cstheme="minorBidi"/>
          <w:noProof/>
          <w:kern w:val="2"/>
          <w14:ligatures w14:val="standardContextual"/>
        </w:rPr>
      </w:pPr>
      <w:hyperlink w:anchor="_Toc199757741" w:history="1">
        <w:r w:rsidRPr="00713254">
          <w:rPr>
            <w:rStyle w:val="Hyperlink"/>
            <w:noProof/>
          </w:rPr>
          <w:t>Career Mapping</w:t>
        </w:r>
      </w:hyperlink>
    </w:p>
    <w:p w14:paraId="3DC3C272" w14:textId="47549E92" w:rsidR="00556D53" w:rsidRDefault="00556D53">
      <w:pPr>
        <w:pStyle w:val="TOC1"/>
        <w:rPr>
          <w:rFonts w:asciiTheme="minorHAnsi" w:eastAsiaTheme="minorEastAsia" w:hAnsiTheme="minorHAnsi" w:cstheme="minorBidi"/>
          <w:noProof/>
          <w:kern w:val="2"/>
          <w14:ligatures w14:val="standardContextual"/>
        </w:rPr>
      </w:pPr>
      <w:hyperlink w:anchor="_Toc199757742" w:history="1">
        <w:r w:rsidRPr="00713254">
          <w:rPr>
            <w:rStyle w:val="Hyperlink"/>
            <w:noProof/>
          </w:rPr>
          <w:t>Care Goals</w:t>
        </w:r>
      </w:hyperlink>
    </w:p>
    <w:p w14:paraId="1A076D87" w14:textId="784DA2A0" w:rsidR="00556D53" w:rsidRDefault="00556D53">
      <w:pPr>
        <w:pStyle w:val="TOC1"/>
        <w:rPr>
          <w:rFonts w:asciiTheme="minorHAnsi" w:eastAsiaTheme="minorEastAsia" w:hAnsiTheme="minorHAnsi" w:cstheme="minorBidi"/>
          <w:noProof/>
          <w:kern w:val="2"/>
          <w14:ligatures w14:val="standardContextual"/>
        </w:rPr>
      </w:pPr>
      <w:hyperlink w:anchor="_Toc199757743" w:history="1">
        <w:r w:rsidRPr="00713254">
          <w:rPr>
            <w:rStyle w:val="Hyperlink"/>
            <w:noProof/>
          </w:rPr>
          <w:t>Navigating A2E in LearningHub</w:t>
        </w:r>
      </w:hyperlink>
    </w:p>
    <w:p w14:paraId="2A018CEA" w14:textId="17D3909C" w:rsidR="00556D53" w:rsidRDefault="00556D53">
      <w:pPr>
        <w:pStyle w:val="TOC1"/>
        <w:rPr>
          <w:rFonts w:asciiTheme="minorHAnsi" w:eastAsiaTheme="minorEastAsia" w:hAnsiTheme="minorHAnsi" w:cstheme="minorBidi"/>
          <w:noProof/>
          <w:kern w:val="2"/>
          <w14:ligatures w14:val="standardContextual"/>
        </w:rPr>
      </w:pPr>
      <w:hyperlink w:anchor="_Toc199757744" w:history="1">
        <w:r w:rsidRPr="00713254">
          <w:rPr>
            <w:rStyle w:val="Hyperlink"/>
            <w:noProof/>
          </w:rPr>
          <w:t>LearningHub Information</w:t>
        </w:r>
      </w:hyperlink>
    </w:p>
    <w:p w14:paraId="1887C1AE" w14:textId="27F97E55" w:rsidR="00556D53" w:rsidRDefault="00556D53">
      <w:pPr>
        <w:pStyle w:val="TOC1"/>
        <w:rPr>
          <w:rFonts w:asciiTheme="minorHAnsi" w:eastAsiaTheme="minorEastAsia" w:hAnsiTheme="minorHAnsi" w:cstheme="minorBidi"/>
          <w:noProof/>
          <w:kern w:val="2"/>
          <w14:ligatures w14:val="standardContextual"/>
        </w:rPr>
      </w:pPr>
      <w:hyperlink w:anchor="_Toc199757745" w:history="1">
        <w:r w:rsidRPr="00713254">
          <w:rPr>
            <w:rStyle w:val="Hyperlink"/>
            <w:noProof/>
          </w:rPr>
          <w:t>FAQs</w:t>
        </w:r>
      </w:hyperlink>
    </w:p>
    <w:p w14:paraId="2B1DED6E" w14:textId="54CD4598" w:rsidR="00556D53" w:rsidRDefault="00556D53">
      <w:pPr>
        <w:pStyle w:val="TOC1"/>
        <w:rPr>
          <w:rFonts w:asciiTheme="minorHAnsi" w:eastAsiaTheme="minorEastAsia" w:hAnsiTheme="minorHAnsi" w:cstheme="minorBidi"/>
          <w:noProof/>
          <w:kern w:val="2"/>
          <w14:ligatures w14:val="standardContextual"/>
        </w:rPr>
      </w:pPr>
      <w:hyperlink w:anchor="_Toc199757746" w:history="1">
        <w:r w:rsidRPr="00713254">
          <w:rPr>
            <w:rStyle w:val="Hyperlink"/>
            <w:noProof/>
          </w:rPr>
          <w:t>Related Document</w:t>
        </w:r>
      </w:hyperlink>
    </w:p>
    <w:p w14:paraId="5FDFBA24" w14:textId="77777777" w:rsidR="00556D53" w:rsidRDefault="00556D53" w:rsidP="00AD35F4">
      <w:pPr>
        <w:spacing w:before="120" w:after="120"/>
        <w:rPr>
          <w:rFonts w:ascii="Arial" w:hAnsi="Arial" w:cs="Arial"/>
          <w:b/>
          <w:color w:val="FF9900"/>
          <w:sz w:val="32"/>
          <w:szCs w:val="20"/>
        </w:rPr>
      </w:pPr>
    </w:p>
    <w:p w14:paraId="77537B06" w14:textId="61F3C52A" w:rsidR="004E64BE" w:rsidRDefault="00AC135E" w:rsidP="00AD35F4">
      <w:pPr>
        <w:spacing w:before="120" w:after="120"/>
        <w:rPr>
          <w:color w:val="000000"/>
        </w:rPr>
      </w:pPr>
      <w:r>
        <w:rPr>
          <w:rFonts w:ascii="Arial" w:hAnsi="Arial" w:cs="Arial"/>
          <w:b/>
          <w:color w:val="FF9900"/>
          <w:sz w:val="32"/>
          <w:szCs w:val="20"/>
        </w:rPr>
        <w:fldChar w:fldCharType="end"/>
      </w:r>
      <w:bookmarkStart w:id="1" w:name="_Overview"/>
      <w:bookmarkStart w:id="2" w:name="_Why_is_it"/>
      <w:bookmarkStart w:id="3" w:name="_Availability"/>
      <w:bookmarkStart w:id="4" w:name="_Acronyms_/_Definitions"/>
      <w:bookmarkStart w:id="5" w:name="_Abbreviations/Definitions"/>
      <w:bookmarkEnd w:id="1"/>
      <w:bookmarkEnd w:id="2"/>
      <w:bookmarkEnd w:id="3"/>
      <w:bookmarkEnd w:id="4"/>
      <w:bookmarkEnd w:id="5"/>
      <w:r w:rsidR="003306CD">
        <w:rPr>
          <w:b/>
          <w:bCs/>
          <w:color w:val="000000"/>
        </w:rPr>
        <w:t>Description</w:t>
      </w:r>
      <w:r w:rsidR="00821B80">
        <w:rPr>
          <w:b/>
          <w:bCs/>
          <w:color w:val="000000"/>
        </w:rPr>
        <w:t xml:space="preserve">:  </w:t>
      </w:r>
      <w:proofErr w:type="spellStart"/>
      <w:r w:rsidR="00285035">
        <w:rPr>
          <w:color w:val="000000"/>
        </w:rPr>
        <w:t>A2E</w:t>
      </w:r>
      <w:proofErr w:type="spellEnd"/>
      <w:r w:rsidR="00285035">
        <w:rPr>
          <w:color w:val="000000"/>
        </w:rPr>
        <w:t xml:space="preserve"> </w:t>
      </w:r>
      <w:r w:rsidR="007F53F2">
        <w:rPr>
          <w:color w:val="000000"/>
        </w:rPr>
        <w:t>can</w:t>
      </w:r>
      <w:r w:rsidR="00285035">
        <w:rPr>
          <w:color w:val="000000"/>
        </w:rPr>
        <w:t xml:space="preserve"> assist you </w:t>
      </w:r>
      <w:r w:rsidR="008E74F2">
        <w:rPr>
          <w:color w:val="000000"/>
        </w:rPr>
        <w:t>in continuing</w:t>
      </w:r>
      <w:r w:rsidR="00285035">
        <w:rPr>
          <w:color w:val="000000"/>
        </w:rPr>
        <w:t xml:space="preserve"> your </w:t>
      </w:r>
      <w:r w:rsidR="0035726A" w:rsidRPr="008454D9">
        <w:t>growth with CVS Health and</w:t>
      </w:r>
      <w:r w:rsidR="007C17AE" w:rsidRPr="008454D9">
        <w:t xml:space="preserve"> </w:t>
      </w:r>
      <w:r w:rsidR="00285035">
        <w:rPr>
          <w:color w:val="000000"/>
        </w:rPr>
        <w:t>provide you with the information you need to navigate your career path and demonstrate the</w:t>
      </w:r>
      <w:r w:rsidR="00FC593D">
        <w:rPr>
          <w:color w:val="000000"/>
        </w:rPr>
        <w:t xml:space="preserve"> </w:t>
      </w:r>
      <w:r w:rsidR="00BD79E8" w:rsidRPr="008454D9">
        <w:t>Heart at Work behaviors</w:t>
      </w:r>
      <w:r w:rsidR="00285035">
        <w:rPr>
          <w:color w:val="000000"/>
        </w:rPr>
        <w:t>.</w:t>
      </w:r>
      <w:r w:rsidR="00BD79E8">
        <w:rPr>
          <w:color w:val="000000"/>
        </w:rPr>
        <w:t xml:space="preserve"> </w:t>
      </w:r>
      <w:r w:rsidR="003306CD">
        <w:rPr>
          <w:color w:val="000000"/>
        </w:rPr>
        <w:t xml:space="preserve">This </w:t>
      </w:r>
      <w:r w:rsidR="00452FD1">
        <w:rPr>
          <w:color w:val="000000"/>
        </w:rPr>
        <w:t>job aid</w:t>
      </w:r>
      <w:r w:rsidR="003306CD">
        <w:rPr>
          <w:color w:val="000000"/>
        </w:rPr>
        <w:t xml:space="preserve"> provides </w:t>
      </w:r>
      <w:r w:rsidR="00FC593D">
        <w:rPr>
          <w:color w:val="000000"/>
        </w:rPr>
        <w:t xml:space="preserve">an overview of the program and offers </w:t>
      </w:r>
      <w:r w:rsidR="00452FD1">
        <w:rPr>
          <w:color w:val="000000"/>
        </w:rPr>
        <w:t>guidance on</w:t>
      </w:r>
      <w:r w:rsidR="003306CD">
        <w:rPr>
          <w:color w:val="000000"/>
        </w:rPr>
        <w:t xml:space="preserve"> </w:t>
      </w:r>
      <w:r>
        <w:rPr>
          <w:color w:val="000000"/>
        </w:rPr>
        <w:t>navigating</w:t>
      </w:r>
      <w:r w:rsidR="003306CD">
        <w:rPr>
          <w:color w:val="000000"/>
        </w:rPr>
        <w:t xml:space="preserve"> the </w:t>
      </w:r>
      <w:proofErr w:type="spellStart"/>
      <w:r w:rsidR="003306CD">
        <w:rPr>
          <w:color w:val="000000"/>
        </w:rPr>
        <w:t>A2E</w:t>
      </w:r>
      <w:proofErr w:type="spellEnd"/>
      <w:r w:rsidR="003306CD">
        <w:rPr>
          <w:color w:val="000000"/>
        </w:rPr>
        <w:t xml:space="preserve"> Program in </w:t>
      </w:r>
      <w:proofErr w:type="spellStart"/>
      <w:r w:rsidR="003306CD">
        <w:rPr>
          <w:color w:val="000000"/>
        </w:rPr>
        <w:t>LearningHub</w:t>
      </w:r>
      <w:proofErr w:type="spellEnd"/>
      <w:r w:rsidR="003306CD">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74955" w14:paraId="164B6FC3" w14:textId="77777777" w:rsidTr="00CA74FC">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A94867" w14:textId="3473B4AE" w:rsidR="00074955" w:rsidRDefault="00074955" w:rsidP="00CA74FC">
            <w:pPr>
              <w:pStyle w:val="Heading2"/>
              <w:spacing w:before="120" w:after="120"/>
            </w:pPr>
            <w:bookmarkStart w:id="6" w:name="OLE_LINK6"/>
            <w:bookmarkStart w:id="7" w:name="_Toc199757738"/>
            <w:proofErr w:type="spellStart"/>
            <w:r>
              <w:rPr>
                <w:iCs w:val="0"/>
              </w:rPr>
              <w:t>A2E</w:t>
            </w:r>
            <w:proofErr w:type="spellEnd"/>
            <w:r>
              <w:rPr>
                <w:iCs w:val="0"/>
              </w:rPr>
              <w:t xml:space="preserve"> Promotion Process</w:t>
            </w:r>
            <w:bookmarkEnd w:id="7"/>
          </w:p>
        </w:tc>
      </w:tr>
      <w:bookmarkEnd w:id="6"/>
    </w:tbl>
    <w:p w14:paraId="32A73E03" w14:textId="77777777" w:rsidR="00074955" w:rsidRDefault="00074955" w:rsidP="00A45214">
      <w:pPr>
        <w:spacing w:before="120" w:after="120"/>
        <w:rPr>
          <w:color w:val="000000"/>
        </w:rPr>
      </w:pPr>
    </w:p>
    <w:p w14:paraId="1306D489" w14:textId="7E3DA87A" w:rsidR="00B60212" w:rsidRPr="008454D9" w:rsidRDefault="00580DAD" w:rsidP="00A45214">
      <w:pPr>
        <w:spacing w:before="120" w:after="120"/>
        <w:contextualSpacing/>
        <w:rPr>
          <w:color w:val="000000"/>
        </w:rPr>
      </w:pPr>
      <w:r w:rsidRPr="008454D9">
        <w:rPr>
          <w:b/>
          <w:bCs/>
          <w:color w:val="000000"/>
        </w:rPr>
        <w:t>Manager Call Review</w:t>
      </w:r>
      <w:r w:rsidR="00821B80">
        <w:rPr>
          <w:b/>
          <w:bCs/>
          <w:color w:val="000000"/>
        </w:rPr>
        <w:t xml:space="preserve">:  </w:t>
      </w:r>
      <w:r w:rsidR="00B60212" w:rsidRPr="008454D9">
        <w:rPr>
          <w:color w:val="000000"/>
        </w:rPr>
        <w:t xml:space="preserve">Manager will review two calls from </w:t>
      </w:r>
      <w:proofErr w:type="gramStart"/>
      <w:r w:rsidR="00B60212" w:rsidRPr="008454D9">
        <w:rPr>
          <w:color w:val="000000"/>
        </w:rPr>
        <w:t>prior</w:t>
      </w:r>
      <w:proofErr w:type="gramEnd"/>
      <w:r w:rsidR="00B60212" w:rsidRPr="008454D9">
        <w:rPr>
          <w:color w:val="000000"/>
        </w:rPr>
        <w:t xml:space="preserve"> thirty days. If CCR demonstrates How We Work Behaviors the CCR continues the ascension process. </w:t>
      </w:r>
    </w:p>
    <w:p w14:paraId="1AAE910E" w14:textId="43F2DC2A" w:rsidR="00B60212" w:rsidRPr="008454D9" w:rsidRDefault="00B77E4C" w:rsidP="00A45214">
      <w:pPr>
        <w:spacing w:before="120" w:after="120"/>
        <w:contextualSpacing/>
        <w:rPr>
          <w:color w:val="000000"/>
        </w:rPr>
      </w:pPr>
      <w:r>
        <w:rPr>
          <w:b/>
          <w:bCs/>
          <w:noProof/>
          <w:color w:val="000000"/>
        </w:rPr>
        <w:drawing>
          <wp:inline distT="0" distB="0" distL="0" distR="0" wp14:anchorId="56F502C9" wp14:editId="4BFD425C">
            <wp:extent cx="304762" cy="304762"/>
            <wp:effectExtent l="0" t="0" r="635" b="635"/>
            <wp:docPr id="211231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2981" name="Picture 2112312981"/>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color w:val="000000"/>
        </w:rPr>
        <w:t xml:space="preserve"> </w:t>
      </w:r>
      <w:r w:rsidR="00B60212" w:rsidRPr="008454D9">
        <w:rPr>
          <w:b/>
          <w:bCs/>
          <w:color w:val="000000"/>
        </w:rPr>
        <w:t>Director Call Review</w:t>
      </w:r>
      <w:r w:rsidR="00821B80">
        <w:rPr>
          <w:b/>
          <w:bCs/>
          <w:color w:val="000000"/>
        </w:rPr>
        <w:t xml:space="preserve">:  </w:t>
      </w:r>
      <w:r w:rsidR="00B60212" w:rsidRPr="008454D9">
        <w:rPr>
          <w:color w:val="000000"/>
        </w:rPr>
        <w:t>Director will review two calls from prior thirty days.</w:t>
      </w:r>
      <w:r w:rsidR="00CE5693">
        <w:rPr>
          <w:color w:val="000000"/>
        </w:rPr>
        <w:t xml:space="preserve"> These two calls will be different </w:t>
      </w:r>
      <w:proofErr w:type="gramStart"/>
      <w:r w:rsidR="00CE5693">
        <w:rPr>
          <w:color w:val="000000"/>
        </w:rPr>
        <w:t>than</w:t>
      </w:r>
      <w:proofErr w:type="gramEnd"/>
      <w:r w:rsidR="00CE5693">
        <w:rPr>
          <w:color w:val="000000"/>
        </w:rPr>
        <w:t xml:space="preserve"> the audits complete</w:t>
      </w:r>
      <w:r w:rsidR="00A45FE7">
        <w:rPr>
          <w:color w:val="000000"/>
        </w:rPr>
        <w:t>d</w:t>
      </w:r>
      <w:r w:rsidR="00CE5693">
        <w:rPr>
          <w:color w:val="000000"/>
        </w:rPr>
        <w:t xml:space="preserve"> by the manager.</w:t>
      </w:r>
      <w:r w:rsidR="00B60212" w:rsidRPr="008454D9">
        <w:rPr>
          <w:color w:val="000000"/>
        </w:rPr>
        <w:t xml:space="preserve"> If the calls display How We Work Behaviors, the submission is </w:t>
      </w:r>
      <w:r w:rsidR="0011361B" w:rsidRPr="008454D9">
        <w:rPr>
          <w:color w:val="000000"/>
        </w:rPr>
        <w:t>approved,</w:t>
      </w:r>
      <w:r w:rsidR="00B60212" w:rsidRPr="008454D9">
        <w:rPr>
          <w:color w:val="000000"/>
        </w:rPr>
        <w:t xml:space="preserve"> and ascension is complete. </w:t>
      </w:r>
    </w:p>
    <w:p w14:paraId="300F474B" w14:textId="77777777" w:rsidR="00896526" w:rsidRPr="008454D9" w:rsidRDefault="00896526" w:rsidP="00A45214">
      <w:pPr>
        <w:spacing w:before="120" w:after="120"/>
        <w:contextualSpacing/>
        <w:rPr>
          <w:color w:val="000000"/>
        </w:rPr>
      </w:pPr>
    </w:p>
    <w:p w14:paraId="4CEA4E03" w14:textId="65A62F24" w:rsidR="00896526" w:rsidRPr="008454D9" w:rsidRDefault="00896526" w:rsidP="00A45214">
      <w:pPr>
        <w:spacing w:before="120" w:after="120"/>
        <w:contextualSpacing/>
        <w:rPr>
          <w:color w:val="000000"/>
        </w:rPr>
      </w:pPr>
      <w:r w:rsidRPr="008454D9">
        <w:rPr>
          <w:b/>
          <w:bCs/>
          <w:color w:val="000000"/>
        </w:rPr>
        <w:t>If Approved</w:t>
      </w:r>
      <w:r w:rsidR="00821B80">
        <w:rPr>
          <w:b/>
          <w:bCs/>
          <w:color w:val="000000"/>
        </w:rPr>
        <w:t xml:space="preserve">:  </w:t>
      </w:r>
      <w:r w:rsidRPr="008454D9">
        <w:rPr>
          <w:color w:val="000000"/>
        </w:rPr>
        <w:t>Upon Successful Promotion to CCR II or CCR III</w:t>
      </w:r>
      <w:r w:rsidR="000E71D5">
        <w:rPr>
          <w:color w:val="000000"/>
        </w:rPr>
        <w:t>, CCR</w:t>
      </w:r>
      <w:r w:rsidRPr="008454D9">
        <w:rPr>
          <w:color w:val="000000"/>
        </w:rPr>
        <w:t xml:space="preserve"> </w:t>
      </w:r>
      <w:r w:rsidR="00380646" w:rsidRPr="008454D9">
        <w:rPr>
          <w:color w:val="000000"/>
        </w:rPr>
        <w:t>receive</w:t>
      </w:r>
      <w:r w:rsidR="000E71D5">
        <w:rPr>
          <w:color w:val="000000"/>
        </w:rPr>
        <w:t>s</w:t>
      </w:r>
      <w:r w:rsidR="00380646" w:rsidRPr="008454D9">
        <w:rPr>
          <w:color w:val="000000"/>
        </w:rPr>
        <w:t xml:space="preserve"> the appropriate </w:t>
      </w:r>
      <w:r w:rsidRPr="008454D9">
        <w:rPr>
          <w:color w:val="000000"/>
        </w:rPr>
        <w:t>title change and a 6% pay increase</w:t>
      </w:r>
      <w:r w:rsidR="00D072E4">
        <w:rPr>
          <w:color w:val="000000"/>
        </w:rPr>
        <w:t>.</w:t>
      </w:r>
    </w:p>
    <w:p w14:paraId="73F859C0" w14:textId="77777777" w:rsidR="00896526" w:rsidRPr="008454D9" w:rsidRDefault="00896526" w:rsidP="00A45214">
      <w:pPr>
        <w:spacing w:before="120" w:after="120"/>
        <w:contextualSpacing/>
        <w:rPr>
          <w:color w:val="000000"/>
        </w:rPr>
      </w:pPr>
    </w:p>
    <w:p w14:paraId="66737084" w14:textId="384C295F" w:rsidR="008F17F5" w:rsidRPr="008454D9" w:rsidRDefault="00896526" w:rsidP="00A45214">
      <w:pPr>
        <w:spacing w:before="120" w:after="120"/>
        <w:contextualSpacing/>
        <w:rPr>
          <w:color w:val="000000"/>
        </w:rPr>
      </w:pPr>
      <w:r w:rsidRPr="008454D9">
        <w:rPr>
          <w:b/>
          <w:bCs/>
          <w:color w:val="000000"/>
        </w:rPr>
        <w:t>If Denied</w:t>
      </w:r>
      <w:r w:rsidR="00821B80">
        <w:rPr>
          <w:b/>
          <w:bCs/>
          <w:color w:val="000000"/>
        </w:rPr>
        <w:t xml:space="preserve">:  </w:t>
      </w:r>
      <w:r w:rsidR="00380646" w:rsidRPr="008454D9">
        <w:rPr>
          <w:color w:val="000000"/>
        </w:rPr>
        <w:t>During the call review process</w:t>
      </w:r>
      <w:r w:rsidR="000E71D5">
        <w:rPr>
          <w:color w:val="000000"/>
        </w:rPr>
        <w:t>,</w:t>
      </w:r>
      <w:r w:rsidR="00380646" w:rsidRPr="008454D9">
        <w:rPr>
          <w:color w:val="000000"/>
        </w:rPr>
        <w:t xml:space="preserve"> if it is determined that additional development is needed</w:t>
      </w:r>
      <w:r w:rsidR="0041061A" w:rsidRPr="008454D9">
        <w:rPr>
          <w:color w:val="000000"/>
        </w:rPr>
        <w:t xml:space="preserve">, </w:t>
      </w:r>
      <w:r w:rsidR="00380646" w:rsidRPr="008454D9">
        <w:rPr>
          <w:color w:val="000000"/>
        </w:rPr>
        <w:t xml:space="preserve">the </w:t>
      </w:r>
      <w:r w:rsidR="0041061A" w:rsidRPr="008454D9">
        <w:rPr>
          <w:color w:val="000000"/>
        </w:rPr>
        <w:t>colleague’s</w:t>
      </w:r>
      <w:r w:rsidR="00380646" w:rsidRPr="008454D9">
        <w:rPr>
          <w:color w:val="000000"/>
        </w:rPr>
        <w:t xml:space="preserve"> </w:t>
      </w:r>
      <w:r w:rsidR="0041061A" w:rsidRPr="008454D9">
        <w:rPr>
          <w:color w:val="000000"/>
        </w:rPr>
        <w:t>leader</w:t>
      </w:r>
      <w:r w:rsidR="00380646" w:rsidRPr="008454D9">
        <w:rPr>
          <w:color w:val="000000"/>
        </w:rPr>
        <w:t xml:space="preserve"> will develop an action plan to address the areas of opportunity. </w:t>
      </w:r>
    </w:p>
    <w:p w14:paraId="5774FC34" w14:textId="39CD2732" w:rsidR="00235D54" w:rsidRPr="008454D9" w:rsidRDefault="008F17F5" w:rsidP="00A45214">
      <w:pPr>
        <w:pStyle w:val="ListParagraph"/>
        <w:numPr>
          <w:ilvl w:val="0"/>
          <w:numId w:val="2"/>
        </w:numPr>
        <w:spacing w:before="120" w:after="120"/>
        <w:rPr>
          <w:color w:val="000000"/>
        </w:rPr>
      </w:pPr>
      <w:r w:rsidRPr="008454D9">
        <w:rPr>
          <w:b/>
          <w:bCs/>
          <w:color w:val="000000"/>
        </w:rPr>
        <w:t>30 Day Follow Up</w:t>
      </w:r>
      <w:r w:rsidR="00821B80">
        <w:rPr>
          <w:b/>
          <w:bCs/>
          <w:color w:val="000000"/>
        </w:rPr>
        <w:t xml:space="preserve">:  </w:t>
      </w:r>
      <w:r w:rsidR="00380646" w:rsidRPr="008454D9">
        <w:rPr>
          <w:color w:val="000000"/>
        </w:rPr>
        <w:t xml:space="preserve">The </w:t>
      </w:r>
      <w:r w:rsidR="0041061A" w:rsidRPr="008454D9">
        <w:rPr>
          <w:color w:val="000000"/>
        </w:rPr>
        <w:t>colleague</w:t>
      </w:r>
      <w:r w:rsidR="00380646" w:rsidRPr="008454D9">
        <w:rPr>
          <w:color w:val="000000"/>
        </w:rPr>
        <w:t xml:space="preserve"> may then be reevaluated for </w:t>
      </w:r>
      <w:proofErr w:type="spellStart"/>
      <w:r w:rsidR="00380646" w:rsidRPr="008454D9">
        <w:rPr>
          <w:color w:val="000000"/>
        </w:rPr>
        <w:t>A2E</w:t>
      </w:r>
      <w:proofErr w:type="spellEnd"/>
      <w:r w:rsidR="00380646" w:rsidRPr="008454D9">
        <w:rPr>
          <w:color w:val="000000"/>
        </w:rPr>
        <w:t xml:space="preserve"> 30 days later if they still meet </w:t>
      </w:r>
      <w:proofErr w:type="spellStart"/>
      <w:r w:rsidR="00380646" w:rsidRPr="008454D9">
        <w:rPr>
          <w:color w:val="000000"/>
        </w:rPr>
        <w:t>A2E</w:t>
      </w:r>
      <w:proofErr w:type="spellEnd"/>
      <w:r w:rsidR="00380646" w:rsidRPr="008454D9">
        <w:rPr>
          <w:color w:val="000000"/>
        </w:rPr>
        <w:t xml:space="preserve"> </w:t>
      </w:r>
      <w:r w:rsidRPr="008454D9">
        <w:rPr>
          <w:color w:val="000000"/>
        </w:rPr>
        <w:t>eligibility</w:t>
      </w:r>
      <w:r w:rsidR="00380646" w:rsidRPr="008454D9">
        <w:rPr>
          <w:color w:val="000000"/>
        </w:rPr>
        <w:t>. During re</w:t>
      </w:r>
      <w:r w:rsidRPr="008454D9">
        <w:rPr>
          <w:color w:val="000000"/>
        </w:rPr>
        <w:t>-e</w:t>
      </w:r>
      <w:r w:rsidR="00380646" w:rsidRPr="008454D9">
        <w:rPr>
          <w:color w:val="000000"/>
        </w:rPr>
        <w:t>valuation</w:t>
      </w:r>
      <w:r w:rsidR="000E71D5">
        <w:rPr>
          <w:color w:val="000000"/>
        </w:rPr>
        <w:t>,</w:t>
      </w:r>
      <w:r w:rsidR="00500F7D" w:rsidRPr="008454D9">
        <w:rPr>
          <w:color w:val="000000"/>
        </w:rPr>
        <w:t xml:space="preserve"> </w:t>
      </w:r>
      <w:r w:rsidR="00380646" w:rsidRPr="008454D9">
        <w:rPr>
          <w:color w:val="000000"/>
        </w:rPr>
        <w:t>if the call reviews still have areas of opportunity</w:t>
      </w:r>
      <w:r w:rsidR="000E71D5">
        <w:rPr>
          <w:color w:val="000000"/>
        </w:rPr>
        <w:t>,</w:t>
      </w:r>
      <w:r w:rsidR="00380646" w:rsidRPr="008454D9">
        <w:rPr>
          <w:color w:val="000000"/>
        </w:rPr>
        <w:t xml:space="preserve"> a second action plan will be implemented to assist with further development. </w:t>
      </w:r>
    </w:p>
    <w:p w14:paraId="73EB2BF3" w14:textId="39660BA2" w:rsidR="008B3F93" w:rsidRPr="00301142" w:rsidRDefault="00380646" w:rsidP="00A45214">
      <w:pPr>
        <w:pStyle w:val="ListParagraph"/>
        <w:numPr>
          <w:ilvl w:val="0"/>
          <w:numId w:val="2"/>
        </w:numPr>
        <w:spacing w:before="120" w:after="120"/>
      </w:pPr>
      <w:r w:rsidRPr="008454D9">
        <w:rPr>
          <w:b/>
          <w:bCs/>
          <w:color w:val="000000"/>
        </w:rPr>
        <w:t xml:space="preserve">60 </w:t>
      </w:r>
      <w:r w:rsidR="008F17F5" w:rsidRPr="008454D9">
        <w:rPr>
          <w:b/>
          <w:bCs/>
          <w:color w:val="000000"/>
        </w:rPr>
        <w:t>Day Follow Up</w:t>
      </w:r>
      <w:r w:rsidR="00821B80">
        <w:rPr>
          <w:b/>
          <w:bCs/>
          <w:color w:val="000000"/>
        </w:rPr>
        <w:t xml:space="preserve">:  </w:t>
      </w:r>
      <w:r w:rsidR="008F17F5" w:rsidRPr="008454D9">
        <w:rPr>
          <w:color w:val="000000"/>
        </w:rPr>
        <w:t xml:space="preserve">60 </w:t>
      </w:r>
      <w:r w:rsidRPr="008454D9">
        <w:rPr>
          <w:color w:val="000000"/>
        </w:rPr>
        <w:t>days later</w:t>
      </w:r>
      <w:r w:rsidR="000E71D5">
        <w:rPr>
          <w:color w:val="000000"/>
        </w:rPr>
        <w:t>,</w:t>
      </w:r>
      <w:r w:rsidRPr="008454D9">
        <w:rPr>
          <w:color w:val="000000"/>
        </w:rPr>
        <w:t xml:space="preserve"> the CCR may be revaluated for promotion again if still </w:t>
      </w:r>
      <w:r w:rsidR="009E1561" w:rsidRPr="008454D9">
        <w:rPr>
          <w:color w:val="000000"/>
        </w:rPr>
        <w:t>eligible through performance</w:t>
      </w:r>
      <w:r w:rsidR="00821B80" w:rsidRPr="008454D9">
        <w:rPr>
          <w:color w:val="000000"/>
        </w:rPr>
        <w:t xml:space="preserve">. </w:t>
      </w:r>
    </w:p>
    <w:p w14:paraId="3A6B645F" w14:textId="77777777" w:rsidR="008B3F93" w:rsidRPr="008454D9" w:rsidRDefault="008B3F93" w:rsidP="00A45214">
      <w:pPr>
        <w:spacing w:before="120" w:after="120"/>
        <w:ind w:left="720"/>
        <w:rPr>
          <w:color w:val="000000"/>
        </w:rPr>
      </w:pPr>
    </w:p>
    <w:p w14:paraId="5E8803D7" w14:textId="5212D85A" w:rsidR="00930F63" w:rsidRPr="008454D9" w:rsidRDefault="008B3F93" w:rsidP="00B20E81">
      <w:pPr>
        <w:spacing w:before="60" w:after="60"/>
        <w:ind w:left="720"/>
        <w:jc w:val="right"/>
        <w:rPr>
          <w:color w:val="000000"/>
        </w:rPr>
      </w:pPr>
      <w:hyperlink w:anchor="_top" w:history="1">
        <w:r w:rsidRPr="0047047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C09D9" w14:paraId="1763133E" w14:textId="77777777" w:rsidTr="00BE4C9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634536" w14:textId="2FC64D49" w:rsidR="001C09D9" w:rsidRDefault="001C09D9" w:rsidP="00CA74FC">
            <w:pPr>
              <w:pStyle w:val="Heading2"/>
              <w:spacing w:before="120" w:after="120"/>
            </w:pPr>
            <w:bookmarkStart w:id="8" w:name="_Toc199757739"/>
            <w:proofErr w:type="spellStart"/>
            <w:r>
              <w:rPr>
                <w:iCs w:val="0"/>
              </w:rPr>
              <w:t>A2E</w:t>
            </w:r>
            <w:proofErr w:type="spellEnd"/>
            <w:r>
              <w:rPr>
                <w:iCs w:val="0"/>
              </w:rPr>
              <w:t xml:space="preserve"> Eligibility</w:t>
            </w:r>
            <w:r w:rsidR="004E64BE">
              <w:rPr>
                <w:iCs w:val="0"/>
              </w:rPr>
              <w:t xml:space="preserve"> </w:t>
            </w:r>
            <w:r w:rsidR="00BE4C9D">
              <w:rPr>
                <w:iCs w:val="0"/>
              </w:rPr>
              <w:t>–</w:t>
            </w:r>
            <w:r w:rsidR="00881477">
              <w:rPr>
                <w:iCs w:val="0"/>
              </w:rPr>
              <w:t xml:space="preserve"> </w:t>
            </w:r>
            <w:r w:rsidR="00BE4C9D">
              <w:rPr>
                <w:iCs w:val="0"/>
              </w:rPr>
              <w:t>Frontline Call Takers</w:t>
            </w:r>
            <w:bookmarkEnd w:id="8"/>
          </w:p>
        </w:tc>
      </w:tr>
    </w:tbl>
    <w:p w14:paraId="1BAF38F0" w14:textId="368F4766" w:rsidR="00C4009B" w:rsidRDefault="00C4009B" w:rsidP="00A45214">
      <w:pPr>
        <w:spacing w:before="120" w:after="120"/>
        <w:rPr>
          <w:b/>
          <w:bCs/>
          <w:color w:val="000000"/>
        </w:rPr>
      </w:pPr>
    </w:p>
    <w:p w14:paraId="35D9879F" w14:textId="283DA0BC" w:rsidR="004126E0" w:rsidRPr="004B0703" w:rsidRDefault="000B025B" w:rsidP="00A45214">
      <w:pPr>
        <w:spacing w:before="120" w:after="120"/>
        <w:rPr>
          <w:color w:val="000000"/>
        </w:rPr>
      </w:pPr>
      <w:r>
        <w:rPr>
          <w:b/>
          <w:bCs/>
          <w:color w:val="000000"/>
        </w:rPr>
        <w:t>Heart</w:t>
      </w:r>
      <w:r w:rsidR="00F811E5">
        <w:rPr>
          <w:b/>
          <w:bCs/>
          <w:color w:val="000000"/>
        </w:rPr>
        <w:t xml:space="preserve"> at Work</w:t>
      </w:r>
      <w:r>
        <w:rPr>
          <w:b/>
          <w:bCs/>
          <w:color w:val="000000"/>
        </w:rPr>
        <w:t xml:space="preserve"> Behaviors</w:t>
      </w:r>
      <w:r w:rsidR="004126E0">
        <w:rPr>
          <w:b/>
          <w:bCs/>
          <w:color w:val="000000"/>
        </w:rPr>
        <w:t>:</w:t>
      </w:r>
      <w:r w:rsidR="00EE4C91">
        <w:rPr>
          <w:b/>
          <w:bCs/>
          <w:color w:val="000000"/>
        </w:rPr>
        <w:t xml:space="preserve">  </w:t>
      </w:r>
      <w:r w:rsidR="004126E0">
        <w:rPr>
          <w:color w:val="000000"/>
        </w:rPr>
        <w:t xml:space="preserve">Refer to </w:t>
      </w:r>
      <w:hyperlink w:anchor="_Care_Goals" w:history="1">
        <w:r w:rsidR="004126E0" w:rsidRPr="004126E0">
          <w:rPr>
            <w:rStyle w:val="Hyperlink"/>
          </w:rPr>
          <w:t>Care Goals</w:t>
        </w:r>
      </w:hyperlink>
      <w:r w:rsidR="004126E0">
        <w:rPr>
          <w:color w:val="000000"/>
        </w:rPr>
        <w:t>.</w:t>
      </w:r>
    </w:p>
    <w:p w14:paraId="5482A18A" w14:textId="6B20A6D8" w:rsidR="002C353B" w:rsidRDefault="002C353B" w:rsidP="00A45214">
      <w:pPr>
        <w:spacing w:before="120" w:after="120"/>
        <w:rPr>
          <w:b/>
          <w:bCs/>
          <w:color w:val="000000"/>
        </w:rPr>
      </w:pPr>
      <w:bookmarkStart w:id="9" w:name="OLE_LINK5"/>
      <w:r>
        <w:rPr>
          <w:b/>
          <w:bCs/>
          <w:color w:val="000000"/>
        </w:rPr>
        <w:t>Colleague Performance</w:t>
      </w:r>
      <w:bookmarkEnd w:id="9"/>
      <w:r w:rsidR="00821B80">
        <w:rPr>
          <w:b/>
          <w:bCs/>
          <w:color w:val="000000"/>
        </w:rPr>
        <w:t xml:space="preserve">:  </w:t>
      </w:r>
    </w:p>
    <w:p w14:paraId="65AC2516" w14:textId="11D6AB3F" w:rsidR="006D1F62" w:rsidRDefault="006D1F62" w:rsidP="00A45214">
      <w:pPr>
        <w:spacing w:before="120" w:after="120"/>
        <w:rPr>
          <w:color w:val="000000"/>
        </w:rPr>
      </w:pPr>
      <w:r>
        <w:rPr>
          <w:color w:val="000000"/>
        </w:rPr>
        <w:t xml:space="preserve">Refer to the table below: </w:t>
      </w:r>
    </w:p>
    <w:tbl>
      <w:tblPr>
        <w:tblStyle w:val="TableGrid"/>
        <w:tblW w:w="5000" w:type="pct"/>
        <w:tblLook w:val="04A0" w:firstRow="1" w:lastRow="0" w:firstColumn="1" w:lastColumn="0" w:noHBand="0" w:noVBand="1"/>
      </w:tblPr>
      <w:tblGrid>
        <w:gridCol w:w="2276"/>
        <w:gridCol w:w="5271"/>
        <w:gridCol w:w="5403"/>
      </w:tblGrid>
      <w:tr w:rsidR="00F021E3" w14:paraId="0F2AD9D3" w14:textId="77777777" w:rsidTr="004B0703">
        <w:tc>
          <w:tcPr>
            <w:tcW w:w="585" w:type="pct"/>
            <w:shd w:val="clear" w:color="auto" w:fill="D9D9D9" w:themeFill="background1" w:themeFillShade="D9"/>
          </w:tcPr>
          <w:p w14:paraId="784C8666" w14:textId="36A6850F" w:rsidR="006D1F62" w:rsidRPr="004B0703" w:rsidRDefault="00B251F1" w:rsidP="004B0703">
            <w:pPr>
              <w:spacing w:before="120" w:after="120"/>
              <w:jc w:val="center"/>
              <w:rPr>
                <w:b/>
                <w:bCs/>
                <w:color w:val="000000"/>
              </w:rPr>
            </w:pPr>
            <w:r w:rsidRPr="004B0703">
              <w:rPr>
                <w:b/>
                <w:bCs/>
                <w:color w:val="000000"/>
              </w:rPr>
              <w:t>CCR</w:t>
            </w:r>
          </w:p>
        </w:tc>
        <w:tc>
          <w:tcPr>
            <w:tcW w:w="2182" w:type="pct"/>
            <w:shd w:val="clear" w:color="auto" w:fill="D9D9D9" w:themeFill="background1" w:themeFillShade="D9"/>
          </w:tcPr>
          <w:p w14:paraId="2ACD020C" w14:textId="650728B8" w:rsidR="006D1F62" w:rsidRPr="004B0703" w:rsidRDefault="00B251F1" w:rsidP="004B0703">
            <w:pPr>
              <w:spacing w:before="120" w:after="120"/>
              <w:jc w:val="center"/>
              <w:rPr>
                <w:b/>
                <w:bCs/>
                <w:color w:val="000000"/>
              </w:rPr>
            </w:pPr>
            <w:r w:rsidRPr="004B0703">
              <w:rPr>
                <w:b/>
                <w:bCs/>
                <w:color w:val="000000"/>
              </w:rPr>
              <w:t>Criteria</w:t>
            </w:r>
          </w:p>
        </w:tc>
        <w:tc>
          <w:tcPr>
            <w:tcW w:w="2233" w:type="pct"/>
            <w:shd w:val="clear" w:color="auto" w:fill="D9D9D9" w:themeFill="background1" w:themeFillShade="D9"/>
          </w:tcPr>
          <w:p w14:paraId="15D45E1A" w14:textId="2DCDE9A9" w:rsidR="006D1F62" w:rsidRPr="004B0703" w:rsidRDefault="00B251F1" w:rsidP="004B0703">
            <w:pPr>
              <w:spacing w:before="120" w:after="120"/>
              <w:jc w:val="center"/>
              <w:rPr>
                <w:b/>
                <w:bCs/>
                <w:color w:val="000000"/>
              </w:rPr>
            </w:pPr>
            <w:r w:rsidRPr="004B0703">
              <w:rPr>
                <w:b/>
                <w:bCs/>
                <w:color w:val="000000"/>
              </w:rPr>
              <w:t>Goal Requirements</w:t>
            </w:r>
          </w:p>
        </w:tc>
      </w:tr>
      <w:tr w:rsidR="004B55F4" w14:paraId="741926D6" w14:textId="77777777" w:rsidTr="00902B3C">
        <w:tc>
          <w:tcPr>
            <w:tcW w:w="585" w:type="pct"/>
          </w:tcPr>
          <w:p w14:paraId="79F326FA" w14:textId="309528B5" w:rsidR="006D1F62" w:rsidRDefault="00B251F1" w:rsidP="004B0703">
            <w:pPr>
              <w:spacing w:before="120" w:after="120"/>
              <w:rPr>
                <w:color w:val="000000"/>
              </w:rPr>
            </w:pPr>
            <w:r>
              <w:rPr>
                <w:b/>
                <w:bCs/>
              </w:rPr>
              <w:t xml:space="preserve">CCRI – </w:t>
            </w:r>
            <w:proofErr w:type="spellStart"/>
            <w:r>
              <w:rPr>
                <w:b/>
                <w:bCs/>
              </w:rPr>
              <w:t>CCRII</w:t>
            </w:r>
            <w:proofErr w:type="spellEnd"/>
          </w:p>
        </w:tc>
        <w:tc>
          <w:tcPr>
            <w:tcW w:w="2182" w:type="pct"/>
          </w:tcPr>
          <w:p w14:paraId="3F71F31D" w14:textId="77777777" w:rsidR="00B251F1" w:rsidRDefault="00B251F1" w:rsidP="004B0703">
            <w:pPr>
              <w:pStyle w:val="ListParagraph"/>
              <w:numPr>
                <w:ilvl w:val="0"/>
                <w:numId w:val="12"/>
              </w:numPr>
              <w:spacing w:before="120" w:after="120"/>
              <w:rPr>
                <w:color w:val="000000"/>
              </w:rPr>
            </w:pPr>
            <w:r w:rsidRPr="004B0703">
              <w:rPr>
                <w:color w:val="000000"/>
              </w:rPr>
              <w:t xml:space="preserve">6 </w:t>
            </w:r>
            <w:proofErr w:type="gramStart"/>
            <w:r w:rsidRPr="004B0703">
              <w:rPr>
                <w:color w:val="000000"/>
              </w:rPr>
              <w:t>months</w:t>
            </w:r>
            <w:proofErr w:type="gramEnd"/>
            <w:r w:rsidRPr="004B0703">
              <w:rPr>
                <w:color w:val="000000"/>
              </w:rPr>
              <w:t xml:space="preserve"> tenure (not to include training)</w:t>
            </w:r>
          </w:p>
          <w:p w14:paraId="3CAF4DB6" w14:textId="214EF75D" w:rsidR="00B251F1" w:rsidRDefault="00B251F1" w:rsidP="004B0703">
            <w:pPr>
              <w:pStyle w:val="ListParagraph"/>
              <w:numPr>
                <w:ilvl w:val="0"/>
                <w:numId w:val="12"/>
              </w:numPr>
              <w:spacing w:before="120" w:after="120"/>
              <w:rPr>
                <w:color w:val="000000"/>
              </w:rPr>
            </w:pPr>
            <w:r w:rsidRPr="004B0703">
              <w:rPr>
                <w:color w:val="000000"/>
              </w:rPr>
              <w:t xml:space="preserve">Have a performance rating of Successful Performance (SP) or higher for the last 6 </w:t>
            </w:r>
            <w:r w:rsidR="00230111" w:rsidRPr="004B0703">
              <w:rPr>
                <w:color w:val="000000"/>
              </w:rPr>
              <w:t>months.</w:t>
            </w:r>
          </w:p>
          <w:p w14:paraId="14A0A715" w14:textId="5C2A5DC4" w:rsidR="0092394B" w:rsidRDefault="00B251F1" w:rsidP="004B0703">
            <w:pPr>
              <w:pStyle w:val="ListParagraph"/>
              <w:numPr>
                <w:ilvl w:val="0"/>
                <w:numId w:val="12"/>
              </w:numPr>
              <w:spacing w:before="120" w:after="120"/>
              <w:rPr>
                <w:color w:val="000000"/>
              </w:rPr>
            </w:pPr>
            <w:r w:rsidRPr="004B0703">
              <w:rPr>
                <w:color w:val="000000"/>
              </w:rPr>
              <w:t xml:space="preserve">Have a supervisor </w:t>
            </w:r>
            <w:r w:rsidR="00230111" w:rsidRPr="004B0703">
              <w:rPr>
                <w:color w:val="000000"/>
              </w:rPr>
              <w:t>recommendation.</w:t>
            </w:r>
          </w:p>
          <w:p w14:paraId="44EBEDE8" w14:textId="0904C551" w:rsidR="0092394B" w:rsidRDefault="00B251F1" w:rsidP="004B0703">
            <w:pPr>
              <w:pStyle w:val="ListParagraph"/>
              <w:numPr>
                <w:ilvl w:val="0"/>
                <w:numId w:val="12"/>
              </w:numPr>
              <w:spacing w:before="120" w:after="120"/>
              <w:rPr>
                <w:color w:val="000000"/>
              </w:rPr>
            </w:pPr>
            <w:r w:rsidRPr="004B0703">
              <w:rPr>
                <w:color w:val="000000"/>
              </w:rPr>
              <w:t xml:space="preserve">Have met the goal </w:t>
            </w:r>
            <w:r w:rsidR="00230111" w:rsidRPr="004B0703">
              <w:rPr>
                <w:color w:val="000000"/>
              </w:rPr>
              <w:t>requirements.</w:t>
            </w:r>
            <w:r w:rsidRPr="004B0703">
              <w:rPr>
                <w:color w:val="000000"/>
              </w:rPr>
              <w:t xml:space="preserve"> </w:t>
            </w:r>
          </w:p>
          <w:p w14:paraId="002B2EEC" w14:textId="4CD93C52" w:rsidR="006D1F62" w:rsidRPr="004B0703" w:rsidRDefault="00B251F1" w:rsidP="004B0703">
            <w:pPr>
              <w:pStyle w:val="ListParagraph"/>
              <w:numPr>
                <w:ilvl w:val="0"/>
                <w:numId w:val="12"/>
              </w:numPr>
              <w:spacing w:before="120" w:after="120"/>
              <w:rPr>
                <w:color w:val="000000"/>
              </w:rPr>
            </w:pPr>
            <w:proofErr w:type="gramStart"/>
            <w:r w:rsidRPr="004B0703">
              <w:rPr>
                <w:color w:val="000000"/>
              </w:rPr>
              <w:t>Have</w:t>
            </w:r>
            <w:proofErr w:type="gramEnd"/>
            <w:r w:rsidRPr="004B0703">
              <w:rPr>
                <w:color w:val="000000"/>
              </w:rPr>
              <w:t xml:space="preserve"> completed the Learning Hub Courses for CCRI to </w:t>
            </w:r>
            <w:proofErr w:type="spellStart"/>
            <w:r w:rsidRPr="004B0703">
              <w:rPr>
                <w:color w:val="000000"/>
              </w:rPr>
              <w:t>CCRII</w:t>
            </w:r>
            <w:proofErr w:type="spellEnd"/>
          </w:p>
        </w:tc>
        <w:tc>
          <w:tcPr>
            <w:tcW w:w="2233" w:type="pct"/>
          </w:tcPr>
          <w:p w14:paraId="1B062C9A" w14:textId="3020A19F" w:rsidR="0092394B" w:rsidRPr="0092394B" w:rsidRDefault="0092394B" w:rsidP="004B0703">
            <w:pPr>
              <w:spacing w:before="120" w:after="120"/>
              <w:rPr>
                <w:color w:val="000000"/>
                <w:u w:val="single"/>
              </w:rPr>
            </w:pPr>
            <w:r w:rsidRPr="0092394B">
              <w:rPr>
                <w:color w:val="000000"/>
              </w:rPr>
              <w:t xml:space="preserve">Must meet the </w:t>
            </w:r>
            <w:r w:rsidR="00230111" w:rsidRPr="0092394B">
              <w:rPr>
                <w:color w:val="000000"/>
              </w:rPr>
              <w:t>criteria below</w:t>
            </w:r>
            <w:r w:rsidRPr="0092394B">
              <w:rPr>
                <w:color w:val="000000"/>
              </w:rPr>
              <w:t xml:space="preserve"> for 4 of 6 prior </w:t>
            </w:r>
            <w:r w:rsidR="00230111" w:rsidRPr="0092394B">
              <w:rPr>
                <w:color w:val="000000"/>
              </w:rPr>
              <w:t>months.</w:t>
            </w:r>
          </w:p>
          <w:p w14:paraId="18A9EBB6" w14:textId="77777777" w:rsidR="0092394B" w:rsidRDefault="0092394B" w:rsidP="004B0703">
            <w:pPr>
              <w:pStyle w:val="ListParagraph"/>
              <w:numPr>
                <w:ilvl w:val="0"/>
                <w:numId w:val="15"/>
              </w:numPr>
              <w:spacing w:before="120" w:after="120"/>
              <w:rPr>
                <w:color w:val="000000"/>
              </w:rPr>
            </w:pPr>
            <w:r w:rsidRPr="004B0703">
              <w:rPr>
                <w:color w:val="000000"/>
              </w:rPr>
              <w:t>Must have a Yes/Pending for at least 4 Heart at Work Behaviors</w:t>
            </w:r>
          </w:p>
          <w:p w14:paraId="5F0E66D4" w14:textId="77777777" w:rsidR="0092394B" w:rsidRDefault="0092394B" w:rsidP="004B0703">
            <w:pPr>
              <w:pStyle w:val="ListParagraph"/>
              <w:numPr>
                <w:ilvl w:val="0"/>
                <w:numId w:val="15"/>
              </w:numPr>
              <w:spacing w:before="120" w:after="120"/>
              <w:rPr>
                <w:color w:val="000000"/>
              </w:rPr>
            </w:pPr>
            <w:r w:rsidRPr="004B0703">
              <w:rPr>
                <w:color w:val="000000"/>
              </w:rPr>
              <w:t xml:space="preserve">Must have an SP or better in 3 of the 4 goals (Quality must be 1 of the 3 goals met) </w:t>
            </w:r>
          </w:p>
          <w:p w14:paraId="13B3CF01" w14:textId="048B6F0B" w:rsidR="006D1F62" w:rsidRPr="004B0703" w:rsidRDefault="0092394B" w:rsidP="004B0703">
            <w:pPr>
              <w:pStyle w:val="ListParagraph"/>
              <w:numPr>
                <w:ilvl w:val="1"/>
                <w:numId w:val="15"/>
              </w:numPr>
              <w:spacing w:before="120" w:after="120"/>
              <w:rPr>
                <w:color w:val="000000"/>
              </w:rPr>
            </w:pPr>
            <w:r w:rsidRPr="004B0703">
              <w:rPr>
                <w:color w:val="000000"/>
              </w:rPr>
              <w:t>If the agent doesn’t receive surveys via Medallia or doesn’t achieve a minimum of 2 surveys in a month this will automatically equate to an SP for that month in the Overall Satisfaction with the representative goal.</w:t>
            </w:r>
          </w:p>
        </w:tc>
      </w:tr>
      <w:tr w:rsidR="004B55F4" w14:paraId="1B50E59F" w14:textId="77777777" w:rsidTr="00902B3C">
        <w:tc>
          <w:tcPr>
            <w:tcW w:w="585" w:type="pct"/>
          </w:tcPr>
          <w:p w14:paraId="03F3E746" w14:textId="2E6F038A" w:rsidR="006D1F62" w:rsidRDefault="00A52084" w:rsidP="004B0703">
            <w:pPr>
              <w:spacing w:before="120" w:after="120"/>
              <w:rPr>
                <w:color w:val="000000"/>
              </w:rPr>
            </w:pPr>
            <w:proofErr w:type="spellStart"/>
            <w:r>
              <w:rPr>
                <w:b/>
                <w:bCs/>
              </w:rPr>
              <w:t>CCRII</w:t>
            </w:r>
            <w:proofErr w:type="spellEnd"/>
            <w:r>
              <w:rPr>
                <w:b/>
                <w:bCs/>
              </w:rPr>
              <w:t> – </w:t>
            </w:r>
            <w:proofErr w:type="spellStart"/>
            <w:r>
              <w:rPr>
                <w:b/>
                <w:bCs/>
              </w:rPr>
              <w:t>CCRIII</w:t>
            </w:r>
            <w:proofErr w:type="spellEnd"/>
          </w:p>
        </w:tc>
        <w:tc>
          <w:tcPr>
            <w:tcW w:w="2182" w:type="pct"/>
          </w:tcPr>
          <w:p w14:paraId="2BC6A36E" w14:textId="77777777" w:rsidR="00A52084" w:rsidRPr="00A52084" w:rsidRDefault="00A52084" w:rsidP="004B0703">
            <w:pPr>
              <w:pStyle w:val="ListParagraph"/>
              <w:numPr>
                <w:ilvl w:val="0"/>
                <w:numId w:val="18"/>
              </w:numPr>
              <w:spacing w:before="120" w:after="120"/>
              <w:rPr>
                <w:rFonts w:cs="Calibri"/>
                <w:u w:val="single"/>
              </w:rPr>
            </w:pPr>
            <w:r w:rsidRPr="00A52084">
              <w:rPr>
                <w:rFonts w:cs="Calibri"/>
              </w:rPr>
              <w:t xml:space="preserve">6 months must have passed since the promotion date of CCRI to </w:t>
            </w:r>
            <w:proofErr w:type="spellStart"/>
            <w:r w:rsidRPr="00A52084">
              <w:rPr>
                <w:rFonts w:cs="Calibri"/>
              </w:rPr>
              <w:t>CCRII</w:t>
            </w:r>
            <w:proofErr w:type="spellEnd"/>
          </w:p>
          <w:p w14:paraId="7E787771" w14:textId="0300503F" w:rsidR="00A52084" w:rsidRPr="00A52084" w:rsidRDefault="00A52084" w:rsidP="004B0703">
            <w:pPr>
              <w:pStyle w:val="ListParagraph"/>
              <w:numPr>
                <w:ilvl w:val="0"/>
                <w:numId w:val="18"/>
              </w:numPr>
              <w:spacing w:before="120" w:after="120"/>
              <w:rPr>
                <w:rFonts w:cs="Calibri"/>
              </w:rPr>
            </w:pPr>
            <w:r w:rsidRPr="00A52084">
              <w:rPr>
                <w:rFonts w:cs="Calibri"/>
              </w:rPr>
              <w:t xml:space="preserve">Have a performance rating of Successful Performance (SP) or higher for the last 6 </w:t>
            </w:r>
            <w:r w:rsidR="00230111" w:rsidRPr="00A52084">
              <w:rPr>
                <w:rFonts w:cs="Calibri"/>
              </w:rPr>
              <w:t>months.</w:t>
            </w:r>
          </w:p>
          <w:p w14:paraId="6E8B2B00" w14:textId="3694E412" w:rsidR="00A52084" w:rsidRPr="00A52084" w:rsidRDefault="00A52084" w:rsidP="004B0703">
            <w:pPr>
              <w:pStyle w:val="ListParagraph"/>
              <w:numPr>
                <w:ilvl w:val="0"/>
                <w:numId w:val="18"/>
              </w:numPr>
              <w:spacing w:before="120" w:after="120"/>
              <w:rPr>
                <w:rFonts w:cs="Calibri"/>
              </w:rPr>
            </w:pPr>
            <w:r w:rsidRPr="00A52084">
              <w:rPr>
                <w:rFonts w:cs="Calibri"/>
              </w:rPr>
              <w:t xml:space="preserve">Have a supervisor </w:t>
            </w:r>
            <w:r w:rsidR="00230111" w:rsidRPr="00A52084">
              <w:rPr>
                <w:rFonts w:cs="Calibri"/>
              </w:rPr>
              <w:t>recommendation.</w:t>
            </w:r>
          </w:p>
          <w:p w14:paraId="6BFD9010" w14:textId="77777777" w:rsidR="00A52084" w:rsidRPr="00A52084" w:rsidRDefault="00A52084" w:rsidP="004B0703">
            <w:pPr>
              <w:pStyle w:val="ListParagraph"/>
              <w:numPr>
                <w:ilvl w:val="0"/>
                <w:numId w:val="18"/>
              </w:numPr>
              <w:spacing w:before="120" w:after="120"/>
              <w:rPr>
                <w:rFonts w:cs="Calibri"/>
              </w:rPr>
            </w:pPr>
            <w:r w:rsidRPr="00A52084">
              <w:rPr>
                <w:rFonts w:cs="Calibri"/>
              </w:rPr>
              <w:t>Actively participate in the program/support activity</w:t>
            </w:r>
          </w:p>
          <w:p w14:paraId="798CB9C2" w14:textId="01BF8761" w:rsidR="00A52084" w:rsidRPr="00A52084" w:rsidRDefault="00A52084" w:rsidP="004B0703">
            <w:pPr>
              <w:pStyle w:val="ListParagraph"/>
              <w:numPr>
                <w:ilvl w:val="0"/>
                <w:numId w:val="18"/>
              </w:numPr>
              <w:spacing w:before="120" w:after="120"/>
              <w:rPr>
                <w:rFonts w:cs="Calibri"/>
              </w:rPr>
            </w:pPr>
            <w:r w:rsidRPr="00A52084">
              <w:rPr>
                <w:rFonts w:cs="Calibri"/>
              </w:rPr>
              <w:t xml:space="preserve">Have met the goal </w:t>
            </w:r>
            <w:r w:rsidR="00230111" w:rsidRPr="00A52084">
              <w:rPr>
                <w:rFonts w:cs="Calibri"/>
              </w:rPr>
              <w:t>requirements.</w:t>
            </w:r>
            <w:r w:rsidRPr="00A52084">
              <w:rPr>
                <w:rFonts w:cs="Calibri"/>
              </w:rPr>
              <w:t xml:space="preserve"> </w:t>
            </w:r>
          </w:p>
          <w:p w14:paraId="3EFC13F7" w14:textId="6015DD4E" w:rsidR="006D1F62" w:rsidRPr="004B0703" w:rsidRDefault="00A52084" w:rsidP="004B0703">
            <w:pPr>
              <w:pStyle w:val="ListParagraph"/>
              <w:numPr>
                <w:ilvl w:val="0"/>
                <w:numId w:val="18"/>
              </w:numPr>
              <w:spacing w:before="120" w:after="120"/>
              <w:rPr>
                <w:rFonts w:ascii="Calibri" w:hAnsi="Calibri" w:cs="Calibri"/>
                <w:sz w:val="22"/>
                <w:szCs w:val="22"/>
              </w:rPr>
            </w:pPr>
            <w:r w:rsidRPr="00A52084">
              <w:rPr>
                <w:rFonts w:cs="Calibri"/>
              </w:rPr>
              <w:t xml:space="preserve">Have completed the Learning Hub Courses for </w:t>
            </w:r>
            <w:proofErr w:type="spellStart"/>
            <w:r w:rsidRPr="00A52084">
              <w:rPr>
                <w:rFonts w:cs="Calibri"/>
              </w:rPr>
              <w:t>CCRII</w:t>
            </w:r>
            <w:proofErr w:type="spellEnd"/>
            <w:r w:rsidRPr="00A52084">
              <w:rPr>
                <w:rFonts w:cs="Calibri"/>
              </w:rPr>
              <w:t xml:space="preserve"> to </w:t>
            </w:r>
            <w:proofErr w:type="spellStart"/>
            <w:r w:rsidRPr="00A52084">
              <w:rPr>
                <w:rFonts w:cs="Calibri"/>
              </w:rPr>
              <w:t>CCRIII</w:t>
            </w:r>
            <w:proofErr w:type="spellEnd"/>
          </w:p>
        </w:tc>
        <w:tc>
          <w:tcPr>
            <w:tcW w:w="2233" w:type="pct"/>
          </w:tcPr>
          <w:p w14:paraId="0FE89CDD" w14:textId="4B2B6A3C" w:rsidR="00F021E3" w:rsidRPr="00F021E3" w:rsidRDefault="00F021E3" w:rsidP="00F021E3">
            <w:pPr>
              <w:spacing w:before="120" w:after="120"/>
              <w:rPr>
                <w:color w:val="000000"/>
              </w:rPr>
            </w:pPr>
            <w:r w:rsidRPr="00F021E3">
              <w:rPr>
                <w:color w:val="000000"/>
              </w:rPr>
              <w:t xml:space="preserve">Must meet the </w:t>
            </w:r>
            <w:r w:rsidR="00230111" w:rsidRPr="00F021E3">
              <w:rPr>
                <w:color w:val="000000"/>
              </w:rPr>
              <w:t>criteria below</w:t>
            </w:r>
            <w:r w:rsidRPr="00F021E3">
              <w:rPr>
                <w:color w:val="000000"/>
              </w:rPr>
              <w:t xml:space="preserve"> for 5 of 6 prior </w:t>
            </w:r>
            <w:r w:rsidR="001E79BA" w:rsidRPr="00F021E3">
              <w:rPr>
                <w:color w:val="000000"/>
              </w:rPr>
              <w:t>months.</w:t>
            </w:r>
          </w:p>
          <w:p w14:paraId="69D68939" w14:textId="77777777" w:rsidR="00F021E3" w:rsidRPr="00F021E3" w:rsidRDefault="00F021E3" w:rsidP="004B0703">
            <w:pPr>
              <w:numPr>
                <w:ilvl w:val="0"/>
                <w:numId w:val="20"/>
              </w:numPr>
              <w:spacing w:before="120" w:after="120"/>
              <w:ind w:left="721"/>
              <w:rPr>
                <w:color w:val="000000"/>
              </w:rPr>
            </w:pPr>
            <w:r w:rsidRPr="00F021E3">
              <w:rPr>
                <w:color w:val="000000"/>
              </w:rPr>
              <w:t xml:space="preserve">Must have </w:t>
            </w:r>
            <w:proofErr w:type="gramStart"/>
            <w:r w:rsidRPr="00F021E3">
              <w:rPr>
                <w:color w:val="000000"/>
              </w:rPr>
              <w:t>a Yes</w:t>
            </w:r>
            <w:proofErr w:type="gramEnd"/>
            <w:r w:rsidRPr="00F021E3">
              <w:rPr>
                <w:color w:val="000000"/>
              </w:rPr>
              <w:t>/Pending for at least 5 Heart at Work Behaviors</w:t>
            </w:r>
          </w:p>
          <w:p w14:paraId="665B3FB9" w14:textId="0B3316DB" w:rsidR="00F021E3" w:rsidRPr="00F021E3" w:rsidRDefault="00F021E3" w:rsidP="004B0703">
            <w:pPr>
              <w:numPr>
                <w:ilvl w:val="0"/>
                <w:numId w:val="20"/>
              </w:numPr>
              <w:spacing w:before="120" w:after="120"/>
              <w:ind w:left="721"/>
              <w:rPr>
                <w:color w:val="000000"/>
              </w:rPr>
            </w:pPr>
            <w:r w:rsidRPr="00F021E3">
              <w:rPr>
                <w:color w:val="000000"/>
              </w:rPr>
              <w:t xml:space="preserve">Must have an HP or better in </w:t>
            </w:r>
            <w:r w:rsidR="00230111" w:rsidRPr="00F021E3">
              <w:rPr>
                <w:color w:val="000000"/>
              </w:rPr>
              <w:t>Quality.</w:t>
            </w:r>
            <w:r w:rsidRPr="00F021E3">
              <w:rPr>
                <w:color w:val="000000"/>
              </w:rPr>
              <w:t xml:space="preserve"> </w:t>
            </w:r>
          </w:p>
          <w:p w14:paraId="55A88B40" w14:textId="75A41199" w:rsidR="00F021E3" w:rsidRPr="00F021E3" w:rsidRDefault="00F021E3" w:rsidP="004B0703">
            <w:pPr>
              <w:numPr>
                <w:ilvl w:val="0"/>
                <w:numId w:val="20"/>
              </w:numPr>
              <w:spacing w:before="120" w:after="120"/>
              <w:ind w:left="721"/>
              <w:rPr>
                <w:color w:val="000000"/>
                <w:u w:val="single"/>
              </w:rPr>
            </w:pPr>
            <w:r w:rsidRPr="00F021E3">
              <w:rPr>
                <w:color w:val="000000"/>
              </w:rPr>
              <w:t xml:space="preserve">Must have an SP or better in other 3 </w:t>
            </w:r>
            <w:r w:rsidR="00230111" w:rsidRPr="00F021E3">
              <w:rPr>
                <w:color w:val="000000"/>
              </w:rPr>
              <w:t>goals.</w:t>
            </w:r>
            <w:r w:rsidRPr="00F021E3">
              <w:rPr>
                <w:color w:val="000000"/>
              </w:rPr>
              <w:t xml:space="preserve"> </w:t>
            </w:r>
          </w:p>
          <w:p w14:paraId="6796B2A9" w14:textId="4E9BF527" w:rsidR="006D1F62" w:rsidRPr="004B0703" w:rsidRDefault="00F021E3" w:rsidP="004B0703">
            <w:pPr>
              <w:numPr>
                <w:ilvl w:val="0"/>
                <w:numId w:val="14"/>
              </w:numPr>
              <w:spacing w:before="120" w:after="120"/>
              <w:ind w:left="1441"/>
              <w:rPr>
                <w:color w:val="000000"/>
                <w:u w:val="single"/>
              </w:rPr>
            </w:pPr>
            <w:r w:rsidRPr="00F021E3">
              <w:rPr>
                <w:color w:val="000000"/>
              </w:rPr>
              <w:t>If the agent doesn’t receive surveys via Medallia or doesn’t achieve a minimum of 2 surveys in a month this will automatically equate to an SP for that month in the Overall Satisfaction with the representative goal.</w:t>
            </w:r>
          </w:p>
        </w:tc>
      </w:tr>
    </w:tbl>
    <w:p w14:paraId="66495A11" w14:textId="77777777" w:rsidR="006D1F62" w:rsidRDefault="006D1F62" w:rsidP="002C353B">
      <w:pPr>
        <w:rPr>
          <w:b/>
          <w:bCs/>
          <w:color w:val="000000"/>
        </w:rPr>
      </w:pPr>
    </w:p>
    <w:p w14:paraId="389730D2" w14:textId="77777777" w:rsidR="002842EF" w:rsidRDefault="002842EF" w:rsidP="002577B7">
      <w:pPr>
        <w:jc w:val="right"/>
        <w:rPr>
          <w:color w:val="000000"/>
        </w:rPr>
      </w:pPr>
    </w:p>
    <w:p w14:paraId="7BCEFFA6" w14:textId="7C53DECC" w:rsidR="002577B7" w:rsidRPr="002577B7" w:rsidRDefault="002577B7" w:rsidP="002577B7">
      <w:pPr>
        <w:jc w:val="right"/>
        <w:rPr>
          <w:color w:val="000000"/>
        </w:rPr>
      </w:pPr>
      <w:hyperlink w:anchor="_top" w:history="1">
        <w:r w:rsidRPr="002577B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E4C9D" w14:paraId="2DCE2BC1" w14:textId="77777777" w:rsidTr="00B77E4C">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5DB3F9" w14:textId="737443CF" w:rsidR="00BE4C9D" w:rsidRDefault="00B77E4C" w:rsidP="00C111A1">
            <w:pPr>
              <w:pStyle w:val="Heading2"/>
              <w:spacing w:before="120" w:after="120"/>
            </w:pPr>
            <w:bookmarkStart w:id="10" w:name="_Toc199757740"/>
            <w:r>
              <w:rPr>
                <w:b w:val="0"/>
                <w:bCs w:val="0"/>
                <w:noProof/>
                <w:color w:val="000000"/>
              </w:rPr>
              <w:drawing>
                <wp:inline distT="0" distB="0" distL="0" distR="0" wp14:anchorId="4E5A57AE" wp14:editId="7AE2953C">
                  <wp:extent cx="304762" cy="304762"/>
                  <wp:effectExtent l="0" t="0" r="635" b="635"/>
                  <wp:docPr id="97991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2981" name="Picture 2112312981"/>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val="0"/>
                <w:bCs w:val="0"/>
                <w:color w:val="000000"/>
              </w:rPr>
              <w:t xml:space="preserve"> </w:t>
            </w:r>
            <w:proofErr w:type="spellStart"/>
            <w:r w:rsidR="00BE4C9D">
              <w:rPr>
                <w:iCs w:val="0"/>
              </w:rPr>
              <w:t>A2E</w:t>
            </w:r>
            <w:proofErr w:type="spellEnd"/>
            <w:r w:rsidR="00BE4C9D">
              <w:rPr>
                <w:iCs w:val="0"/>
              </w:rPr>
              <w:t xml:space="preserve"> Eligibility – Offline </w:t>
            </w:r>
            <w:proofErr w:type="spellStart"/>
            <w:r w:rsidR="00BE4C9D">
              <w:rPr>
                <w:iCs w:val="0"/>
              </w:rPr>
              <w:t>eCare</w:t>
            </w:r>
            <w:bookmarkEnd w:id="10"/>
            <w:proofErr w:type="spellEnd"/>
            <w:r w:rsidR="00BE4C9D">
              <w:rPr>
                <w:iCs w:val="0"/>
              </w:rPr>
              <w:t xml:space="preserve"> </w:t>
            </w:r>
          </w:p>
        </w:tc>
      </w:tr>
    </w:tbl>
    <w:p w14:paraId="59714BDA" w14:textId="77777777" w:rsidR="00BE4C9D" w:rsidRDefault="00BE4C9D" w:rsidP="00BE4C9D">
      <w:pPr>
        <w:spacing w:before="120" w:after="120"/>
        <w:rPr>
          <w:b/>
          <w:bCs/>
          <w:color w:val="000000"/>
        </w:rPr>
      </w:pPr>
    </w:p>
    <w:p w14:paraId="6A77C1A2" w14:textId="5C4C321F" w:rsidR="00BE4C9D" w:rsidRPr="004B0703" w:rsidRDefault="00BE4C9D" w:rsidP="00BE4C9D">
      <w:pPr>
        <w:spacing w:before="120" w:after="120"/>
        <w:rPr>
          <w:color w:val="000000"/>
        </w:rPr>
      </w:pPr>
      <w:r>
        <w:rPr>
          <w:b/>
          <w:bCs/>
          <w:color w:val="000000"/>
        </w:rPr>
        <w:t xml:space="preserve">Heart at Work Behaviors:  </w:t>
      </w:r>
      <w:r>
        <w:rPr>
          <w:color w:val="000000"/>
        </w:rPr>
        <w:t xml:space="preserve">Refer to </w:t>
      </w:r>
      <w:hyperlink r:id="rId9" w:anchor="!/view?docid=95d04ce3-448f-402f-b9de-4cf859e5d0cf" w:history="1">
        <w:proofErr w:type="spellStart"/>
        <w:r w:rsidR="00B77E4C">
          <w:rPr>
            <w:rStyle w:val="Hyperlink"/>
          </w:rPr>
          <w:t>eCare</w:t>
        </w:r>
        <w:proofErr w:type="spellEnd"/>
        <w:r w:rsidR="00B77E4C">
          <w:rPr>
            <w:rStyle w:val="Hyperlink"/>
          </w:rPr>
          <w:t xml:space="preserve"> Customer Care Goals (074313)</w:t>
        </w:r>
      </w:hyperlink>
      <w:r>
        <w:rPr>
          <w:color w:val="000000"/>
        </w:rPr>
        <w:t>.</w:t>
      </w:r>
    </w:p>
    <w:p w14:paraId="7D047C8F" w14:textId="77777777" w:rsidR="003C7B14" w:rsidRDefault="003C7B14" w:rsidP="00BE4C9D">
      <w:pPr>
        <w:spacing w:before="120" w:after="120"/>
        <w:rPr>
          <w:b/>
          <w:bCs/>
          <w:color w:val="000000"/>
        </w:rPr>
      </w:pPr>
    </w:p>
    <w:p w14:paraId="0F4C6315" w14:textId="61D6804A" w:rsidR="00BE4C9D" w:rsidRDefault="00BE4C9D" w:rsidP="00BE4C9D">
      <w:pPr>
        <w:spacing w:before="120" w:after="120"/>
        <w:rPr>
          <w:b/>
          <w:bCs/>
          <w:color w:val="000000"/>
        </w:rPr>
      </w:pPr>
      <w:r>
        <w:rPr>
          <w:b/>
          <w:bCs/>
          <w:color w:val="000000"/>
        </w:rPr>
        <w:t xml:space="preserve">Colleague Performance:  </w:t>
      </w:r>
    </w:p>
    <w:p w14:paraId="0081E071" w14:textId="5CABD9B3" w:rsidR="00BE4C9D" w:rsidRDefault="00BE4C9D" w:rsidP="00BE4C9D">
      <w:pPr>
        <w:spacing w:before="120" w:after="120"/>
        <w:rPr>
          <w:color w:val="000000"/>
        </w:rPr>
      </w:pPr>
      <w:r>
        <w:rPr>
          <w:color w:val="000000"/>
        </w:rPr>
        <w:t xml:space="preserve">Refer to the table below: </w:t>
      </w:r>
    </w:p>
    <w:tbl>
      <w:tblPr>
        <w:tblStyle w:val="TableGrid"/>
        <w:tblW w:w="5000" w:type="pct"/>
        <w:tblLook w:val="04A0" w:firstRow="1" w:lastRow="0" w:firstColumn="1" w:lastColumn="0" w:noHBand="0" w:noVBand="1"/>
      </w:tblPr>
      <w:tblGrid>
        <w:gridCol w:w="1516"/>
        <w:gridCol w:w="5651"/>
        <w:gridCol w:w="5783"/>
      </w:tblGrid>
      <w:tr w:rsidR="00BE4C9D" w14:paraId="049AB44C" w14:textId="77777777" w:rsidTr="00CC1043">
        <w:tc>
          <w:tcPr>
            <w:tcW w:w="585" w:type="pct"/>
            <w:shd w:val="clear" w:color="auto" w:fill="D9D9D9" w:themeFill="background1" w:themeFillShade="D9"/>
          </w:tcPr>
          <w:p w14:paraId="118C114A" w14:textId="77777777" w:rsidR="00BE4C9D" w:rsidRPr="004B0703" w:rsidRDefault="00BE4C9D" w:rsidP="00C111A1">
            <w:pPr>
              <w:spacing w:before="120" w:after="120"/>
              <w:jc w:val="center"/>
              <w:rPr>
                <w:b/>
                <w:bCs/>
                <w:color w:val="000000"/>
              </w:rPr>
            </w:pPr>
            <w:r w:rsidRPr="004B0703">
              <w:rPr>
                <w:b/>
                <w:bCs/>
                <w:color w:val="000000"/>
              </w:rPr>
              <w:t>CCR</w:t>
            </w:r>
          </w:p>
        </w:tc>
        <w:tc>
          <w:tcPr>
            <w:tcW w:w="2182" w:type="pct"/>
            <w:shd w:val="clear" w:color="auto" w:fill="D9D9D9" w:themeFill="background1" w:themeFillShade="D9"/>
          </w:tcPr>
          <w:p w14:paraId="45800D3D" w14:textId="77777777" w:rsidR="00BE4C9D" w:rsidRPr="004B0703" w:rsidRDefault="00BE4C9D" w:rsidP="00C111A1">
            <w:pPr>
              <w:spacing w:before="120" w:after="120"/>
              <w:jc w:val="center"/>
              <w:rPr>
                <w:b/>
                <w:bCs/>
                <w:color w:val="000000"/>
              </w:rPr>
            </w:pPr>
            <w:r w:rsidRPr="004B0703">
              <w:rPr>
                <w:b/>
                <w:bCs/>
                <w:color w:val="000000"/>
              </w:rPr>
              <w:t>Criteria</w:t>
            </w:r>
          </w:p>
        </w:tc>
        <w:tc>
          <w:tcPr>
            <w:tcW w:w="2233" w:type="pct"/>
            <w:shd w:val="clear" w:color="auto" w:fill="D9D9D9" w:themeFill="background1" w:themeFillShade="D9"/>
          </w:tcPr>
          <w:p w14:paraId="5C88BBD5" w14:textId="77777777" w:rsidR="00BE4C9D" w:rsidRPr="004B0703" w:rsidRDefault="00BE4C9D" w:rsidP="00C111A1">
            <w:pPr>
              <w:spacing w:before="120" w:after="120"/>
              <w:jc w:val="center"/>
              <w:rPr>
                <w:b/>
                <w:bCs/>
                <w:color w:val="000000"/>
              </w:rPr>
            </w:pPr>
            <w:r w:rsidRPr="004B0703">
              <w:rPr>
                <w:b/>
                <w:bCs/>
                <w:color w:val="000000"/>
              </w:rPr>
              <w:t>Goal Requirements</w:t>
            </w:r>
          </w:p>
        </w:tc>
      </w:tr>
      <w:tr w:rsidR="00BE4C9D" w14:paraId="75C118C2" w14:textId="77777777" w:rsidTr="00CC1043">
        <w:tc>
          <w:tcPr>
            <w:tcW w:w="585" w:type="pct"/>
          </w:tcPr>
          <w:p w14:paraId="3E0379E3" w14:textId="6AF33FB8" w:rsidR="00BE4C9D" w:rsidRDefault="00BC34E7" w:rsidP="00C111A1">
            <w:pPr>
              <w:spacing w:before="120" w:after="120"/>
              <w:rPr>
                <w:color w:val="000000"/>
              </w:rPr>
            </w:pPr>
            <w:proofErr w:type="spellStart"/>
            <w:r>
              <w:rPr>
                <w:b/>
                <w:bCs/>
              </w:rPr>
              <w:t>eCare</w:t>
            </w:r>
            <w:proofErr w:type="spellEnd"/>
            <w:r>
              <w:rPr>
                <w:b/>
                <w:bCs/>
              </w:rPr>
              <w:t xml:space="preserve"> Rep </w:t>
            </w:r>
            <w:r w:rsidR="008B143E">
              <w:rPr>
                <w:b/>
                <w:bCs/>
              </w:rPr>
              <w:t xml:space="preserve">I to </w:t>
            </w:r>
            <w:proofErr w:type="spellStart"/>
            <w:r w:rsidR="008B143E">
              <w:rPr>
                <w:b/>
                <w:bCs/>
              </w:rPr>
              <w:t>eCare</w:t>
            </w:r>
            <w:proofErr w:type="spellEnd"/>
            <w:r w:rsidR="008B143E">
              <w:rPr>
                <w:b/>
                <w:bCs/>
              </w:rPr>
              <w:t xml:space="preserve"> Rep II</w:t>
            </w:r>
          </w:p>
        </w:tc>
        <w:tc>
          <w:tcPr>
            <w:tcW w:w="2182" w:type="pct"/>
          </w:tcPr>
          <w:p w14:paraId="2667CEBC" w14:textId="77777777" w:rsidR="00BE4C9D" w:rsidRDefault="00BE4C9D" w:rsidP="007457F5">
            <w:pPr>
              <w:pStyle w:val="ListParagraph"/>
              <w:numPr>
                <w:ilvl w:val="0"/>
                <w:numId w:val="12"/>
              </w:numPr>
              <w:spacing w:before="120" w:after="120"/>
              <w:rPr>
                <w:color w:val="000000"/>
              </w:rPr>
            </w:pPr>
            <w:r w:rsidRPr="004B0703">
              <w:rPr>
                <w:color w:val="000000"/>
              </w:rPr>
              <w:t xml:space="preserve">6 </w:t>
            </w:r>
            <w:proofErr w:type="gramStart"/>
            <w:r w:rsidRPr="004B0703">
              <w:rPr>
                <w:color w:val="000000"/>
              </w:rPr>
              <w:t>months</w:t>
            </w:r>
            <w:proofErr w:type="gramEnd"/>
            <w:r w:rsidRPr="004B0703">
              <w:rPr>
                <w:color w:val="000000"/>
              </w:rPr>
              <w:t xml:space="preserve"> tenure (not to include training)</w:t>
            </w:r>
          </w:p>
          <w:p w14:paraId="7772D0E5" w14:textId="506873A1" w:rsidR="00BE4C9D" w:rsidRDefault="00BE4C9D" w:rsidP="007457F5">
            <w:pPr>
              <w:pStyle w:val="ListParagraph"/>
              <w:numPr>
                <w:ilvl w:val="0"/>
                <w:numId w:val="12"/>
              </w:numPr>
              <w:spacing w:before="120" w:after="120"/>
              <w:rPr>
                <w:color w:val="000000"/>
              </w:rPr>
            </w:pPr>
            <w:r w:rsidRPr="004B0703">
              <w:rPr>
                <w:color w:val="000000"/>
              </w:rPr>
              <w:t>Have a performance rating of Successful Performance (SP) or higher for the last 6 months</w:t>
            </w:r>
          </w:p>
          <w:p w14:paraId="0AC4CFCA" w14:textId="4D0B967C" w:rsidR="00BE4C9D" w:rsidRDefault="00BE4C9D" w:rsidP="007457F5">
            <w:pPr>
              <w:pStyle w:val="ListParagraph"/>
              <w:numPr>
                <w:ilvl w:val="0"/>
                <w:numId w:val="12"/>
              </w:numPr>
              <w:spacing w:before="120" w:after="120"/>
              <w:rPr>
                <w:color w:val="000000"/>
              </w:rPr>
            </w:pPr>
            <w:r w:rsidRPr="004B0703">
              <w:rPr>
                <w:color w:val="000000"/>
              </w:rPr>
              <w:t>Have a supervisor recommendation</w:t>
            </w:r>
          </w:p>
          <w:p w14:paraId="3B642FC1" w14:textId="113B7AAD" w:rsidR="00BE4C9D" w:rsidRDefault="00BE4C9D" w:rsidP="007457F5">
            <w:pPr>
              <w:pStyle w:val="ListParagraph"/>
              <w:numPr>
                <w:ilvl w:val="0"/>
                <w:numId w:val="12"/>
              </w:numPr>
              <w:spacing w:before="120" w:after="120"/>
              <w:rPr>
                <w:color w:val="000000"/>
              </w:rPr>
            </w:pPr>
            <w:r w:rsidRPr="004B0703">
              <w:rPr>
                <w:color w:val="000000"/>
              </w:rPr>
              <w:t>Have met the goal requirements</w:t>
            </w:r>
          </w:p>
          <w:p w14:paraId="0D88E1DF" w14:textId="5807EE45" w:rsidR="00BE4C9D" w:rsidRPr="004B0703" w:rsidRDefault="00BE4C9D" w:rsidP="007457F5">
            <w:pPr>
              <w:pStyle w:val="ListParagraph"/>
              <w:numPr>
                <w:ilvl w:val="0"/>
                <w:numId w:val="12"/>
              </w:numPr>
              <w:spacing w:before="120" w:after="120"/>
              <w:rPr>
                <w:color w:val="000000"/>
              </w:rPr>
            </w:pPr>
            <w:proofErr w:type="gramStart"/>
            <w:r w:rsidRPr="004B0703">
              <w:rPr>
                <w:color w:val="000000"/>
              </w:rPr>
              <w:t>Have</w:t>
            </w:r>
            <w:proofErr w:type="gramEnd"/>
            <w:r w:rsidRPr="004B0703">
              <w:rPr>
                <w:color w:val="000000"/>
              </w:rPr>
              <w:t xml:space="preserve"> completed the Learning Hub Courses for </w:t>
            </w:r>
            <w:proofErr w:type="spellStart"/>
            <w:r w:rsidR="003701C1">
              <w:rPr>
                <w:color w:val="000000"/>
              </w:rPr>
              <w:t>eCare</w:t>
            </w:r>
            <w:proofErr w:type="spellEnd"/>
            <w:r w:rsidR="003701C1">
              <w:rPr>
                <w:color w:val="000000"/>
              </w:rPr>
              <w:t xml:space="preserve"> Rep I to </w:t>
            </w:r>
            <w:proofErr w:type="spellStart"/>
            <w:r w:rsidR="003701C1">
              <w:rPr>
                <w:color w:val="000000"/>
              </w:rPr>
              <w:t>eCare</w:t>
            </w:r>
            <w:proofErr w:type="spellEnd"/>
            <w:r w:rsidR="003701C1">
              <w:rPr>
                <w:color w:val="000000"/>
              </w:rPr>
              <w:t xml:space="preserve"> Rep II</w:t>
            </w:r>
          </w:p>
        </w:tc>
        <w:tc>
          <w:tcPr>
            <w:tcW w:w="2233" w:type="pct"/>
          </w:tcPr>
          <w:p w14:paraId="1F586477" w14:textId="0C05FDDB" w:rsidR="003701C1" w:rsidRPr="00F021E3" w:rsidRDefault="003701C1" w:rsidP="003701C1">
            <w:pPr>
              <w:spacing w:before="120" w:after="120"/>
              <w:rPr>
                <w:color w:val="000000"/>
              </w:rPr>
            </w:pPr>
            <w:r w:rsidRPr="00F021E3">
              <w:rPr>
                <w:color w:val="000000"/>
              </w:rPr>
              <w:t>Must meet the criteria below for 5 of 6 prior months</w:t>
            </w:r>
            <w:r w:rsidR="003C7B14">
              <w:rPr>
                <w:color w:val="000000"/>
              </w:rPr>
              <w:t>:</w:t>
            </w:r>
          </w:p>
          <w:p w14:paraId="1D12F24A" w14:textId="77777777" w:rsidR="003701C1" w:rsidRPr="00F021E3" w:rsidRDefault="003701C1" w:rsidP="003701C1">
            <w:pPr>
              <w:numPr>
                <w:ilvl w:val="0"/>
                <w:numId w:val="20"/>
              </w:numPr>
              <w:spacing w:before="120" w:after="120"/>
              <w:ind w:left="721"/>
              <w:rPr>
                <w:color w:val="000000"/>
              </w:rPr>
            </w:pPr>
            <w:r w:rsidRPr="00F021E3">
              <w:rPr>
                <w:color w:val="000000"/>
              </w:rPr>
              <w:t xml:space="preserve">Must have </w:t>
            </w:r>
            <w:proofErr w:type="gramStart"/>
            <w:r w:rsidRPr="00F021E3">
              <w:rPr>
                <w:color w:val="000000"/>
              </w:rPr>
              <w:t>a Yes</w:t>
            </w:r>
            <w:proofErr w:type="gramEnd"/>
            <w:r w:rsidRPr="00F021E3">
              <w:rPr>
                <w:color w:val="000000"/>
              </w:rPr>
              <w:t>/Pending for at least 5 Heart at Work Behaviors</w:t>
            </w:r>
          </w:p>
          <w:p w14:paraId="7AE5B82D" w14:textId="7D61212B" w:rsidR="003701C1" w:rsidRPr="00F021E3" w:rsidRDefault="003701C1" w:rsidP="003701C1">
            <w:pPr>
              <w:numPr>
                <w:ilvl w:val="0"/>
                <w:numId w:val="20"/>
              </w:numPr>
              <w:spacing w:before="120" w:after="120"/>
              <w:ind w:left="721"/>
              <w:rPr>
                <w:color w:val="000000"/>
              </w:rPr>
            </w:pPr>
            <w:r w:rsidRPr="00F021E3">
              <w:rPr>
                <w:color w:val="000000"/>
              </w:rPr>
              <w:t xml:space="preserve">Must have an HP or better in Quality </w:t>
            </w:r>
          </w:p>
          <w:p w14:paraId="59D7987F" w14:textId="20137967" w:rsidR="003701C1" w:rsidRPr="00F021E3" w:rsidRDefault="003701C1" w:rsidP="003701C1">
            <w:pPr>
              <w:numPr>
                <w:ilvl w:val="0"/>
                <w:numId w:val="20"/>
              </w:numPr>
              <w:spacing w:before="120" w:after="120"/>
              <w:ind w:left="721"/>
              <w:rPr>
                <w:color w:val="000000"/>
                <w:u w:val="single"/>
              </w:rPr>
            </w:pPr>
            <w:r w:rsidRPr="00F021E3">
              <w:rPr>
                <w:color w:val="000000"/>
              </w:rPr>
              <w:t>Must have an SP or better in other 3 goals</w:t>
            </w:r>
          </w:p>
          <w:p w14:paraId="499BB6D0" w14:textId="6B35AFC0" w:rsidR="00BE4C9D" w:rsidRPr="00556D53" w:rsidRDefault="00BE4C9D" w:rsidP="00556D53">
            <w:pPr>
              <w:spacing w:before="120" w:after="120"/>
              <w:rPr>
                <w:color w:val="000000"/>
              </w:rPr>
            </w:pPr>
          </w:p>
        </w:tc>
      </w:tr>
    </w:tbl>
    <w:p w14:paraId="1D008DC1" w14:textId="77777777" w:rsidR="00BE4C9D" w:rsidRDefault="00BE4C9D" w:rsidP="002C353B">
      <w:pPr>
        <w:rPr>
          <w:b/>
          <w:bCs/>
          <w:color w:val="000000"/>
        </w:rPr>
      </w:pPr>
    </w:p>
    <w:p w14:paraId="56B3A699" w14:textId="77777777" w:rsidR="00BE4C9D" w:rsidRDefault="00BE4C9D" w:rsidP="002C353B">
      <w:pPr>
        <w:rPr>
          <w:b/>
          <w:bCs/>
          <w:color w:val="000000"/>
        </w:rPr>
      </w:pPr>
    </w:p>
    <w:p w14:paraId="2EFD9A56" w14:textId="2F100C0F" w:rsidR="00930F63" w:rsidRDefault="00523151" w:rsidP="00B20E81">
      <w:pPr>
        <w:spacing w:before="60" w:after="60"/>
        <w:jc w:val="right"/>
      </w:pPr>
      <w:hyperlink w:anchor="_top" w:history="1">
        <w:r w:rsidRPr="00470473">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523151" w14:paraId="33E15245" w14:textId="77777777" w:rsidTr="00CA74FC">
        <w:tc>
          <w:tcPr>
            <w:tcW w:w="5000" w:type="pct"/>
            <w:shd w:val="clear" w:color="auto" w:fill="BFBFBF" w:themeFill="background1" w:themeFillShade="BF"/>
          </w:tcPr>
          <w:p w14:paraId="5C61ED81" w14:textId="57FA2A8E" w:rsidR="00523151" w:rsidRDefault="00E90670" w:rsidP="00CA74FC">
            <w:pPr>
              <w:pStyle w:val="Heading2"/>
              <w:spacing w:before="120" w:after="120"/>
            </w:pPr>
            <w:bookmarkStart w:id="11" w:name="_Toc199757741"/>
            <w:r>
              <w:t>Career Mapping</w:t>
            </w:r>
            <w:bookmarkEnd w:id="11"/>
          </w:p>
        </w:tc>
      </w:tr>
    </w:tbl>
    <w:p w14:paraId="66868A14" w14:textId="77777777" w:rsidR="00301142" w:rsidRDefault="00301142" w:rsidP="009521BD">
      <w:pPr>
        <w:spacing w:before="120" w:after="120"/>
      </w:pPr>
    </w:p>
    <w:p w14:paraId="4750D7F4" w14:textId="610DB931" w:rsidR="00930F63" w:rsidRDefault="007F49A6" w:rsidP="009521BD">
      <w:pPr>
        <w:spacing w:before="120" w:after="120"/>
      </w:pPr>
      <w:r>
        <w:t xml:space="preserve">Own your own career! Use the </w:t>
      </w:r>
      <w:hyperlink r:id="rId10" w:anchor="!/view?docid=bb53e90d-b0b3-4767-b470-96a6ea3668f6" w:history="1">
        <w:r w:rsidR="00451D55">
          <w:rPr>
            <w:rStyle w:val="Hyperlink"/>
          </w:rPr>
          <w:t xml:space="preserve">Care Career Mapping </w:t>
        </w:r>
        <w:proofErr w:type="spellStart"/>
        <w:r w:rsidR="00451D55">
          <w:rPr>
            <w:rStyle w:val="Hyperlink"/>
          </w:rPr>
          <w:t>InfoGuide</w:t>
        </w:r>
        <w:proofErr w:type="spellEnd"/>
        <w:r w:rsidR="00451D55">
          <w:rPr>
            <w:rStyle w:val="Hyperlink"/>
          </w:rPr>
          <w:t xml:space="preserve"> (049877)</w:t>
        </w:r>
      </w:hyperlink>
      <w:r>
        <w:t xml:space="preserve"> to explore, visualize, and discuss a variety of career paths in Care. </w:t>
      </w:r>
    </w:p>
    <w:p w14:paraId="5639D1FE" w14:textId="36B6A46C" w:rsidR="009D4405" w:rsidRDefault="009D4405" w:rsidP="009521BD">
      <w:pPr>
        <w:spacing w:before="120" w:after="120"/>
      </w:pPr>
      <w:bookmarkStart w:id="12" w:name="_Scenario_#1"/>
      <w:bookmarkStart w:id="13" w:name="_Features"/>
      <w:bookmarkStart w:id="14" w:name="_New_Client_Business"/>
      <w:bookmarkEnd w:id="12"/>
      <w:bookmarkEnd w:id="13"/>
      <w:bookmarkEnd w:id="14"/>
    </w:p>
    <w:p w14:paraId="7C270468" w14:textId="505E3B30" w:rsidR="009D4405" w:rsidRDefault="00A369A1" w:rsidP="00D6058B">
      <w:pPr>
        <w:spacing w:before="120" w:after="120"/>
        <w:jc w:val="center"/>
      </w:pPr>
      <w:bookmarkStart w:id="15" w:name="OLE_LINK13"/>
      <w:bookmarkStart w:id="16" w:name="OLE_LINK2"/>
      <w:r>
        <w:rPr>
          <w:noProof/>
        </w:rPr>
        <w:drawing>
          <wp:inline distT="0" distB="0" distL="0" distR="0" wp14:anchorId="7736716C" wp14:editId="17397482">
            <wp:extent cx="5486400" cy="4081455"/>
            <wp:effectExtent l="19050" t="19050" r="190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68" t="1065" r="941" b="1093"/>
                    <a:stretch/>
                  </pic:blipFill>
                  <pic:spPr bwMode="auto">
                    <a:xfrm>
                      <a:off x="0" y="0"/>
                      <a:ext cx="5486400" cy="4081455"/>
                    </a:xfrm>
                    <a:prstGeom prst="rect">
                      <a:avLst/>
                    </a:prstGeom>
                    <a:ln w="3175">
                      <a:solidFill>
                        <a:schemeClr val="tx1"/>
                      </a:solidFill>
                    </a:ln>
                    <a:effectLst/>
                    <a:extLst>
                      <a:ext uri="{53640926-AAD7-44D8-BBD7-CCE9431645EC}">
                        <a14:shadowObscured xmlns:a14="http://schemas.microsoft.com/office/drawing/2010/main"/>
                      </a:ext>
                    </a:extLst>
                  </pic:spPr>
                </pic:pic>
              </a:graphicData>
            </a:graphic>
          </wp:inline>
        </w:drawing>
      </w:r>
      <w:bookmarkEnd w:id="15"/>
      <w:bookmarkEnd w:id="16"/>
    </w:p>
    <w:p w14:paraId="51910776" w14:textId="77777777" w:rsidR="00651BBF" w:rsidRDefault="00651BBF" w:rsidP="009521BD">
      <w:pPr>
        <w:spacing w:before="120" w:after="120"/>
        <w:jc w:val="right"/>
      </w:pPr>
    </w:p>
    <w:p w14:paraId="0FF31869" w14:textId="531D0715" w:rsidR="008F260C" w:rsidRDefault="00A012AB" w:rsidP="00B20E81">
      <w:pPr>
        <w:spacing w:before="60" w:after="60"/>
        <w:jc w:val="right"/>
        <w:rPr>
          <w:color w:val="000000"/>
        </w:rPr>
      </w:pPr>
      <w:hyperlink w:anchor="_top" w:history="1">
        <w:r w:rsidRPr="0070152F">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337158" w14:paraId="39097644" w14:textId="77777777" w:rsidTr="00CA74FC">
        <w:tc>
          <w:tcPr>
            <w:tcW w:w="5000" w:type="pct"/>
            <w:shd w:val="clear" w:color="auto" w:fill="BFBFBF" w:themeFill="background1" w:themeFillShade="BF"/>
          </w:tcPr>
          <w:p w14:paraId="5655EA46" w14:textId="57603AD2" w:rsidR="00337158" w:rsidRDefault="00337158" w:rsidP="00CA74FC">
            <w:pPr>
              <w:pStyle w:val="Heading2"/>
              <w:spacing w:before="120" w:after="120"/>
            </w:pPr>
            <w:bookmarkStart w:id="17" w:name="_Care_Goals"/>
            <w:bookmarkStart w:id="18" w:name="_Toc199757742"/>
            <w:bookmarkEnd w:id="17"/>
            <w:r>
              <w:t>Care Goals</w:t>
            </w:r>
            <w:bookmarkEnd w:id="18"/>
          </w:p>
        </w:tc>
      </w:tr>
    </w:tbl>
    <w:p w14:paraId="1EB9C155" w14:textId="1DFDF8AC" w:rsidR="00461330" w:rsidRPr="00B77E4C" w:rsidRDefault="00ED5A2A" w:rsidP="009521BD">
      <w:pPr>
        <w:spacing w:before="120" w:after="120"/>
        <w:rPr>
          <w:color w:val="000000"/>
        </w:rPr>
      </w:pPr>
      <w:r>
        <w:rPr>
          <w:noProof/>
        </w:rPr>
        <w:drawing>
          <wp:inline distT="0" distB="0" distL="0" distR="0" wp14:anchorId="088DAB0D" wp14:editId="3DE7BF0E">
            <wp:extent cx="304762" cy="304762"/>
            <wp:effectExtent l="0" t="0" r="635" b="635"/>
            <wp:docPr id="2011582128" name="Picture 201158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8716" name="Picture 2584587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52254" w:rsidRPr="00B77E4C">
        <w:rPr>
          <w:color w:val="000000"/>
        </w:rPr>
        <w:t xml:space="preserve">Refer to </w:t>
      </w:r>
      <w:hyperlink r:id="rId13" w:anchor="!/view?docid=9391163d-805a-4b1c-b7e3-532bd914aab3" w:history="1">
        <w:r w:rsidR="004C184A" w:rsidRPr="00B77E4C">
          <w:rPr>
            <w:rStyle w:val="Hyperlink"/>
          </w:rPr>
          <w:t>Customer Care Representative Goals (115916)</w:t>
        </w:r>
      </w:hyperlink>
      <w:r w:rsidR="001B19E6" w:rsidRPr="00B77E4C">
        <w:rPr>
          <w:color w:val="000000"/>
        </w:rPr>
        <w:t xml:space="preserve"> </w:t>
      </w:r>
      <w:r w:rsidR="00E24491" w:rsidRPr="00B77E4C">
        <w:rPr>
          <w:color w:val="000000"/>
        </w:rPr>
        <w:t xml:space="preserve">and </w:t>
      </w:r>
      <w:hyperlink r:id="rId14" w:anchor="!/view?docid=95d04ce3-448f-402f-b9de-4cf859e5d0cf" w:history="1">
        <w:proofErr w:type="spellStart"/>
        <w:r w:rsidR="00B77E4C">
          <w:rPr>
            <w:rStyle w:val="Hyperlink"/>
          </w:rPr>
          <w:t>eCare</w:t>
        </w:r>
        <w:proofErr w:type="spellEnd"/>
        <w:r w:rsidR="00B77E4C">
          <w:rPr>
            <w:rStyle w:val="Hyperlink"/>
          </w:rPr>
          <w:t xml:space="preserve"> Customer Care Goals (074313)</w:t>
        </w:r>
      </w:hyperlink>
      <w:r w:rsidR="00B77E4C">
        <w:rPr>
          <w:color w:val="000000"/>
        </w:rPr>
        <w:t>.</w:t>
      </w:r>
    </w:p>
    <w:p w14:paraId="7766E2F3" w14:textId="77777777" w:rsidR="000A7E91" w:rsidRDefault="000A7E91" w:rsidP="009521BD">
      <w:pPr>
        <w:spacing w:before="120" w:after="120"/>
        <w:rPr>
          <w:color w:val="000000"/>
        </w:rPr>
      </w:pPr>
    </w:p>
    <w:p w14:paraId="1B03FED9" w14:textId="5B94D2C6" w:rsidR="00AC135E" w:rsidRPr="00EF158A" w:rsidRDefault="00AC135E" w:rsidP="00B20E81">
      <w:pPr>
        <w:spacing w:before="60" w:after="60"/>
        <w:jc w:val="right"/>
      </w:pPr>
      <w:hyperlink w:anchor="_top" w:history="1">
        <w:r w:rsidRPr="0070152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306CD" w:rsidRPr="00EF158A" w14:paraId="6013D2AD" w14:textId="77777777" w:rsidTr="00CA74FC">
        <w:tc>
          <w:tcPr>
            <w:tcW w:w="5000" w:type="pct"/>
            <w:shd w:val="clear" w:color="auto" w:fill="BFBFBF" w:themeFill="background1" w:themeFillShade="BF"/>
          </w:tcPr>
          <w:p w14:paraId="63B2DEA2" w14:textId="32E8B177" w:rsidR="003306CD" w:rsidRPr="005453D1" w:rsidRDefault="008E74F2" w:rsidP="00CA74FC">
            <w:pPr>
              <w:pStyle w:val="Heading2"/>
              <w:spacing w:before="120" w:after="120"/>
            </w:pPr>
            <w:bookmarkStart w:id="19" w:name="_Hlk141904961"/>
            <w:bookmarkStart w:id="20" w:name="_Toc199757743"/>
            <w:r>
              <w:rPr>
                <w:iCs w:val="0"/>
              </w:rPr>
              <w:t>Navigating</w:t>
            </w:r>
            <w:r w:rsidR="003306CD" w:rsidRPr="005453D1">
              <w:rPr>
                <w:iCs w:val="0"/>
              </w:rPr>
              <w:t xml:space="preserve"> </w:t>
            </w:r>
            <w:proofErr w:type="spellStart"/>
            <w:r w:rsidR="003306CD" w:rsidRPr="005453D1">
              <w:rPr>
                <w:iCs w:val="0"/>
              </w:rPr>
              <w:t>A2E</w:t>
            </w:r>
            <w:proofErr w:type="spellEnd"/>
            <w:r w:rsidR="00452FD1" w:rsidRPr="005453D1">
              <w:rPr>
                <w:iCs w:val="0"/>
              </w:rPr>
              <w:t xml:space="preserve"> in </w:t>
            </w:r>
            <w:proofErr w:type="spellStart"/>
            <w:r w:rsidR="00452FD1" w:rsidRPr="005453D1">
              <w:rPr>
                <w:iCs w:val="0"/>
              </w:rPr>
              <w:t>LearningHub</w:t>
            </w:r>
            <w:bookmarkEnd w:id="20"/>
            <w:proofErr w:type="spellEnd"/>
            <w:r w:rsidR="003306CD" w:rsidRPr="005453D1">
              <w:t xml:space="preserve"> </w:t>
            </w:r>
          </w:p>
        </w:tc>
      </w:tr>
      <w:bookmarkEnd w:id="19"/>
    </w:tbl>
    <w:p w14:paraId="68FA25EA" w14:textId="77777777" w:rsidR="003306CD" w:rsidRDefault="003306CD" w:rsidP="009521BD">
      <w:pPr>
        <w:spacing w:before="120" w:after="120"/>
        <w:rPr>
          <w:color w:val="000000"/>
        </w:rPr>
      </w:pPr>
    </w:p>
    <w:p w14:paraId="221F2C6E" w14:textId="6EADE342" w:rsidR="00F42CBE" w:rsidRDefault="00F42CBE" w:rsidP="009521BD">
      <w:pPr>
        <w:spacing w:before="120" w:after="120"/>
        <w:rPr>
          <w:color w:val="000000"/>
        </w:rPr>
      </w:pPr>
      <w:r>
        <w:rPr>
          <w:color w:val="000000"/>
        </w:rPr>
        <w:t>Complete the steps below</w:t>
      </w:r>
      <w:r w:rsidR="00821B80">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5A2C85" w:rsidRPr="00974F51" w14:paraId="3A58CB76" w14:textId="77777777" w:rsidTr="009354E9">
        <w:tc>
          <w:tcPr>
            <w:tcW w:w="261" w:type="pct"/>
            <w:shd w:val="clear" w:color="auto" w:fill="D9D9D9" w:themeFill="background1" w:themeFillShade="D9"/>
          </w:tcPr>
          <w:p w14:paraId="4AB65A6D" w14:textId="77777777" w:rsidR="002D09AC" w:rsidRPr="00974F51" w:rsidRDefault="002D09AC" w:rsidP="008454D9">
            <w:pPr>
              <w:spacing w:before="120" w:after="120"/>
              <w:jc w:val="center"/>
              <w:rPr>
                <w:b/>
                <w:color w:val="000000"/>
              </w:rPr>
            </w:pPr>
            <w:r w:rsidRPr="00974F51">
              <w:rPr>
                <w:b/>
                <w:color w:val="000000"/>
              </w:rPr>
              <w:t>Step</w:t>
            </w:r>
          </w:p>
        </w:tc>
        <w:tc>
          <w:tcPr>
            <w:tcW w:w="4739" w:type="pct"/>
            <w:shd w:val="clear" w:color="auto" w:fill="D9D9D9" w:themeFill="background1" w:themeFillShade="D9"/>
          </w:tcPr>
          <w:p w14:paraId="50B7E854" w14:textId="77777777" w:rsidR="002D09AC" w:rsidRPr="00974F51" w:rsidRDefault="002D09AC" w:rsidP="008454D9">
            <w:pPr>
              <w:spacing w:before="120" w:after="120"/>
              <w:jc w:val="center"/>
              <w:rPr>
                <w:b/>
                <w:color w:val="000000"/>
              </w:rPr>
            </w:pPr>
            <w:r w:rsidRPr="00974F51">
              <w:rPr>
                <w:b/>
                <w:color w:val="000000"/>
              </w:rPr>
              <w:t>Action</w:t>
            </w:r>
          </w:p>
        </w:tc>
      </w:tr>
      <w:tr w:rsidR="002D09AC" w:rsidRPr="00974F51" w14:paraId="1C4EE5F2" w14:textId="77777777" w:rsidTr="009354E9">
        <w:tc>
          <w:tcPr>
            <w:tcW w:w="261" w:type="pct"/>
            <w:shd w:val="clear" w:color="auto" w:fill="auto"/>
          </w:tcPr>
          <w:p w14:paraId="7B824BC0" w14:textId="77777777" w:rsidR="002D09AC" w:rsidRPr="00974F51" w:rsidRDefault="002D09AC" w:rsidP="00820A1A">
            <w:pPr>
              <w:spacing w:before="120" w:after="120"/>
              <w:jc w:val="center"/>
              <w:rPr>
                <w:b/>
                <w:color w:val="000000"/>
              </w:rPr>
            </w:pPr>
            <w:r w:rsidRPr="00974F51">
              <w:rPr>
                <w:b/>
                <w:color w:val="000000"/>
              </w:rPr>
              <w:t>1</w:t>
            </w:r>
          </w:p>
        </w:tc>
        <w:tc>
          <w:tcPr>
            <w:tcW w:w="4739" w:type="pct"/>
            <w:shd w:val="clear" w:color="auto" w:fill="auto"/>
          </w:tcPr>
          <w:p w14:paraId="49F4D115" w14:textId="2881036D" w:rsidR="002D09AC" w:rsidRPr="00F42623" w:rsidRDefault="002D09AC" w:rsidP="009270D7">
            <w:pPr>
              <w:pStyle w:val="ListParagraph"/>
              <w:numPr>
                <w:ilvl w:val="0"/>
                <w:numId w:val="6"/>
              </w:numPr>
              <w:spacing w:before="120" w:after="120"/>
              <w:rPr>
                <w:color w:val="000000"/>
              </w:rPr>
            </w:pPr>
            <w:r w:rsidRPr="00F42623">
              <w:rPr>
                <w:color w:val="000000"/>
              </w:rPr>
              <w:t xml:space="preserve">Log in to </w:t>
            </w:r>
            <w:proofErr w:type="spellStart"/>
            <w:r w:rsidR="008F1AAD" w:rsidRPr="00F42623">
              <w:rPr>
                <w:color w:val="000000"/>
              </w:rPr>
              <w:t>LearningHub</w:t>
            </w:r>
            <w:proofErr w:type="spellEnd"/>
            <w:r w:rsidR="0041345C" w:rsidRPr="00F42623">
              <w:rPr>
                <w:color w:val="000000"/>
              </w:rPr>
              <w:t>,</w:t>
            </w:r>
            <w:r w:rsidR="008F1AAD" w:rsidRPr="00F42623">
              <w:rPr>
                <w:color w:val="000000"/>
              </w:rPr>
              <w:t xml:space="preserve"> </w:t>
            </w:r>
            <w:r w:rsidRPr="00F42623">
              <w:rPr>
                <w:color w:val="000000"/>
              </w:rPr>
              <w:t>and under “</w:t>
            </w:r>
            <w:r w:rsidR="00E25387" w:rsidRPr="00F42623">
              <w:rPr>
                <w:color w:val="000000"/>
              </w:rPr>
              <w:t>Groups and Resources</w:t>
            </w:r>
            <w:r w:rsidR="000F1EBD" w:rsidRPr="00F42623">
              <w:rPr>
                <w:color w:val="000000"/>
              </w:rPr>
              <w:t>,”</w:t>
            </w:r>
            <w:r w:rsidRPr="00F42623">
              <w:rPr>
                <w:color w:val="000000"/>
              </w:rPr>
              <w:t xml:space="preserve"> click </w:t>
            </w:r>
            <w:r w:rsidR="006E47AC" w:rsidRPr="006E47AC">
              <w:rPr>
                <w:b/>
                <w:bCs/>
                <w:color w:val="000000"/>
              </w:rPr>
              <w:t>More</w:t>
            </w:r>
            <w:r w:rsidR="006E47AC" w:rsidRPr="006E47AC">
              <w:rPr>
                <w:color w:val="000000"/>
              </w:rPr>
              <w:t xml:space="preserve"> and then select the </w:t>
            </w:r>
            <w:r w:rsidR="006E47AC" w:rsidRPr="006E47AC">
              <w:rPr>
                <w:b/>
                <w:bCs/>
                <w:color w:val="000000"/>
              </w:rPr>
              <w:t>Ascension to Excellence (</w:t>
            </w:r>
            <w:proofErr w:type="spellStart"/>
            <w:r w:rsidR="006E47AC" w:rsidRPr="006E47AC">
              <w:rPr>
                <w:b/>
                <w:bCs/>
                <w:color w:val="000000"/>
              </w:rPr>
              <w:t>A2E</w:t>
            </w:r>
            <w:proofErr w:type="spellEnd"/>
            <w:r w:rsidR="006E47AC" w:rsidRPr="006E47AC">
              <w:rPr>
                <w:b/>
                <w:bCs/>
                <w:color w:val="000000"/>
              </w:rPr>
              <w:t>)</w:t>
            </w:r>
            <w:r w:rsidR="006E47AC">
              <w:rPr>
                <w:b/>
                <w:bCs/>
                <w:color w:val="000000"/>
              </w:rPr>
              <w:t xml:space="preserve"> </w:t>
            </w:r>
            <w:r w:rsidR="006E47AC">
              <w:rPr>
                <w:color w:val="000000"/>
              </w:rPr>
              <w:t>hyperlink</w:t>
            </w:r>
            <w:r w:rsidRPr="00F42623">
              <w:rPr>
                <w:color w:val="000000"/>
              </w:rPr>
              <w:t xml:space="preserve">. </w:t>
            </w:r>
          </w:p>
          <w:p w14:paraId="5882517F" w14:textId="77777777" w:rsidR="00B4260D" w:rsidRPr="00974F51" w:rsidRDefault="00B4260D" w:rsidP="008454D9">
            <w:pPr>
              <w:spacing w:before="120" w:after="120"/>
              <w:rPr>
                <w:color w:val="000000"/>
              </w:rPr>
            </w:pPr>
          </w:p>
          <w:p w14:paraId="0F981A65" w14:textId="55A80359" w:rsidR="0071763B" w:rsidRPr="00205FDA" w:rsidRDefault="006E47AC" w:rsidP="00820A1A">
            <w:pPr>
              <w:spacing w:before="120" w:after="120"/>
              <w:jc w:val="center"/>
              <w:rPr>
                <w:b/>
                <w:bCs/>
              </w:rPr>
            </w:pPr>
            <w:r>
              <w:rPr>
                <w:noProof/>
              </w:rPr>
              <w:drawing>
                <wp:inline distT="0" distB="0" distL="0" distR="0" wp14:anchorId="0B76D5CF" wp14:editId="0C4D1A11">
                  <wp:extent cx="7315200" cy="23336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3351"/>
                          <a:stretch/>
                        </pic:blipFill>
                        <pic:spPr bwMode="auto">
                          <a:xfrm>
                            <a:off x="0" y="0"/>
                            <a:ext cx="7315200" cy="23336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396085" w14:textId="77777777" w:rsidR="0071763B" w:rsidRDefault="0071763B" w:rsidP="008454D9">
            <w:pPr>
              <w:spacing w:before="120" w:after="120"/>
            </w:pPr>
          </w:p>
          <w:p w14:paraId="0938A144" w14:textId="07628DA3" w:rsidR="0071763B" w:rsidRDefault="00423899" w:rsidP="009270D7">
            <w:pPr>
              <w:pStyle w:val="ListParagraph"/>
              <w:numPr>
                <w:ilvl w:val="0"/>
                <w:numId w:val="6"/>
              </w:numPr>
              <w:spacing w:before="120" w:after="120"/>
              <w:rPr>
                <w:noProof/>
              </w:rPr>
            </w:pPr>
            <w:r w:rsidRPr="004233EF">
              <w:rPr>
                <w:noProof/>
              </w:rPr>
              <w:t xml:space="preserve">Click the </w:t>
            </w:r>
            <w:r w:rsidR="005A2C85">
              <w:rPr>
                <w:noProof/>
              </w:rPr>
              <w:t>b</w:t>
            </w:r>
            <w:r w:rsidRPr="004233EF">
              <w:rPr>
                <w:noProof/>
              </w:rPr>
              <w:t xml:space="preserve">lue </w:t>
            </w:r>
            <w:r w:rsidR="00AC135E" w:rsidRPr="005A2C85">
              <w:rPr>
                <w:b/>
                <w:bCs/>
                <w:noProof/>
              </w:rPr>
              <w:t>Click Here to learn more about the A2E program</w:t>
            </w:r>
            <w:r w:rsidR="005A2C85" w:rsidRPr="004233EF">
              <w:rPr>
                <w:noProof/>
              </w:rPr>
              <w:t xml:space="preserve"> link</w:t>
            </w:r>
            <w:r w:rsidR="00AC135E">
              <w:rPr>
                <w:noProof/>
              </w:rPr>
              <w:t>.</w:t>
            </w:r>
          </w:p>
          <w:p w14:paraId="5C8F641A" w14:textId="6AE048AE" w:rsidR="00423899" w:rsidRDefault="00423899" w:rsidP="008454D9">
            <w:pPr>
              <w:spacing w:before="120" w:after="120"/>
              <w:rPr>
                <w:noProof/>
              </w:rPr>
            </w:pPr>
          </w:p>
          <w:p w14:paraId="04000E58" w14:textId="758D7BCA" w:rsidR="00423899" w:rsidRDefault="006E47AC" w:rsidP="00820A1A">
            <w:pPr>
              <w:spacing w:before="120" w:after="120"/>
              <w:jc w:val="center"/>
              <w:rPr>
                <w:noProof/>
              </w:rPr>
            </w:pPr>
            <w:r>
              <w:rPr>
                <w:noProof/>
              </w:rPr>
              <w:drawing>
                <wp:inline distT="0" distB="0" distL="0" distR="0" wp14:anchorId="5E6A805E" wp14:editId="4B8D1C11">
                  <wp:extent cx="7315200" cy="2836265"/>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15200" cy="2836265"/>
                          </a:xfrm>
                          <a:prstGeom prst="rect">
                            <a:avLst/>
                          </a:prstGeom>
                          <a:ln>
                            <a:solidFill>
                              <a:schemeClr val="tx1"/>
                            </a:solidFill>
                          </a:ln>
                        </pic:spPr>
                      </pic:pic>
                    </a:graphicData>
                  </a:graphic>
                </wp:inline>
              </w:drawing>
            </w:r>
          </w:p>
          <w:p w14:paraId="70BCF6A4" w14:textId="77777777" w:rsidR="0071763B" w:rsidRPr="00974F51" w:rsidRDefault="0071763B" w:rsidP="00205FDA">
            <w:pPr>
              <w:spacing w:before="120" w:after="120"/>
              <w:jc w:val="center"/>
              <w:rPr>
                <w:color w:val="000000"/>
              </w:rPr>
            </w:pPr>
          </w:p>
        </w:tc>
      </w:tr>
      <w:tr w:rsidR="002D09AC" w:rsidRPr="00974F51" w14:paraId="494306BB" w14:textId="77777777" w:rsidTr="009354E9">
        <w:tc>
          <w:tcPr>
            <w:tcW w:w="261" w:type="pct"/>
            <w:shd w:val="clear" w:color="auto" w:fill="auto"/>
          </w:tcPr>
          <w:p w14:paraId="19D82BD7" w14:textId="77777777" w:rsidR="002D09AC" w:rsidRPr="00974F51" w:rsidRDefault="002D09AC" w:rsidP="00820A1A">
            <w:pPr>
              <w:spacing w:before="120" w:after="120"/>
              <w:jc w:val="center"/>
              <w:rPr>
                <w:b/>
                <w:color w:val="000000"/>
              </w:rPr>
            </w:pPr>
            <w:r w:rsidRPr="00974F51">
              <w:rPr>
                <w:b/>
                <w:color w:val="000000"/>
              </w:rPr>
              <w:t>2</w:t>
            </w:r>
          </w:p>
        </w:tc>
        <w:tc>
          <w:tcPr>
            <w:tcW w:w="4739" w:type="pct"/>
            <w:shd w:val="clear" w:color="auto" w:fill="auto"/>
          </w:tcPr>
          <w:p w14:paraId="1DA11E5D" w14:textId="7CD65FF8" w:rsidR="002D09AC" w:rsidRPr="00974F51" w:rsidRDefault="002D09AC" w:rsidP="00820A1A">
            <w:pPr>
              <w:spacing w:before="120" w:after="120"/>
              <w:rPr>
                <w:color w:val="000000"/>
              </w:rPr>
            </w:pPr>
            <w:r w:rsidRPr="00974F51">
              <w:rPr>
                <w:color w:val="000000"/>
              </w:rPr>
              <w:t>Click one of the following</w:t>
            </w:r>
            <w:r w:rsidR="00821B80">
              <w:rPr>
                <w:color w:val="000000"/>
              </w:rPr>
              <w:t xml:space="preserve">:  </w:t>
            </w:r>
          </w:p>
          <w:p w14:paraId="49168EE1" w14:textId="77777777" w:rsidR="002D09AC" w:rsidRPr="00974F51" w:rsidRDefault="002D09AC" w:rsidP="009270D7">
            <w:pPr>
              <w:numPr>
                <w:ilvl w:val="0"/>
                <w:numId w:val="1"/>
              </w:numPr>
              <w:spacing w:before="120" w:after="120"/>
              <w:rPr>
                <w:b/>
                <w:color w:val="000000"/>
              </w:rPr>
            </w:pPr>
            <w:r w:rsidRPr="00974F51">
              <w:rPr>
                <w:b/>
                <w:color w:val="000000"/>
              </w:rPr>
              <w:t>CCR I to CCR II</w:t>
            </w:r>
          </w:p>
          <w:p w14:paraId="01743751" w14:textId="6B178637" w:rsidR="002D09AC" w:rsidRDefault="002D09AC" w:rsidP="009270D7">
            <w:pPr>
              <w:numPr>
                <w:ilvl w:val="0"/>
                <w:numId w:val="1"/>
              </w:numPr>
              <w:spacing w:before="120" w:after="120"/>
              <w:rPr>
                <w:b/>
                <w:color w:val="000000"/>
              </w:rPr>
            </w:pPr>
            <w:r w:rsidRPr="00974F51">
              <w:rPr>
                <w:b/>
                <w:color w:val="000000"/>
              </w:rPr>
              <w:t>CCR II to CCR III</w:t>
            </w:r>
            <w:r w:rsidR="00CC1043">
              <w:rPr>
                <w:b/>
                <w:color w:val="000000"/>
              </w:rPr>
              <w:t xml:space="preserve"> </w:t>
            </w:r>
          </w:p>
          <w:p w14:paraId="20547ADB" w14:textId="220751EA" w:rsidR="00CC1043" w:rsidRDefault="009354E9" w:rsidP="00556D53">
            <w:pPr>
              <w:numPr>
                <w:ilvl w:val="1"/>
                <w:numId w:val="1"/>
              </w:numPr>
              <w:spacing w:before="120" w:after="120"/>
              <w:rPr>
                <w:b/>
                <w:color w:val="000000"/>
              </w:rPr>
            </w:pPr>
            <w:r>
              <w:rPr>
                <w:noProof/>
              </w:rPr>
              <w:drawing>
                <wp:inline distT="0" distB="0" distL="0" distR="0" wp14:anchorId="0DDE5155" wp14:editId="24E2DCC2">
                  <wp:extent cx="304762" cy="304762"/>
                  <wp:effectExtent l="0" t="0" r="635" b="635"/>
                  <wp:docPr id="1502276945" name="Picture 150227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8716" name="Picture 2584587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C1043">
              <w:rPr>
                <w:b/>
                <w:color w:val="000000"/>
              </w:rPr>
              <w:t xml:space="preserve">For </w:t>
            </w:r>
            <w:proofErr w:type="spellStart"/>
            <w:r w:rsidR="00CC1043">
              <w:rPr>
                <w:b/>
                <w:color w:val="000000"/>
              </w:rPr>
              <w:t>eCare</w:t>
            </w:r>
            <w:proofErr w:type="spellEnd"/>
            <w:r w:rsidR="00CC1043">
              <w:rPr>
                <w:b/>
                <w:color w:val="000000"/>
              </w:rPr>
              <w:t>, select CCR II to CCR III</w:t>
            </w:r>
          </w:p>
          <w:p w14:paraId="1FD8B529" w14:textId="468F9644" w:rsidR="002D09AC" w:rsidRPr="00974F51" w:rsidRDefault="000C40CC" w:rsidP="00820A1A">
            <w:pPr>
              <w:spacing w:before="120" w:after="120"/>
              <w:jc w:val="center"/>
              <w:rPr>
                <w:color w:val="000000"/>
              </w:rPr>
            </w:pPr>
            <w:r>
              <w:rPr>
                <w:noProof/>
              </w:rPr>
              <w:drawing>
                <wp:inline distT="0" distB="0" distL="0" distR="0" wp14:anchorId="37B1D356" wp14:editId="7F0E6EA0">
                  <wp:extent cx="7315200" cy="2898842"/>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5200" cy="2898842"/>
                          </a:xfrm>
                          <a:prstGeom prst="rect">
                            <a:avLst/>
                          </a:prstGeom>
                          <a:ln>
                            <a:solidFill>
                              <a:schemeClr val="tx1"/>
                            </a:solidFill>
                          </a:ln>
                        </pic:spPr>
                      </pic:pic>
                    </a:graphicData>
                  </a:graphic>
                </wp:inline>
              </w:drawing>
            </w:r>
          </w:p>
          <w:p w14:paraId="6B1BAB81" w14:textId="77777777" w:rsidR="002D09AC" w:rsidRDefault="002D09AC" w:rsidP="00820A1A">
            <w:pPr>
              <w:spacing w:before="120" w:after="120"/>
              <w:rPr>
                <w:color w:val="000000"/>
              </w:rPr>
            </w:pPr>
          </w:p>
          <w:p w14:paraId="57AAA9DA" w14:textId="32FAF133" w:rsidR="000C40CC" w:rsidRPr="00974F51" w:rsidRDefault="000C40CC" w:rsidP="00820A1A">
            <w:pPr>
              <w:spacing w:before="120" w:after="120"/>
              <w:rPr>
                <w:color w:val="000000"/>
              </w:rPr>
            </w:pPr>
            <w:r w:rsidRPr="00974F51">
              <w:rPr>
                <w:b/>
              </w:rPr>
              <w:t>Note</w:t>
            </w:r>
            <w:r>
              <w:rPr>
                <w:b/>
              </w:rPr>
              <w:t xml:space="preserve">:  </w:t>
            </w:r>
            <w:r w:rsidRPr="00974F51">
              <w:t>Take some time and check it out</w:t>
            </w:r>
            <w:r>
              <w:t>. Y</w:t>
            </w:r>
            <w:r w:rsidRPr="00974F51">
              <w:t>ou won’t be disappointed</w:t>
            </w:r>
            <w:r w:rsidRPr="005B65A8">
              <w:rPr>
                <w:bCs/>
              </w:rPr>
              <w:t>.</w:t>
            </w:r>
          </w:p>
        </w:tc>
      </w:tr>
    </w:tbl>
    <w:p w14:paraId="4D357F32" w14:textId="77777777" w:rsidR="000C7D80" w:rsidRDefault="000C7D80" w:rsidP="009521BD">
      <w:pPr>
        <w:spacing w:before="120" w:after="120"/>
        <w:rPr>
          <w:color w:val="000000"/>
        </w:rPr>
      </w:pPr>
    </w:p>
    <w:p w14:paraId="072C4D95" w14:textId="3EC833DF" w:rsidR="00651BBF" w:rsidRDefault="00651BBF" w:rsidP="00B20E81">
      <w:pPr>
        <w:spacing w:before="60" w:after="60"/>
        <w:jc w:val="right"/>
      </w:pPr>
      <w:hyperlink w:anchor="_top" w:history="1">
        <w:r w:rsidRPr="0070152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51BBF" w14:paraId="73D6A87C" w14:textId="77777777" w:rsidTr="00CA74FC">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A902A1" w14:textId="7D9C0E6F" w:rsidR="00651BBF" w:rsidRDefault="00651BBF" w:rsidP="00CA74FC">
            <w:pPr>
              <w:pStyle w:val="Heading2"/>
              <w:spacing w:before="120" w:after="120"/>
            </w:pPr>
            <w:bookmarkStart w:id="21" w:name="_Toc199757744"/>
            <w:proofErr w:type="spellStart"/>
            <w:r>
              <w:rPr>
                <w:iCs w:val="0"/>
              </w:rPr>
              <w:t>LearningHub</w:t>
            </w:r>
            <w:proofErr w:type="spellEnd"/>
            <w:r>
              <w:rPr>
                <w:iCs w:val="0"/>
              </w:rPr>
              <w:t xml:space="preserve"> Information</w:t>
            </w:r>
            <w:bookmarkEnd w:id="21"/>
            <w:r>
              <w:t xml:space="preserve"> </w:t>
            </w:r>
          </w:p>
        </w:tc>
      </w:tr>
    </w:tbl>
    <w:p w14:paraId="1797DDED" w14:textId="77777777" w:rsidR="00301142" w:rsidRDefault="00301142" w:rsidP="009521BD">
      <w:pPr>
        <w:spacing w:before="120" w:after="120"/>
        <w:rPr>
          <w:color w:val="000000"/>
        </w:rPr>
      </w:pPr>
    </w:p>
    <w:p w14:paraId="448802D0" w14:textId="526C1614" w:rsidR="00630E79" w:rsidRDefault="00630E79" w:rsidP="009521BD">
      <w:pPr>
        <w:spacing w:before="120" w:after="120"/>
        <w:rPr>
          <w:color w:val="000000"/>
        </w:rPr>
      </w:pPr>
      <w:r w:rsidRPr="00630E79">
        <w:rPr>
          <w:color w:val="000000"/>
        </w:rPr>
        <w:t>The </w:t>
      </w:r>
      <w:proofErr w:type="spellStart"/>
      <w:r w:rsidRPr="00630E79">
        <w:rPr>
          <w:color w:val="000000"/>
        </w:rPr>
        <w:t>A2E</w:t>
      </w:r>
      <w:proofErr w:type="spellEnd"/>
      <w:r w:rsidRPr="00630E79">
        <w:rPr>
          <w:color w:val="000000"/>
        </w:rPr>
        <w:t xml:space="preserve"> program information is now </w:t>
      </w:r>
      <w:proofErr w:type="gramStart"/>
      <w:r w:rsidRPr="00630E79">
        <w:rPr>
          <w:color w:val="000000"/>
        </w:rPr>
        <w:t>in</w:t>
      </w:r>
      <w:proofErr w:type="gramEnd"/>
      <w:r w:rsidRPr="00630E79">
        <w:rPr>
          <w:color w:val="000000"/>
        </w:rPr>
        <w:t> </w:t>
      </w:r>
      <w:proofErr w:type="spellStart"/>
      <w:r w:rsidRPr="00630E79">
        <w:rPr>
          <w:color w:val="000000"/>
        </w:rPr>
        <w:t>LearningHub</w:t>
      </w:r>
      <w:proofErr w:type="spellEnd"/>
      <w:r w:rsidRPr="00630E79">
        <w:rPr>
          <w:color w:val="000000"/>
        </w:rPr>
        <w:t>.</w:t>
      </w:r>
      <w:r>
        <w:rPr>
          <w:color w:val="000000"/>
        </w:rPr>
        <w:t xml:space="preserve"> </w:t>
      </w:r>
      <w:r w:rsidRPr="00630E79">
        <w:rPr>
          <w:color w:val="000000"/>
        </w:rPr>
        <w:t>The following</w:t>
      </w:r>
      <w:r>
        <w:rPr>
          <w:color w:val="000000"/>
        </w:rPr>
        <w:t xml:space="preserve"> </w:t>
      </w:r>
      <w:r w:rsidRPr="00630E79">
        <w:rPr>
          <w:color w:val="000000"/>
        </w:rPr>
        <w:t>are</w:t>
      </w:r>
      <w:r>
        <w:rPr>
          <w:color w:val="000000"/>
        </w:rPr>
        <w:t xml:space="preserve"> </w:t>
      </w:r>
      <w:r w:rsidRPr="00630E79">
        <w:rPr>
          <w:color w:val="000000"/>
        </w:rPr>
        <w:t>th</w:t>
      </w:r>
      <w:r w:rsidR="00B2323E">
        <w:rPr>
          <w:color w:val="000000"/>
        </w:rPr>
        <w:t xml:space="preserve">e </w:t>
      </w:r>
      <w:r w:rsidRPr="00630E79">
        <w:rPr>
          <w:color w:val="000000"/>
        </w:rPr>
        <w:t>required </w:t>
      </w:r>
      <w:proofErr w:type="spellStart"/>
      <w:r w:rsidRPr="00630E79">
        <w:rPr>
          <w:color w:val="000000"/>
        </w:rPr>
        <w:t>A2E</w:t>
      </w:r>
      <w:proofErr w:type="spellEnd"/>
      <w:r w:rsidRPr="00630E79">
        <w:rPr>
          <w:color w:val="000000"/>
        </w:rPr>
        <w:t> </w:t>
      </w:r>
      <w:proofErr w:type="spellStart"/>
      <w:r w:rsidRPr="00630E79">
        <w:rPr>
          <w:color w:val="000000"/>
        </w:rPr>
        <w:t>LearningHub</w:t>
      </w:r>
      <w:proofErr w:type="spellEnd"/>
      <w:r w:rsidRPr="00630E79">
        <w:rPr>
          <w:color w:val="000000"/>
        </w:rPr>
        <w:t> courses</w:t>
      </w:r>
      <w:r w:rsidR="00821B80">
        <w:rPr>
          <w:color w:val="000000"/>
        </w:rPr>
        <w:t xml:space="preserve">:  </w:t>
      </w:r>
    </w:p>
    <w:p w14:paraId="194DFCDC" w14:textId="77777777" w:rsidR="002A319E" w:rsidRPr="00630E79" w:rsidRDefault="002A319E" w:rsidP="009521BD">
      <w:pPr>
        <w:spacing w:before="120" w:after="120"/>
        <w:rPr>
          <w:rFonts w:ascii="Times New Roman" w:hAnsi="Times New Roman"/>
          <w:color w:val="000000"/>
          <w:sz w:val="27"/>
          <w:szCs w:val="27"/>
        </w:rPr>
      </w:pPr>
    </w:p>
    <w:p w14:paraId="0076C1EE" w14:textId="1A271EC4" w:rsidR="00EB68D5" w:rsidRPr="00EB68D5" w:rsidRDefault="00630E79" w:rsidP="009521BD">
      <w:pPr>
        <w:pStyle w:val="ListParagraph"/>
        <w:numPr>
          <w:ilvl w:val="0"/>
          <w:numId w:val="7"/>
        </w:numPr>
        <w:spacing w:before="120" w:after="120"/>
        <w:rPr>
          <w:rFonts w:ascii="Times New Roman" w:hAnsi="Times New Roman"/>
          <w:color w:val="000000"/>
          <w:sz w:val="27"/>
          <w:szCs w:val="27"/>
        </w:rPr>
      </w:pPr>
      <w:r w:rsidRPr="002A319E">
        <w:rPr>
          <w:b/>
          <w:bCs/>
          <w:color w:val="000000"/>
        </w:rPr>
        <w:t>CCR I to CCR II</w:t>
      </w:r>
      <w:r w:rsidR="00821B80">
        <w:rPr>
          <w:b/>
          <w:bCs/>
          <w:color w:val="000000"/>
        </w:rPr>
        <w:t xml:space="preserve">:  </w:t>
      </w:r>
    </w:p>
    <w:p w14:paraId="6A6CF4C2" w14:textId="03DE1E0D" w:rsidR="00EB68D5" w:rsidRPr="00EB68D5" w:rsidRDefault="009C161E" w:rsidP="009521BD">
      <w:pPr>
        <w:pStyle w:val="ListParagraph"/>
        <w:numPr>
          <w:ilvl w:val="1"/>
          <w:numId w:val="7"/>
        </w:numPr>
        <w:spacing w:before="120" w:after="120"/>
        <w:rPr>
          <w:rFonts w:ascii="Times New Roman" w:hAnsi="Times New Roman"/>
          <w:color w:val="000000"/>
          <w:sz w:val="27"/>
          <w:szCs w:val="27"/>
        </w:rPr>
      </w:pPr>
      <w:r w:rsidRPr="00EB68D5">
        <w:rPr>
          <w:shd w:val="clear" w:color="auto" w:fill="FFFFFF"/>
        </w:rPr>
        <w:t>0000288081</w:t>
      </w:r>
      <w:r w:rsidRPr="00BC0243">
        <w:t xml:space="preserve"> </w:t>
      </w:r>
      <w:r w:rsidR="00673F1A" w:rsidRPr="00BC0243">
        <w:t>– Customer Service</w:t>
      </w:r>
      <w:r w:rsidR="00821B80">
        <w:t xml:space="preserve">:  </w:t>
      </w:r>
      <w:r w:rsidR="00673F1A" w:rsidRPr="00BC0243">
        <w:t>Strengthening Your Service Skills</w:t>
      </w:r>
    </w:p>
    <w:p w14:paraId="782A59DC" w14:textId="4B52C70C" w:rsidR="00EB68D5" w:rsidRPr="00EB68D5" w:rsidRDefault="00AD5020" w:rsidP="009521BD">
      <w:pPr>
        <w:pStyle w:val="ListParagraph"/>
        <w:numPr>
          <w:ilvl w:val="1"/>
          <w:numId w:val="7"/>
        </w:numPr>
        <w:spacing w:before="120" w:after="120"/>
      </w:pPr>
      <w:r w:rsidRPr="00EB68D5">
        <w:rPr>
          <w:bCs/>
          <w:shd w:val="clear" w:color="auto" w:fill="FFFFFF"/>
        </w:rPr>
        <w:t>0000602728</w:t>
      </w:r>
      <w:r w:rsidRPr="00EB68D5">
        <w:rPr>
          <w:shd w:val="clear" w:color="auto" w:fill="FFFFFF"/>
        </w:rPr>
        <w:t xml:space="preserve"> </w:t>
      </w:r>
      <w:r w:rsidR="00EA4837" w:rsidRPr="00EB68D5">
        <w:rPr>
          <w:shd w:val="clear" w:color="auto" w:fill="FFFFFF"/>
        </w:rPr>
        <w:t xml:space="preserve">- </w:t>
      </w:r>
      <w:r w:rsidR="00BC1129" w:rsidRPr="00EB68D5">
        <w:rPr>
          <w:bCs/>
        </w:rPr>
        <w:t>Overcoming Barriers to Effective Listening (Video)</w:t>
      </w:r>
    </w:p>
    <w:p w14:paraId="0CFA8648" w14:textId="183BCBF8" w:rsidR="002D4A06" w:rsidRDefault="002D4A06" w:rsidP="009521BD">
      <w:pPr>
        <w:pStyle w:val="ListParagraph"/>
        <w:numPr>
          <w:ilvl w:val="1"/>
          <w:numId w:val="7"/>
        </w:numPr>
        <w:spacing w:before="120" w:after="120"/>
        <w:rPr>
          <w:color w:val="000000"/>
        </w:rPr>
      </w:pPr>
      <w:r w:rsidRPr="002D4A06">
        <w:rPr>
          <w:color w:val="000000"/>
        </w:rPr>
        <w:t xml:space="preserve">082902000 - Listening Attentively (Book) </w:t>
      </w:r>
    </w:p>
    <w:p w14:paraId="68671D13" w14:textId="1EAB05B9" w:rsidR="0025091F" w:rsidRDefault="005D23A3" w:rsidP="009521BD">
      <w:pPr>
        <w:pStyle w:val="ListParagraph"/>
        <w:numPr>
          <w:ilvl w:val="1"/>
          <w:numId w:val="7"/>
        </w:numPr>
        <w:spacing w:before="120" w:after="120"/>
        <w:rPr>
          <w:color w:val="000000"/>
        </w:rPr>
      </w:pPr>
      <w:r>
        <w:rPr>
          <w:color w:val="000000"/>
        </w:rPr>
        <w:t>459631690 – Active Listening and Customer Feedback (Video)</w:t>
      </w:r>
    </w:p>
    <w:p w14:paraId="32BEDE68" w14:textId="77777777" w:rsidR="005D23A3" w:rsidRPr="002D4A06" w:rsidRDefault="005D23A3" w:rsidP="004B0703">
      <w:pPr>
        <w:pStyle w:val="ListParagraph"/>
        <w:spacing w:before="120" w:after="120"/>
        <w:ind w:left="1440"/>
        <w:rPr>
          <w:color w:val="000000"/>
        </w:rPr>
      </w:pPr>
    </w:p>
    <w:p w14:paraId="21EBDF64" w14:textId="04D42264" w:rsidR="007B7380" w:rsidRPr="007B7380" w:rsidRDefault="009354E9" w:rsidP="009521BD">
      <w:pPr>
        <w:pStyle w:val="ListParagraph"/>
        <w:numPr>
          <w:ilvl w:val="0"/>
          <w:numId w:val="7"/>
        </w:numPr>
        <w:spacing w:before="120" w:after="120"/>
        <w:rPr>
          <w:rFonts w:ascii="Times New Roman" w:hAnsi="Times New Roman"/>
          <w:color w:val="000000"/>
          <w:sz w:val="27"/>
          <w:szCs w:val="27"/>
        </w:rPr>
      </w:pPr>
      <w:r>
        <w:rPr>
          <w:noProof/>
        </w:rPr>
        <w:drawing>
          <wp:inline distT="0" distB="0" distL="0" distR="0" wp14:anchorId="59381258" wp14:editId="5724A6C3">
            <wp:extent cx="304762" cy="304762"/>
            <wp:effectExtent l="0" t="0" r="635" b="635"/>
            <wp:docPr id="438942088" name="Picture 43894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8716" name="Picture 2584587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30E79" w:rsidRPr="007B7380">
        <w:rPr>
          <w:b/>
          <w:bCs/>
          <w:color w:val="000000"/>
        </w:rPr>
        <w:t>CCR II to CCR III</w:t>
      </w:r>
      <w:r w:rsidR="00CC1043">
        <w:rPr>
          <w:b/>
          <w:bCs/>
          <w:color w:val="000000"/>
        </w:rPr>
        <w:t xml:space="preserve"> &amp; </w:t>
      </w:r>
      <w:proofErr w:type="spellStart"/>
      <w:r w:rsidR="00CC1043">
        <w:rPr>
          <w:b/>
          <w:bCs/>
          <w:color w:val="000000"/>
        </w:rPr>
        <w:t>eCare</w:t>
      </w:r>
      <w:proofErr w:type="spellEnd"/>
      <w:r w:rsidR="00CC1043">
        <w:rPr>
          <w:b/>
          <w:bCs/>
          <w:color w:val="000000"/>
        </w:rPr>
        <w:t xml:space="preserve"> Rep I to </w:t>
      </w:r>
      <w:proofErr w:type="spellStart"/>
      <w:r w:rsidR="00CC1043">
        <w:rPr>
          <w:b/>
          <w:bCs/>
          <w:color w:val="000000"/>
        </w:rPr>
        <w:t>eCare</w:t>
      </w:r>
      <w:proofErr w:type="spellEnd"/>
      <w:r w:rsidR="00CC1043">
        <w:rPr>
          <w:b/>
          <w:bCs/>
          <w:color w:val="000000"/>
        </w:rPr>
        <w:t xml:space="preserve"> Rep II</w:t>
      </w:r>
      <w:r w:rsidR="00821B80">
        <w:rPr>
          <w:b/>
          <w:bCs/>
          <w:color w:val="000000"/>
        </w:rPr>
        <w:t xml:space="preserve">:  </w:t>
      </w:r>
    </w:p>
    <w:p w14:paraId="15306519" w14:textId="77777777" w:rsidR="007B7380" w:rsidRPr="007B7380" w:rsidRDefault="00630E79" w:rsidP="009521BD">
      <w:pPr>
        <w:pStyle w:val="ListParagraph"/>
        <w:numPr>
          <w:ilvl w:val="1"/>
          <w:numId w:val="7"/>
        </w:numPr>
        <w:spacing w:before="120" w:after="120"/>
        <w:rPr>
          <w:rFonts w:ascii="Times New Roman" w:hAnsi="Times New Roman"/>
          <w:color w:val="000000"/>
          <w:sz w:val="27"/>
          <w:szCs w:val="27"/>
        </w:rPr>
      </w:pPr>
      <w:r w:rsidRPr="007B7380">
        <w:rPr>
          <w:color w:val="121212"/>
        </w:rPr>
        <w:t>689825153 </w:t>
      </w:r>
      <w:r w:rsidRPr="007B7380">
        <w:rPr>
          <w:color w:val="000000"/>
        </w:rPr>
        <w:t>– Dealing with Customer Service Incidents and Complaints</w:t>
      </w:r>
    </w:p>
    <w:p w14:paraId="4FE43EE7" w14:textId="70DE24A3" w:rsidR="00630E79" w:rsidRPr="007B7380" w:rsidRDefault="00630E79" w:rsidP="009521BD">
      <w:pPr>
        <w:pStyle w:val="ListParagraph"/>
        <w:numPr>
          <w:ilvl w:val="1"/>
          <w:numId w:val="7"/>
        </w:numPr>
        <w:spacing w:before="120" w:after="120"/>
        <w:rPr>
          <w:rFonts w:ascii="Times New Roman" w:hAnsi="Times New Roman"/>
          <w:color w:val="000000"/>
          <w:sz w:val="27"/>
          <w:szCs w:val="27"/>
        </w:rPr>
      </w:pPr>
      <w:r w:rsidRPr="007B7380">
        <w:rPr>
          <w:color w:val="000000"/>
        </w:rPr>
        <w:t xml:space="preserve">169209535 </w:t>
      </w:r>
      <w:r w:rsidR="00FE4062" w:rsidRPr="007B7380">
        <w:rPr>
          <w:color w:val="000000"/>
        </w:rPr>
        <w:t xml:space="preserve">– </w:t>
      </w:r>
      <w:r w:rsidRPr="007B7380">
        <w:rPr>
          <w:color w:val="000000"/>
        </w:rPr>
        <w:t>Effective Communication</w:t>
      </w:r>
    </w:p>
    <w:p w14:paraId="6D1ECAED" w14:textId="640457EF" w:rsidR="00651BBF" w:rsidRPr="006B1CF1" w:rsidRDefault="00630E79" w:rsidP="009521BD">
      <w:pPr>
        <w:spacing w:before="120" w:after="120"/>
        <w:rPr>
          <w:color w:val="000000"/>
        </w:rPr>
      </w:pPr>
      <w:r w:rsidRPr="00630E79">
        <w:rPr>
          <w:color w:val="000000"/>
        </w:rPr>
        <w:t> </w:t>
      </w:r>
    </w:p>
    <w:p w14:paraId="5622410C" w14:textId="6EFD3A8E" w:rsidR="00B02CEA" w:rsidRDefault="00B02CEA" w:rsidP="00B20E81">
      <w:pPr>
        <w:spacing w:before="60" w:after="60"/>
        <w:jc w:val="right"/>
        <w:rPr>
          <w:rStyle w:val="Hyperlink"/>
        </w:rPr>
      </w:pPr>
      <w:hyperlink w:anchor="_top" w:history="1">
        <w:r w:rsidRPr="0070152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4589B" w14:paraId="274E2126" w14:textId="77777777" w:rsidTr="00CA74FC">
        <w:trPr>
          <w:trHeight w:val="728"/>
        </w:trPr>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21F8AE" w14:textId="5669DDE5" w:rsidR="00D4589B" w:rsidRDefault="00BC3C79" w:rsidP="00CA74FC">
            <w:pPr>
              <w:pStyle w:val="Heading2"/>
              <w:spacing w:before="120" w:after="120"/>
              <w:rPr>
                <w:i/>
                <w:iCs w:val="0"/>
              </w:rPr>
            </w:pPr>
            <w:bookmarkStart w:id="22" w:name="_Toc199757745"/>
            <w:r>
              <w:rPr>
                <w:iCs w:val="0"/>
              </w:rPr>
              <w:t>FAQs</w:t>
            </w:r>
            <w:bookmarkEnd w:id="22"/>
          </w:p>
        </w:tc>
      </w:tr>
    </w:tbl>
    <w:p w14:paraId="7B5A850B" w14:textId="77777777" w:rsidR="00D4589B" w:rsidRDefault="00D4589B" w:rsidP="009521BD">
      <w:pPr>
        <w:spacing w:before="120" w:after="120"/>
        <w:jc w:val="right"/>
      </w:pPr>
    </w:p>
    <w:p w14:paraId="5AAEF9D2" w14:textId="552ADE18" w:rsidR="00D4589B" w:rsidRDefault="00D4589B" w:rsidP="009521BD">
      <w:pPr>
        <w:spacing w:before="120" w:after="120"/>
      </w:pPr>
      <w:r>
        <w:t>Use the Q&amp;A table below</w:t>
      </w:r>
      <w:r w:rsidR="00821B8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3068"/>
        <w:gridCol w:w="2276"/>
        <w:gridCol w:w="3119"/>
        <w:gridCol w:w="4062"/>
      </w:tblGrid>
      <w:tr w:rsidR="004B0703" w14:paraId="3FBCB27A" w14:textId="77777777" w:rsidTr="009354E9">
        <w:trPr>
          <w:trHeight w:val="288"/>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189AD" w14:textId="65E93515" w:rsidR="00D4589B" w:rsidRPr="00D4589B" w:rsidRDefault="00D4589B" w:rsidP="00DD5E7C">
            <w:pPr>
              <w:spacing w:before="120" w:after="120"/>
              <w:jc w:val="center"/>
              <w:rPr>
                <w:b/>
              </w:rPr>
            </w:pPr>
            <w:r>
              <w:rPr>
                <w:b/>
              </w:rPr>
              <w:t>#</w:t>
            </w:r>
          </w:p>
        </w:tc>
        <w:tc>
          <w:tcPr>
            <w:tcW w:w="13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B2CCD4" w14:textId="402C4CF8" w:rsidR="00D4589B" w:rsidRDefault="00D4589B" w:rsidP="00DD5E7C">
            <w:pPr>
              <w:spacing w:before="120" w:after="120"/>
              <w:jc w:val="center"/>
              <w:rPr>
                <w:b/>
              </w:rPr>
            </w:pPr>
            <w:r>
              <w:rPr>
                <w:b/>
              </w:rPr>
              <w:t>Question</w:t>
            </w:r>
          </w:p>
        </w:tc>
        <w:tc>
          <w:tcPr>
            <w:tcW w:w="3438"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6884D5" w14:textId="77777777" w:rsidR="00D4589B" w:rsidRDefault="00D4589B" w:rsidP="00DD5E7C">
            <w:pPr>
              <w:spacing w:before="120" w:after="120"/>
              <w:ind w:left="180"/>
              <w:jc w:val="center"/>
              <w:rPr>
                <w:b/>
              </w:rPr>
            </w:pPr>
            <w:r>
              <w:rPr>
                <w:b/>
              </w:rPr>
              <w:t>Answer</w:t>
            </w:r>
          </w:p>
        </w:tc>
      </w:tr>
      <w:tr w:rsidR="004B0703" w14:paraId="46615635" w14:textId="77777777" w:rsidTr="009354E9">
        <w:trPr>
          <w:trHeight w:val="1008"/>
        </w:trPr>
        <w:tc>
          <w:tcPr>
            <w:tcW w:w="261" w:type="pct"/>
            <w:tcBorders>
              <w:top w:val="single" w:sz="4" w:space="0" w:color="auto"/>
              <w:left w:val="single" w:sz="4" w:space="0" w:color="auto"/>
              <w:bottom w:val="single" w:sz="4" w:space="0" w:color="auto"/>
              <w:right w:val="single" w:sz="4" w:space="0" w:color="auto"/>
            </w:tcBorders>
          </w:tcPr>
          <w:p w14:paraId="60AE7D48" w14:textId="29ED7390" w:rsidR="00D4589B" w:rsidRPr="00D4589B" w:rsidRDefault="00077910" w:rsidP="009A0201">
            <w:pPr>
              <w:spacing w:before="120" w:after="120"/>
              <w:jc w:val="center"/>
              <w:rPr>
                <w:b/>
              </w:rPr>
            </w:pPr>
            <w:r>
              <w:rPr>
                <w:b/>
              </w:rPr>
              <w:t>1</w:t>
            </w:r>
          </w:p>
        </w:tc>
        <w:tc>
          <w:tcPr>
            <w:tcW w:w="1301" w:type="pct"/>
            <w:tcBorders>
              <w:top w:val="single" w:sz="4" w:space="0" w:color="auto"/>
              <w:left w:val="single" w:sz="4" w:space="0" w:color="auto"/>
              <w:bottom w:val="single" w:sz="4" w:space="0" w:color="auto"/>
              <w:right w:val="single" w:sz="4" w:space="0" w:color="auto"/>
            </w:tcBorders>
          </w:tcPr>
          <w:p w14:paraId="39C717AF" w14:textId="56DB238C" w:rsidR="00D4589B" w:rsidRDefault="00D4589B" w:rsidP="009521BD">
            <w:pPr>
              <w:spacing w:before="120" w:after="120"/>
              <w:rPr>
                <w:b/>
              </w:rPr>
            </w:pPr>
            <w:r>
              <w:rPr>
                <w:b/>
              </w:rPr>
              <w:t>What is Ascension to Excellence?</w:t>
            </w:r>
          </w:p>
        </w:tc>
        <w:tc>
          <w:tcPr>
            <w:tcW w:w="3438" w:type="pct"/>
            <w:gridSpan w:val="3"/>
            <w:tcBorders>
              <w:top w:val="single" w:sz="4" w:space="0" w:color="auto"/>
              <w:left w:val="single" w:sz="4" w:space="0" w:color="auto"/>
              <w:bottom w:val="single" w:sz="4" w:space="0" w:color="auto"/>
              <w:right w:val="single" w:sz="4" w:space="0" w:color="auto"/>
            </w:tcBorders>
            <w:hideMark/>
          </w:tcPr>
          <w:p w14:paraId="25E46772" w14:textId="6062E187" w:rsidR="00D4589B" w:rsidRDefault="009354E9" w:rsidP="00DD5E7C">
            <w:pPr>
              <w:spacing w:before="120" w:after="120"/>
            </w:pPr>
            <w:r>
              <w:rPr>
                <w:noProof/>
              </w:rPr>
              <w:drawing>
                <wp:inline distT="0" distB="0" distL="0" distR="0" wp14:anchorId="4C72E8A9" wp14:editId="6F547575">
                  <wp:extent cx="304762" cy="304762"/>
                  <wp:effectExtent l="0" t="0" r="635" b="635"/>
                  <wp:docPr id="1828371917" name="Picture 1828371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8716" name="Picture 2584587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D4589B">
              <w:t>The Ascension to Excellence (</w:t>
            </w:r>
            <w:proofErr w:type="spellStart"/>
            <w:r w:rsidR="00D4589B">
              <w:t>A2E</w:t>
            </w:r>
            <w:proofErr w:type="spellEnd"/>
            <w:r w:rsidR="00D4589B">
              <w:t>) program is a promotion program set in place to help customer care representatives promote into higher levels (CCR I to CCR III</w:t>
            </w:r>
            <w:r w:rsidR="002E55F2">
              <w:t xml:space="preserve"> and </w:t>
            </w:r>
            <w:proofErr w:type="spellStart"/>
            <w:r w:rsidR="002E55F2">
              <w:t>eCare</w:t>
            </w:r>
            <w:proofErr w:type="spellEnd"/>
            <w:r w:rsidR="002E55F2">
              <w:t xml:space="preserve"> Rep I to </w:t>
            </w:r>
            <w:proofErr w:type="spellStart"/>
            <w:r w:rsidR="002E55F2">
              <w:t>eCare</w:t>
            </w:r>
            <w:proofErr w:type="spellEnd"/>
            <w:r w:rsidR="002E55F2">
              <w:t xml:space="preserve"> Rep II</w:t>
            </w:r>
            <w:r w:rsidR="00D4589B">
              <w:t xml:space="preserve">) and serves as a preparation and transition tool for colleagues moving from a front-line representative to Senior Team role and Senior Team to </w:t>
            </w:r>
            <w:r w:rsidR="00CB102C">
              <w:t>Leadership</w:t>
            </w:r>
            <w:r w:rsidR="00D4589B">
              <w:t xml:space="preserve"> role.</w:t>
            </w:r>
          </w:p>
        </w:tc>
      </w:tr>
      <w:tr w:rsidR="009354E9" w14:paraId="52F69F64" w14:textId="77777777" w:rsidTr="009354E9">
        <w:trPr>
          <w:trHeight w:val="576"/>
        </w:trPr>
        <w:tc>
          <w:tcPr>
            <w:tcW w:w="261" w:type="pct"/>
            <w:vMerge w:val="restart"/>
            <w:tcBorders>
              <w:top w:val="single" w:sz="4" w:space="0" w:color="auto"/>
              <w:left w:val="single" w:sz="4" w:space="0" w:color="auto"/>
              <w:right w:val="single" w:sz="4" w:space="0" w:color="auto"/>
            </w:tcBorders>
          </w:tcPr>
          <w:p w14:paraId="263A7A69" w14:textId="7D9C9E54" w:rsidR="009354E9" w:rsidRPr="00D4589B" w:rsidRDefault="009354E9" w:rsidP="009A0201">
            <w:pPr>
              <w:spacing w:before="120" w:after="120"/>
              <w:jc w:val="center"/>
              <w:rPr>
                <w:b/>
              </w:rPr>
            </w:pPr>
            <w:r>
              <w:rPr>
                <w:b/>
              </w:rPr>
              <w:t>2</w:t>
            </w:r>
          </w:p>
        </w:tc>
        <w:tc>
          <w:tcPr>
            <w:tcW w:w="1301" w:type="pct"/>
            <w:vMerge w:val="restart"/>
            <w:tcBorders>
              <w:top w:val="single" w:sz="4" w:space="0" w:color="auto"/>
              <w:left w:val="single" w:sz="4" w:space="0" w:color="auto"/>
              <w:right w:val="single" w:sz="4" w:space="0" w:color="auto"/>
            </w:tcBorders>
          </w:tcPr>
          <w:p w14:paraId="508B10D0" w14:textId="74BFBD0E" w:rsidR="009354E9" w:rsidRDefault="009354E9" w:rsidP="009521BD">
            <w:pPr>
              <w:spacing w:before="120" w:after="120"/>
              <w:rPr>
                <w:b/>
              </w:rPr>
            </w:pPr>
            <w:r>
              <w:rPr>
                <w:b/>
              </w:rPr>
              <w:t xml:space="preserve">How does a colleague qualify for </w:t>
            </w:r>
            <w:proofErr w:type="spellStart"/>
            <w:r>
              <w:rPr>
                <w:b/>
              </w:rPr>
              <w:t>A2E</w:t>
            </w:r>
            <w:proofErr w:type="spellEnd"/>
            <w:r>
              <w:rPr>
                <w:b/>
              </w:rPr>
              <w:t>?</w:t>
            </w:r>
          </w:p>
        </w:tc>
        <w:tc>
          <w:tcPr>
            <w:tcW w:w="3438" w:type="pct"/>
            <w:gridSpan w:val="3"/>
            <w:tcBorders>
              <w:top w:val="single" w:sz="4" w:space="0" w:color="auto"/>
              <w:left w:val="single" w:sz="4" w:space="0" w:color="auto"/>
              <w:bottom w:val="single" w:sz="4" w:space="0" w:color="auto"/>
              <w:right w:val="single" w:sz="4" w:space="0" w:color="auto"/>
            </w:tcBorders>
          </w:tcPr>
          <w:p w14:paraId="2FCC7D7B" w14:textId="2C51FCFB" w:rsidR="009354E9" w:rsidRDefault="009354E9" w:rsidP="004B0703">
            <w:pPr>
              <w:spacing w:before="120" w:after="120"/>
            </w:pPr>
            <w:r>
              <w:t xml:space="preserve">To qualify for </w:t>
            </w:r>
            <w:proofErr w:type="gramStart"/>
            <w:r>
              <w:t>front level</w:t>
            </w:r>
            <w:proofErr w:type="gramEnd"/>
            <w:r>
              <w:t xml:space="preserve"> promotions, a colleague should meet the following criteria:</w:t>
            </w:r>
          </w:p>
        </w:tc>
      </w:tr>
      <w:tr w:rsidR="009354E9" w14:paraId="74B9A581" w14:textId="77777777" w:rsidTr="009354E9">
        <w:trPr>
          <w:trHeight w:val="432"/>
        </w:trPr>
        <w:tc>
          <w:tcPr>
            <w:tcW w:w="261" w:type="pct"/>
            <w:vMerge/>
            <w:tcBorders>
              <w:left w:val="single" w:sz="4" w:space="0" w:color="auto"/>
              <w:right w:val="single" w:sz="4" w:space="0" w:color="auto"/>
            </w:tcBorders>
          </w:tcPr>
          <w:p w14:paraId="4BA95E89" w14:textId="77777777" w:rsidR="009354E9" w:rsidRDefault="009354E9" w:rsidP="009A0201">
            <w:pPr>
              <w:spacing w:before="120" w:after="120"/>
              <w:jc w:val="center"/>
              <w:rPr>
                <w:b/>
              </w:rPr>
            </w:pPr>
          </w:p>
        </w:tc>
        <w:tc>
          <w:tcPr>
            <w:tcW w:w="1301" w:type="pct"/>
            <w:vMerge/>
            <w:tcBorders>
              <w:left w:val="single" w:sz="4" w:space="0" w:color="auto"/>
              <w:right w:val="single" w:sz="4" w:space="0" w:color="auto"/>
            </w:tcBorders>
          </w:tcPr>
          <w:p w14:paraId="3B9C9745" w14:textId="77777777" w:rsidR="009354E9" w:rsidRDefault="009354E9" w:rsidP="00902B3C">
            <w:pPr>
              <w:spacing w:before="120" w:after="120"/>
              <w:rPr>
                <w:b/>
              </w:rPr>
            </w:pPr>
          </w:p>
        </w:tc>
        <w:tc>
          <w:tcPr>
            <w:tcW w:w="452" w:type="pct"/>
            <w:shd w:val="clear" w:color="auto" w:fill="D9D9D9" w:themeFill="background1" w:themeFillShade="D9"/>
          </w:tcPr>
          <w:p w14:paraId="78ADD922" w14:textId="44CEAE1F" w:rsidR="009354E9" w:rsidRDefault="009354E9" w:rsidP="004B0703">
            <w:pPr>
              <w:spacing w:before="120" w:after="120"/>
              <w:jc w:val="center"/>
            </w:pPr>
            <w:r w:rsidRPr="0051378D">
              <w:rPr>
                <w:b/>
                <w:bCs/>
                <w:color w:val="000000"/>
              </w:rPr>
              <w:t>CCR</w:t>
            </w:r>
          </w:p>
        </w:tc>
        <w:tc>
          <w:tcPr>
            <w:tcW w:w="1311" w:type="pct"/>
            <w:shd w:val="clear" w:color="auto" w:fill="D9D9D9" w:themeFill="background1" w:themeFillShade="D9"/>
          </w:tcPr>
          <w:p w14:paraId="406FF86C" w14:textId="2C23123C" w:rsidR="009354E9" w:rsidRDefault="009354E9" w:rsidP="004B0703">
            <w:pPr>
              <w:spacing w:before="120" w:after="120"/>
              <w:jc w:val="center"/>
            </w:pPr>
            <w:r w:rsidRPr="0051378D">
              <w:rPr>
                <w:b/>
                <w:bCs/>
                <w:color w:val="000000"/>
              </w:rPr>
              <w:t>Criteria</w:t>
            </w:r>
          </w:p>
        </w:tc>
        <w:tc>
          <w:tcPr>
            <w:tcW w:w="1675" w:type="pct"/>
            <w:shd w:val="clear" w:color="auto" w:fill="D9D9D9" w:themeFill="background1" w:themeFillShade="D9"/>
          </w:tcPr>
          <w:p w14:paraId="01640252" w14:textId="587F6348" w:rsidR="009354E9" w:rsidRDefault="009354E9" w:rsidP="004B0703">
            <w:pPr>
              <w:spacing w:before="120" w:after="120"/>
              <w:jc w:val="center"/>
            </w:pPr>
            <w:r w:rsidRPr="0051378D">
              <w:rPr>
                <w:b/>
                <w:bCs/>
                <w:color w:val="000000"/>
              </w:rPr>
              <w:t>Goal Requirements</w:t>
            </w:r>
          </w:p>
        </w:tc>
      </w:tr>
      <w:tr w:rsidR="009354E9" w14:paraId="30EA03D1" w14:textId="77777777" w:rsidTr="009354E9">
        <w:trPr>
          <w:trHeight w:val="20"/>
        </w:trPr>
        <w:tc>
          <w:tcPr>
            <w:tcW w:w="261" w:type="pct"/>
            <w:vMerge/>
            <w:tcBorders>
              <w:left w:val="single" w:sz="4" w:space="0" w:color="auto"/>
              <w:right w:val="single" w:sz="4" w:space="0" w:color="auto"/>
            </w:tcBorders>
          </w:tcPr>
          <w:p w14:paraId="110F3C08" w14:textId="77777777" w:rsidR="009354E9" w:rsidRDefault="009354E9" w:rsidP="009A0201">
            <w:pPr>
              <w:spacing w:before="120" w:after="120"/>
              <w:jc w:val="center"/>
              <w:rPr>
                <w:b/>
              </w:rPr>
            </w:pPr>
          </w:p>
        </w:tc>
        <w:tc>
          <w:tcPr>
            <w:tcW w:w="1301" w:type="pct"/>
            <w:vMerge/>
            <w:tcBorders>
              <w:left w:val="single" w:sz="4" w:space="0" w:color="auto"/>
              <w:right w:val="single" w:sz="4" w:space="0" w:color="auto"/>
            </w:tcBorders>
          </w:tcPr>
          <w:p w14:paraId="107EA8CB" w14:textId="77777777" w:rsidR="009354E9" w:rsidRDefault="009354E9" w:rsidP="00902B3C">
            <w:pPr>
              <w:spacing w:before="120" w:after="120"/>
              <w:rPr>
                <w:b/>
              </w:rPr>
            </w:pPr>
          </w:p>
        </w:tc>
        <w:tc>
          <w:tcPr>
            <w:tcW w:w="452" w:type="pct"/>
          </w:tcPr>
          <w:p w14:paraId="3B118A01" w14:textId="47FAB061" w:rsidR="009354E9" w:rsidRDefault="009354E9" w:rsidP="00902B3C">
            <w:pPr>
              <w:spacing w:before="120" w:after="120"/>
            </w:pPr>
            <w:r>
              <w:rPr>
                <w:b/>
                <w:bCs/>
              </w:rPr>
              <w:t xml:space="preserve">CCRI – </w:t>
            </w:r>
            <w:proofErr w:type="spellStart"/>
            <w:r>
              <w:rPr>
                <w:b/>
                <w:bCs/>
              </w:rPr>
              <w:t>CCRII</w:t>
            </w:r>
            <w:proofErr w:type="spellEnd"/>
          </w:p>
        </w:tc>
        <w:tc>
          <w:tcPr>
            <w:tcW w:w="1311" w:type="pct"/>
          </w:tcPr>
          <w:p w14:paraId="2A10B90B" w14:textId="77777777" w:rsidR="009354E9" w:rsidRDefault="009354E9" w:rsidP="00902B3C">
            <w:pPr>
              <w:pStyle w:val="ListParagraph"/>
              <w:numPr>
                <w:ilvl w:val="0"/>
                <w:numId w:val="12"/>
              </w:numPr>
              <w:spacing w:before="120" w:after="120"/>
              <w:rPr>
                <w:color w:val="000000"/>
              </w:rPr>
            </w:pPr>
            <w:r w:rsidRPr="0051378D">
              <w:rPr>
                <w:color w:val="000000"/>
              </w:rPr>
              <w:t xml:space="preserve">6 </w:t>
            </w:r>
            <w:proofErr w:type="gramStart"/>
            <w:r w:rsidRPr="0051378D">
              <w:rPr>
                <w:color w:val="000000"/>
              </w:rPr>
              <w:t>months</w:t>
            </w:r>
            <w:proofErr w:type="gramEnd"/>
            <w:r w:rsidRPr="0051378D">
              <w:rPr>
                <w:color w:val="000000"/>
              </w:rPr>
              <w:t xml:space="preserve"> tenure (not to include training)</w:t>
            </w:r>
          </w:p>
          <w:p w14:paraId="5E97A673" w14:textId="77777777" w:rsidR="009354E9" w:rsidRDefault="009354E9" w:rsidP="00902B3C">
            <w:pPr>
              <w:pStyle w:val="ListParagraph"/>
              <w:numPr>
                <w:ilvl w:val="0"/>
                <w:numId w:val="12"/>
              </w:numPr>
              <w:spacing w:before="120" w:after="120"/>
              <w:rPr>
                <w:color w:val="000000"/>
              </w:rPr>
            </w:pPr>
            <w:r w:rsidRPr="0051378D">
              <w:rPr>
                <w:color w:val="000000"/>
              </w:rPr>
              <w:t>Have a performance rating of Successful Performance (SP) or higher for the last 6 months</w:t>
            </w:r>
          </w:p>
          <w:p w14:paraId="7AD9603E" w14:textId="77777777" w:rsidR="009354E9" w:rsidRDefault="009354E9" w:rsidP="00902B3C">
            <w:pPr>
              <w:pStyle w:val="ListParagraph"/>
              <w:numPr>
                <w:ilvl w:val="0"/>
                <w:numId w:val="12"/>
              </w:numPr>
              <w:spacing w:before="120" w:after="120"/>
              <w:rPr>
                <w:color w:val="000000"/>
              </w:rPr>
            </w:pPr>
            <w:r w:rsidRPr="0051378D">
              <w:rPr>
                <w:color w:val="000000"/>
              </w:rPr>
              <w:t>Have a supervisor recommendation</w:t>
            </w:r>
          </w:p>
          <w:p w14:paraId="6375BA6F" w14:textId="77777777" w:rsidR="009354E9" w:rsidRDefault="009354E9" w:rsidP="00902B3C">
            <w:pPr>
              <w:pStyle w:val="ListParagraph"/>
              <w:numPr>
                <w:ilvl w:val="0"/>
                <w:numId w:val="12"/>
              </w:numPr>
              <w:spacing w:before="120" w:after="120"/>
              <w:rPr>
                <w:color w:val="000000"/>
              </w:rPr>
            </w:pPr>
            <w:r w:rsidRPr="0051378D">
              <w:rPr>
                <w:color w:val="000000"/>
              </w:rPr>
              <w:t xml:space="preserve">Have met the goal requirements </w:t>
            </w:r>
          </w:p>
          <w:p w14:paraId="2AE812C5" w14:textId="2C8773E4" w:rsidR="009354E9" w:rsidRPr="004B0703" w:rsidRDefault="009354E9" w:rsidP="004B0703">
            <w:pPr>
              <w:pStyle w:val="ListParagraph"/>
              <w:numPr>
                <w:ilvl w:val="0"/>
                <w:numId w:val="12"/>
              </w:numPr>
              <w:spacing w:before="120" w:after="120"/>
              <w:rPr>
                <w:color w:val="000000"/>
              </w:rPr>
            </w:pPr>
            <w:proofErr w:type="gramStart"/>
            <w:r w:rsidRPr="004B0703">
              <w:rPr>
                <w:color w:val="000000"/>
              </w:rPr>
              <w:t>Have</w:t>
            </w:r>
            <w:proofErr w:type="gramEnd"/>
            <w:r w:rsidRPr="004B0703">
              <w:rPr>
                <w:color w:val="000000"/>
              </w:rPr>
              <w:t xml:space="preserve"> completed the Learning Hub Courses for CCRI to </w:t>
            </w:r>
            <w:proofErr w:type="spellStart"/>
            <w:r w:rsidRPr="004B0703">
              <w:rPr>
                <w:color w:val="000000"/>
              </w:rPr>
              <w:t>CCRII</w:t>
            </w:r>
            <w:proofErr w:type="spellEnd"/>
          </w:p>
        </w:tc>
        <w:tc>
          <w:tcPr>
            <w:tcW w:w="1675" w:type="pct"/>
          </w:tcPr>
          <w:p w14:paraId="01126470" w14:textId="55857303" w:rsidR="009354E9" w:rsidRPr="0092394B" w:rsidRDefault="009354E9" w:rsidP="00902B3C">
            <w:pPr>
              <w:spacing w:before="120" w:after="120"/>
              <w:rPr>
                <w:color w:val="000000"/>
                <w:u w:val="single"/>
              </w:rPr>
            </w:pPr>
            <w:r w:rsidRPr="0092394B">
              <w:rPr>
                <w:color w:val="000000"/>
              </w:rPr>
              <w:t>Must meet the criteria below for 4 of 6 prior months</w:t>
            </w:r>
            <w:r>
              <w:rPr>
                <w:color w:val="000000"/>
              </w:rPr>
              <w:t>.</w:t>
            </w:r>
          </w:p>
          <w:p w14:paraId="39A3D15D" w14:textId="77777777" w:rsidR="009354E9" w:rsidRDefault="009354E9" w:rsidP="00902B3C">
            <w:pPr>
              <w:pStyle w:val="ListParagraph"/>
              <w:numPr>
                <w:ilvl w:val="0"/>
                <w:numId w:val="15"/>
              </w:numPr>
              <w:spacing w:before="120" w:after="120"/>
              <w:rPr>
                <w:color w:val="000000"/>
              </w:rPr>
            </w:pPr>
            <w:r w:rsidRPr="0051378D">
              <w:rPr>
                <w:color w:val="000000"/>
              </w:rPr>
              <w:t>Must have a Yes/Pending for at least 4 Heart at Work Behaviors</w:t>
            </w:r>
          </w:p>
          <w:p w14:paraId="7A968452" w14:textId="77777777" w:rsidR="009354E9" w:rsidRDefault="009354E9" w:rsidP="00902B3C">
            <w:pPr>
              <w:pStyle w:val="ListParagraph"/>
              <w:numPr>
                <w:ilvl w:val="0"/>
                <w:numId w:val="15"/>
              </w:numPr>
              <w:spacing w:before="120" w:after="120"/>
              <w:rPr>
                <w:color w:val="000000"/>
              </w:rPr>
            </w:pPr>
            <w:r w:rsidRPr="0051378D">
              <w:rPr>
                <w:color w:val="000000"/>
              </w:rPr>
              <w:t xml:space="preserve">Must have an SP or better in 3 of the 4 goals (Quality must be 1 of the 3 goals met) </w:t>
            </w:r>
          </w:p>
          <w:p w14:paraId="661E3BD3" w14:textId="499880EB" w:rsidR="009354E9" w:rsidRPr="004B0703" w:rsidRDefault="009354E9" w:rsidP="004B0703">
            <w:pPr>
              <w:pStyle w:val="ListParagraph"/>
              <w:numPr>
                <w:ilvl w:val="1"/>
                <w:numId w:val="15"/>
              </w:numPr>
              <w:spacing w:before="120" w:after="120"/>
              <w:rPr>
                <w:color w:val="000000"/>
              </w:rPr>
            </w:pPr>
            <w:r w:rsidRPr="004B0703">
              <w:rPr>
                <w:color w:val="000000"/>
              </w:rPr>
              <w:t>If the agent doesn’t receive surveys via Medallia or doesn’t achieve a minimum of 2 surveys in a month this will automatically equate to an SP for that month in the Overall Satisfaction with the representative goal.</w:t>
            </w:r>
          </w:p>
        </w:tc>
      </w:tr>
      <w:tr w:rsidR="009354E9" w14:paraId="73AC0031" w14:textId="77777777" w:rsidTr="009354E9">
        <w:trPr>
          <w:trHeight w:val="144"/>
        </w:trPr>
        <w:tc>
          <w:tcPr>
            <w:tcW w:w="261" w:type="pct"/>
            <w:vMerge/>
            <w:tcBorders>
              <w:left w:val="single" w:sz="4" w:space="0" w:color="auto"/>
              <w:right w:val="single" w:sz="4" w:space="0" w:color="auto"/>
            </w:tcBorders>
          </w:tcPr>
          <w:p w14:paraId="1CA12D90" w14:textId="77777777" w:rsidR="009354E9" w:rsidRDefault="009354E9" w:rsidP="009A0201">
            <w:pPr>
              <w:spacing w:before="120" w:after="120"/>
              <w:jc w:val="center"/>
              <w:rPr>
                <w:b/>
              </w:rPr>
            </w:pPr>
          </w:p>
        </w:tc>
        <w:tc>
          <w:tcPr>
            <w:tcW w:w="1301" w:type="pct"/>
            <w:vMerge/>
            <w:tcBorders>
              <w:left w:val="single" w:sz="4" w:space="0" w:color="auto"/>
              <w:right w:val="single" w:sz="4" w:space="0" w:color="auto"/>
            </w:tcBorders>
          </w:tcPr>
          <w:p w14:paraId="6E5DAF79" w14:textId="77777777" w:rsidR="009354E9" w:rsidRDefault="009354E9" w:rsidP="00902B3C">
            <w:pPr>
              <w:spacing w:before="120" w:after="120"/>
              <w:rPr>
                <w:b/>
              </w:rPr>
            </w:pPr>
          </w:p>
        </w:tc>
        <w:tc>
          <w:tcPr>
            <w:tcW w:w="452" w:type="pct"/>
          </w:tcPr>
          <w:p w14:paraId="0A847A7B" w14:textId="774D6043" w:rsidR="009354E9" w:rsidRDefault="009354E9" w:rsidP="00902B3C">
            <w:pPr>
              <w:spacing w:before="120" w:after="120"/>
            </w:pPr>
            <w:proofErr w:type="spellStart"/>
            <w:r>
              <w:rPr>
                <w:b/>
                <w:bCs/>
              </w:rPr>
              <w:t>CCRII</w:t>
            </w:r>
            <w:proofErr w:type="spellEnd"/>
            <w:r>
              <w:rPr>
                <w:b/>
                <w:bCs/>
              </w:rPr>
              <w:t> – </w:t>
            </w:r>
            <w:proofErr w:type="spellStart"/>
            <w:r>
              <w:rPr>
                <w:b/>
                <w:bCs/>
              </w:rPr>
              <w:t>CCRIII</w:t>
            </w:r>
            <w:proofErr w:type="spellEnd"/>
          </w:p>
        </w:tc>
        <w:tc>
          <w:tcPr>
            <w:tcW w:w="1311" w:type="pct"/>
          </w:tcPr>
          <w:p w14:paraId="321BEBE1" w14:textId="77777777" w:rsidR="009354E9" w:rsidRPr="00A52084" w:rsidRDefault="009354E9" w:rsidP="00902B3C">
            <w:pPr>
              <w:pStyle w:val="ListParagraph"/>
              <w:numPr>
                <w:ilvl w:val="0"/>
                <w:numId w:val="18"/>
              </w:numPr>
              <w:spacing w:before="120" w:after="120"/>
              <w:rPr>
                <w:rFonts w:cs="Calibri"/>
                <w:u w:val="single"/>
              </w:rPr>
            </w:pPr>
            <w:r w:rsidRPr="00A52084">
              <w:rPr>
                <w:rFonts w:cs="Calibri"/>
              </w:rPr>
              <w:t xml:space="preserve">6 months must have passed since the promotion date of CCRI to </w:t>
            </w:r>
            <w:proofErr w:type="spellStart"/>
            <w:r w:rsidRPr="00A52084">
              <w:rPr>
                <w:rFonts w:cs="Calibri"/>
              </w:rPr>
              <w:t>CCRII</w:t>
            </w:r>
            <w:proofErr w:type="spellEnd"/>
          </w:p>
          <w:p w14:paraId="7434E629" w14:textId="77777777" w:rsidR="009354E9" w:rsidRPr="00A52084" w:rsidRDefault="009354E9" w:rsidP="00902B3C">
            <w:pPr>
              <w:pStyle w:val="ListParagraph"/>
              <w:numPr>
                <w:ilvl w:val="0"/>
                <w:numId w:val="18"/>
              </w:numPr>
              <w:spacing w:before="120" w:after="120"/>
              <w:rPr>
                <w:rFonts w:cs="Calibri"/>
              </w:rPr>
            </w:pPr>
            <w:r w:rsidRPr="00A52084">
              <w:rPr>
                <w:rFonts w:cs="Calibri"/>
              </w:rPr>
              <w:t>Have a performance rating of Successful Performance (SP) or higher for the last 6 months</w:t>
            </w:r>
          </w:p>
          <w:p w14:paraId="2C6EA16A" w14:textId="77777777" w:rsidR="009354E9" w:rsidRPr="00A52084" w:rsidRDefault="009354E9" w:rsidP="00902B3C">
            <w:pPr>
              <w:pStyle w:val="ListParagraph"/>
              <w:numPr>
                <w:ilvl w:val="0"/>
                <w:numId w:val="18"/>
              </w:numPr>
              <w:spacing w:before="120" w:after="120"/>
              <w:rPr>
                <w:rFonts w:cs="Calibri"/>
              </w:rPr>
            </w:pPr>
            <w:r w:rsidRPr="00A52084">
              <w:rPr>
                <w:rFonts w:cs="Calibri"/>
              </w:rPr>
              <w:t>Have a supervisor recommendation</w:t>
            </w:r>
          </w:p>
          <w:p w14:paraId="2B33365A" w14:textId="77777777" w:rsidR="009354E9" w:rsidRPr="00A52084" w:rsidRDefault="009354E9" w:rsidP="00902B3C">
            <w:pPr>
              <w:pStyle w:val="ListParagraph"/>
              <w:numPr>
                <w:ilvl w:val="0"/>
                <w:numId w:val="18"/>
              </w:numPr>
              <w:spacing w:before="120" w:after="120"/>
              <w:rPr>
                <w:rFonts w:cs="Calibri"/>
              </w:rPr>
            </w:pPr>
            <w:r w:rsidRPr="00A52084">
              <w:rPr>
                <w:rFonts w:cs="Calibri"/>
              </w:rPr>
              <w:t>Actively participate in the program/support activity</w:t>
            </w:r>
          </w:p>
          <w:p w14:paraId="68E7C3BF" w14:textId="77777777" w:rsidR="009354E9" w:rsidRDefault="009354E9" w:rsidP="00902B3C">
            <w:pPr>
              <w:pStyle w:val="ListParagraph"/>
              <w:numPr>
                <w:ilvl w:val="0"/>
                <w:numId w:val="18"/>
              </w:numPr>
              <w:spacing w:before="120" w:after="120"/>
              <w:rPr>
                <w:rFonts w:cs="Calibri"/>
              </w:rPr>
            </w:pPr>
            <w:r w:rsidRPr="00A52084">
              <w:rPr>
                <w:rFonts w:cs="Calibri"/>
              </w:rPr>
              <w:t xml:space="preserve">Have met the goal requirements </w:t>
            </w:r>
          </w:p>
          <w:p w14:paraId="175B651A" w14:textId="3E694E25" w:rsidR="009354E9" w:rsidRPr="00902B3C" w:rsidRDefault="009354E9" w:rsidP="004B0703">
            <w:pPr>
              <w:pStyle w:val="ListParagraph"/>
              <w:numPr>
                <w:ilvl w:val="0"/>
                <w:numId w:val="18"/>
              </w:numPr>
              <w:spacing w:before="120" w:after="120"/>
              <w:rPr>
                <w:rFonts w:cs="Calibri"/>
              </w:rPr>
            </w:pPr>
            <w:r w:rsidRPr="00902B3C">
              <w:rPr>
                <w:rFonts w:cs="Calibri"/>
              </w:rPr>
              <w:t xml:space="preserve">Have completed the Learning Hub Courses for </w:t>
            </w:r>
            <w:proofErr w:type="spellStart"/>
            <w:r w:rsidRPr="00902B3C">
              <w:rPr>
                <w:rFonts w:cs="Calibri"/>
              </w:rPr>
              <w:t>CCRII</w:t>
            </w:r>
            <w:proofErr w:type="spellEnd"/>
            <w:r w:rsidRPr="00902B3C">
              <w:rPr>
                <w:rFonts w:cs="Calibri"/>
              </w:rPr>
              <w:t xml:space="preserve"> to </w:t>
            </w:r>
            <w:proofErr w:type="spellStart"/>
            <w:r w:rsidRPr="00902B3C">
              <w:rPr>
                <w:rFonts w:cs="Calibri"/>
              </w:rPr>
              <w:t>CCRIII</w:t>
            </w:r>
            <w:proofErr w:type="spellEnd"/>
          </w:p>
        </w:tc>
        <w:tc>
          <w:tcPr>
            <w:tcW w:w="1675" w:type="pct"/>
          </w:tcPr>
          <w:p w14:paraId="1F695A3B" w14:textId="26990A05" w:rsidR="009354E9" w:rsidRPr="00F021E3" w:rsidRDefault="009354E9" w:rsidP="00902B3C">
            <w:pPr>
              <w:spacing w:before="120" w:after="120"/>
              <w:rPr>
                <w:color w:val="000000"/>
              </w:rPr>
            </w:pPr>
            <w:r w:rsidRPr="00F021E3">
              <w:rPr>
                <w:color w:val="000000"/>
              </w:rPr>
              <w:t>Must meet the criteria below for 5 of 6 prior months.</w:t>
            </w:r>
          </w:p>
          <w:p w14:paraId="27B7489A" w14:textId="77777777" w:rsidR="009354E9" w:rsidRPr="00F021E3" w:rsidRDefault="009354E9" w:rsidP="00902B3C">
            <w:pPr>
              <w:numPr>
                <w:ilvl w:val="0"/>
                <w:numId w:val="20"/>
              </w:numPr>
              <w:spacing w:before="120" w:after="120"/>
              <w:ind w:left="721"/>
              <w:rPr>
                <w:color w:val="000000"/>
              </w:rPr>
            </w:pPr>
            <w:r w:rsidRPr="00F021E3">
              <w:rPr>
                <w:color w:val="000000"/>
              </w:rPr>
              <w:t xml:space="preserve">Must have </w:t>
            </w:r>
            <w:proofErr w:type="gramStart"/>
            <w:r w:rsidRPr="00F021E3">
              <w:rPr>
                <w:color w:val="000000"/>
              </w:rPr>
              <w:t>a Yes</w:t>
            </w:r>
            <w:proofErr w:type="gramEnd"/>
            <w:r w:rsidRPr="00F021E3">
              <w:rPr>
                <w:color w:val="000000"/>
              </w:rPr>
              <w:t>/Pending for at least 5 Heart at Work Behaviors</w:t>
            </w:r>
          </w:p>
          <w:p w14:paraId="3D68F424" w14:textId="77777777" w:rsidR="009354E9" w:rsidRPr="00F021E3" w:rsidRDefault="009354E9" w:rsidP="00902B3C">
            <w:pPr>
              <w:numPr>
                <w:ilvl w:val="0"/>
                <w:numId w:val="20"/>
              </w:numPr>
              <w:spacing w:before="120" w:after="120"/>
              <w:ind w:left="721"/>
              <w:rPr>
                <w:color w:val="000000"/>
              </w:rPr>
            </w:pPr>
            <w:r w:rsidRPr="00F021E3">
              <w:rPr>
                <w:color w:val="000000"/>
              </w:rPr>
              <w:t xml:space="preserve">Must have an HP or better in Quality </w:t>
            </w:r>
          </w:p>
          <w:p w14:paraId="4EFB9EC5" w14:textId="77777777" w:rsidR="009354E9" w:rsidRPr="004B0703" w:rsidRDefault="009354E9" w:rsidP="00902B3C">
            <w:pPr>
              <w:numPr>
                <w:ilvl w:val="0"/>
                <w:numId w:val="20"/>
              </w:numPr>
              <w:spacing w:before="120" w:after="120"/>
              <w:ind w:left="721"/>
              <w:rPr>
                <w:color w:val="000000"/>
                <w:u w:val="single"/>
              </w:rPr>
            </w:pPr>
            <w:r w:rsidRPr="00F021E3">
              <w:rPr>
                <w:color w:val="000000"/>
              </w:rPr>
              <w:t xml:space="preserve">Must have an SP or better in other 3 goals </w:t>
            </w:r>
          </w:p>
          <w:p w14:paraId="1B219DB6" w14:textId="7D736521" w:rsidR="009354E9" w:rsidRPr="004B0703" w:rsidRDefault="009354E9" w:rsidP="004B0703">
            <w:pPr>
              <w:numPr>
                <w:ilvl w:val="1"/>
                <w:numId w:val="20"/>
              </w:numPr>
              <w:spacing w:before="120" w:after="120"/>
              <w:ind w:left="1696"/>
              <w:rPr>
                <w:color w:val="000000"/>
                <w:u w:val="single"/>
              </w:rPr>
            </w:pPr>
            <w:r w:rsidRPr="00902B3C">
              <w:rPr>
                <w:color w:val="000000"/>
              </w:rPr>
              <w:t>If the agent doesn’t receive surveys via Medallia or doesn’t achieve a minimum of 2 surveys in a month this will automatically equate to an SP for that month in the Overall Satisfaction with the representative goal.</w:t>
            </w:r>
          </w:p>
        </w:tc>
      </w:tr>
      <w:tr w:rsidR="009354E9" w14:paraId="77492D86" w14:textId="77777777" w:rsidTr="009354E9">
        <w:trPr>
          <w:trHeight w:val="144"/>
        </w:trPr>
        <w:tc>
          <w:tcPr>
            <w:tcW w:w="261" w:type="pct"/>
            <w:vMerge/>
            <w:tcBorders>
              <w:left w:val="single" w:sz="4" w:space="0" w:color="auto"/>
              <w:bottom w:val="single" w:sz="4" w:space="0" w:color="auto"/>
              <w:right w:val="single" w:sz="4" w:space="0" w:color="auto"/>
            </w:tcBorders>
          </w:tcPr>
          <w:p w14:paraId="5A8EC104" w14:textId="77777777" w:rsidR="009354E9" w:rsidRDefault="009354E9" w:rsidP="00CC1043">
            <w:pPr>
              <w:spacing w:before="120" w:after="120"/>
              <w:jc w:val="center"/>
              <w:rPr>
                <w:b/>
              </w:rPr>
            </w:pPr>
          </w:p>
        </w:tc>
        <w:tc>
          <w:tcPr>
            <w:tcW w:w="1301" w:type="pct"/>
            <w:vMerge/>
            <w:tcBorders>
              <w:left w:val="single" w:sz="4" w:space="0" w:color="auto"/>
              <w:bottom w:val="single" w:sz="4" w:space="0" w:color="auto"/>
              <w:right w:val="single" w:sz="4" w:space="0" w:color="auto"/>
            </w:tcBorders>
          </w:tcPr>
          <w:p w14:paraId="318F9D08" w14:textId="77777777" w:rsidR="009354E9" w:rsidRDefault="009354E9" w:rsidP="00CC1043">
            <w:pPr>
              <w:spacing w:before="120" w:after="120"/>
              <w:rPr>
                <w:b/>
              </w:rPr>
            </w:pPr>
          </w:p>
        </w:tc>
        <w:tc>
          <w:tcPr>
            <w:tcW w:w="452" w:type="pct"/>
          </w:tcPr>
          <w:p w14:paraId="6D8808EE" w14:textId="55A666B6" w:rsidR="009354E9" w:rsidRDefault="009354E9" w:rsidP="00CC1043">
            <w:pPr>
              <w:spacing w:before="120" w:after="120"/>
              <w:rPr>
                <w:b/>
                <w:bCs/>
              </w:rPr>
            </w:pPr>
            <w:r>
              <w:rPr>
                <w:noProof/>
              </w:rPr>
              <w:drawing>
                <wp:inline distT="0" distB="0" distL="0" distR="0" wp14:anchorId="6BBF47BB" wp14:editId="242FB531">
                  <wp:extent cx="304762" cy="304762"/>
                  <wp:effectExtent l="0" t="0" r="635" b="635"/>
                  <wp:docPr id="1425324331" name="Picture 1425324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8716" name="Picture 2584587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roofErr w:type="spellStart"/>
            <w:r>
              <w:rPr>
                <w:b/>
                <w:bCs/>
              </w:rPr>
              <w:t>eCare</w:t>
            </w:r>
            <w:proofErr w:type="spellEnd"/>
            <w:r>
              <w:rPr>
                <w:b/>
                <w:bCs/>
              </w:rPr>
              <w:t xml:space="preserve"> Rep I – </w:t>
            </w:r>
            <w:proofErr w:type="spellStart"/>
            <w:r>
              <w:rPr>
                <w:b/>
                <w:bCs/>
              </w:rPr>
              <w:t>eCare</w:t>
            </w:r>
            <w:proofErr w:type="spellEnd"/>
            <w:r>
              <w:rPr>
                <w:b/>
                <w:bCs/>
              </w:rPr>
              <w:t xml:space="preserve"> Rep II</w:t>
            </w:r>
          </w:p>
        </w:tc>
        <w:tc>
          <w:tcPr>
            <w:tcW w:w="1311" w:type="pct"/>
          </w:tcPr>
          <w:p w14:paraId="15BE434B" w14:textId="77777777" w:rsidR="009354E9" w:rsidRDefault="009354E9" w:rsidP="00CC1043">
            <w:pPr>
              <w:pStyle w:val="ListParagraph"/>
              <w:numPr>
                <w:ilvl w:val="0"/>
                <w:numId w:val="12"/>
              </w:numPr>
              <w:spacing w:before="120" w:after="120"/>
              <w:rPr>
                <w:color w:val="000000"/>
              </w:rPr>
            </w:pPr>
            <w:r w:rsidRPr="004B0703">
              <w:rPr>
                <w:color w:val="000000"/>
              </w:rPr>
              <w:t xml:space="preserve">6 </w:t>
            </w:r>
            <w:proofErr w:type="gramStart"/>
            <w:r w:rsidRPr="004B0703">
              <w:rPr>
                <w:color w:val="000000"/>
              </w:rPr>
              <w:t>months</w:t>
            </w:r>
            <w:proofErr w:type="gramEnd"/>
            <w:r w:rsidRPr="004B0703">
              <w:rPr>
                <w:color w:val="000000"/>
              </w:rPr>
              <w:t xml:space="preserve"> tenure (not to include training)</w:t>
            </w:r>
          </w:p>
          <w:p w14:paraId="3F28611F" w14:textId="77777777" w:rsidR="009354E9" w:rsidRDefault="009354E9" w:rsidP="00CC1043">
            <w:pPr>
              <w:pStyle w:val="ListParagraph"/>
              <w:numPr>
                <w:ilvl w:val="0"/>
                <w:numId w:val="12"/>
              </w:numPr>
              <w:spacing w:before="120" w:after="120"/>
              <w:rPr>
                <w:color w:val="000000"/>
              </w:rPr>
            </w:pPr>
            <w:r w:rsidRPr="004B0703">
              <w:rPr>
                <w:color w:val="000000"/>
              </w:rPr>
              <w:t>Have a performance rating of Successful Performance (SP) or higher for the last 6 months</w:t>
            </w:r>
          </w:p>
          <w:p w14:paraId="0B22CA0A" w14:textId="77777777" w:rsidR="009354E9" w:rsidRDefault="009354E9" w:rsidP="00CC1043">
            <w:pPr>
              <w:pStyle w:val="ListParagraph"/>
              <w:numPr>
                <w:ilvl w:val="0"/>
                <w:numId w:val="12"/>
              </w:numPr>
              <w:spacing w:before="120" w:after="120"/>
              <w:rPr>
                <w:color w:val="000000"/>
              </w:rPr>
            </w:pPr>
            <w:r w:rsidRPr="004B0703">
              <w:rPr>
                <w:color w:val="000000"/>
              </w:rPr>
              <w:t>Have a supervisor recommendation</w:t>
            </w:r>
          </w:p>
          <w:p w14:paraId="50ADAB10" w14:textId="77777777" w:rsidR="009354E9" w:rsidRDefault="009354E9" w:rsidP="00CC1043">
            <w:pPr>
              <w:pStyle w:val="ListParagraph"/>
              <w:numPr>
                <w:ilvl w:val="0"/>
                <w:numId w:val="12"/>
              </w:numPr>
              <w:spacing w:before="120" w:after="120"/>
              <w:rPr>
                <w:color w:val="000000"/>
              </w:rPr>
            </w:pPr>
            <w:r w:rsidRPr="004B0703">
              <w:rPr>
                <w:color w:val="000000"/>
              </w:rPr>
              <w:t>Have met the goal requirements</w:t>
            </w:r>
          </w:p>
          <w:p w14:paraId="16CB882D" w14:textId="31885EF4" w:rsidR="009354E9" w:rsidRPr="00A52084" w:rsidRDefault="009354E9" w:rsidP="00CC1043">
            <w:pPr>
              <w:pStyle w:val="ListParagraph"/>
              <w:numPr>
                <w:ilvl w:val="0"/>
                <w:numId w:val="18"/>
              </w:numPr>
              <w:spacing w:before="120" w:after="120"/>
              <w:rPr>
                <w:rFonts w:cs="Calibri"/>
              </w:rPr>
            </w:pPr>
            <w:proofErr w:type="gramStart"/>
            <w:r w:rsidRPr="004B0703">
              <w:rPr>
                <w:color w:val="000000"/>
              </w:rPr>
              <w:t>Have</w:t>
            </w:r>
            <w:proofErr w:type="gramEnd"/>
            <w:r w:rsidRPr="004B0703">
              <w:rPr>
                <w:color w:val="000000"/>
              </w:rPr>
              <w:t xml:space="preserve"> completed the Learning Hub Courses for </w:t>
            </w:r>
            <w:proofErr w:type="spellStart"/>
            <w:r>
              <w:rPr>
                <w:color w:val="000000"/>
              </w:rPr>
              <w:t>eCare</w:t>
            </w:r>
            <w:proofErr w:type="spellEnd"/>
            <w:r>
              <w:rPr>
                <w:color w:val="000000"/>
              </w:rPr>
              <w:t xml:space="preserve"> Rep I to </w:t>
            </w:r>
            <w:proofErr w:type="spellStart"/>
            <w:r>
              <w:rPr>
                <w:color w:val="000000"/>
              </w:rPr>
              <w:t>eCare</w:t>
            </w:r>
            <w:proofErr w:type="spellEnd"/>
            <w:r>
              <w:rPr>
                <w:color w:val="000000"/>
              </w:rPr>
              <w:t xml:space="preserve"> Rep II</w:t>
            </w:r>
          </w:p>
        </w:tc>
        <w:tc>
          <w:tcPr>
            <w:tcW w:w="1675" w:type="pct"/>
          </w:tcPr>
          <w:p w14:paraId="57AF7DD2" w14:textId="77777777" w:rsidR="009354E9" w:rsidRPr="00F021E3" w:rsidRDefault="009354E9" w:rsidP="00CC1043">
            <w:pPr>
              <w:spacing w:before="120" w:after="120"/>
              <w:rPr>
                <w:color w:val="000000"/>
              </w:rPr>
            </w:pPr>
            <w:r w:rsidRPr="00F021E3">
              <w:rPr>
                <w:color w:val="000000"/>
              </w:rPr>
              <w:t>Must meet the criteria below for 5 of 6 prior months.</w:t>
            </w:r>
          </w:p>
          <w:p w14:paraId="027AD090" w14:textId="77777777" w:rsidR="009354E9" w:rsidRPr="00F021E3" w:rsidRDefault="009354E9" w:rsidP="00CC1043">
            <w:pPr>
              <w:numPr>
                <w:ilvl w:val="0"/>
                <w:numId w:val="20"/>
              </w:numPr>
              <w:spacing w:before="120" w:after="120"/>
              <w:ind w:left="721"/>
              <w:rPr>
                <w:color w:val="000000"/>
              </w:rPr>
            </w:pPr>
            <w:r w:rsidRPr="00F021E3">
              <w:rPr>
                <w:color w:val="000000"/>
              </w:rPr>
              <w:t xml:space="preserve">Must have </w:t>
            </w:r>
            <w:proofErr w:type="gramStart"/>
            <w:r w:rsidRPr="00F021E3">
              <w:rPr>
                <w:color w:val="000000"/>
              </w:rPr>
              <w:t>a Yes</w:t>
            </w:r>
            <w:proofErr w:type="gramEnd"/>
            <w:r w:rsidRPr="00F021E3">
              <w:rPr>
                <w:color w:val="000000"/>
              </w:rPr>
              <w:t>/Pending for at least 5 Heart at Work Behaviors</w:t>
            </w:r>
          </w:p>
          <w:p w14:paraId="3C9FCDAC" w14:textId="77777777" w:rsidR="009354E9" w:rsidRPr="00F021E3" w:rsidRDefault="009354E9" w:rsidP="00CC1043">
            <w:pPr>
              <w:numPr>
                <w:ilvl w:val="0"/>
                <w:numId w:val="20"/>
              </w:numPr>
              <w:spacing w:before="120" w:after="120"/>
              <w:ind w:left="721"/>
              <w:rPr>
                <w:color w:val="000000"/>
              </w:rPr>
            </w:pPr>
            <w:r w:rsidRPr="00F021E3">
              <w:rPr>
                <w:color w:val="000000"/>
              </w:rPr>
              <w:t xml:space="preserve">Must have an HP or better in Quality </w:t>
            </w:r>
          </w:p>
          <w:p w14:paraId="59A22384" w14:textId="77777777" w:rsidR="009354E9" w:rsidRPr="00F021E3" w:rsidRDefault="009354E9" w:rsidP="00CC1043">
            <w:pPr>
              <w:numPr>
                <w:ilvl w:val="0"/>
                <w:numId w:val="20"/>
              </w:numPr>
              <w:spacing w:before="120" w:after="120"/>
              <w:ind w:left="721"/>
              <w:rPr>
                <w:color w:val="000000"/>
                <w:u w:val="single"/>
              </w:rPr>
            </w:pPr>
            <w:r w:rsidRPr="00F021E3">
              <w:rPr>
                <w:color w:val="000000"/>
              </w:rPr>
              <w:t>Must have an SP or better in other 3 goals</w:t>
            </w:r>
          </w:p>
          <w:p w14:paraId="1933E79D" w14:textId="77777777" w:rsidR="009354E9" w:rsidRPr="00F021E3" w:rsidRDefault="009354E9" w:rsidP="00CC1043">
            <w:pPr>
              <w:spacing w:before="120" w:after="120"/>
              <w:rPr>
                <w:color w:val="000000"/>
              </w:rPr>
            </w:pPr>
          </w:p>
        </w:tc>
      </w:tr>
      <w:tr w:rsidR="00CC1043" w14:paraId="13BC406A" w14:textId="77777777" w:rsidTr="009354E9">
        <w:trPr>
          <w:trHeight w:val="1584"/>
        </w:trPr>
        <w:tc>
          <w:tcPr>
            <w:tcW w:w="261" w:type="pct"/>
            <w:tcBorders>
              <w:top w:val="single" w:sz="4" w:space="0" w:color="auto"/>
              <w:left w:val="single" w:sz="4" w:space="0" w:color="auto"/>
              <w:bottom w:val="single" w:sz="4" w:space="0" w:color="auto"/>
              <w:right w:val="single" w:sz="4" w:space="0" w:color="auto"/>
            </w:tcBorders>
          </w:tcPr>
          <w:p w14:paraId="14E2243E" w14:textId="04F95FC6" w:rsidR="00CC1043" w:rsidRPr="00D4589B" w:rsidRDefault="00CC1043" w:rsidP="00CC1043">
            <w:pPr>
              <w:spacing w:before="120" w:after="120"/>
              <w:jc w:val="center"/>
              <w:rPr>
                <w:b/>
              </w:rPr>
            </w:pPr>
            <w:r>
              <w:rPr>
                <w:b/>
              </w:rPr>
              <w:t>3</w:t>
            </w:r>
          </w:p>
        </w:tc>
        <w:tc>
          <w:tcPr>
            <w:tcW w:w="1301" w:type="pct"/>
            <w:tcBorders>
              <w:top w:val="single" w:sz="4" w:space="0" w:color="auto"/>
              <w:left w:val="single" w:sz="4" w:space="0" w:color="auto"/>
              <w:bottom w:val="single" w:sz="4" w:space="0" w:color="auto"/>
              <w:right w:val="single" w:sz="4" w:space="0" w:color="auto"/>
            </w:tcBorders>
          </w:tcPr>
          <w:p w14:paraId="6CFFC38B" w14:textId="36496332" w:rsidR="00CC1043" w:rsidRDefault="009354E9" w:rsidP="00CC1043">
            <w:pPr>
              <w:spacing w:before="120" w:after="120"/>
              <w:rPr>
                <w:b/>
              </w:rPr>
            </w:pPr>
            <w:r>
              <w:rPr>
                <w:noProof/>
              </w:rPr>
              <w:drawing>
                <wp:inline distT="0" distB="0" distL="0" distR="0" wp14:anchorId="386F52C0" wp14:editId="21C66492">
                  <wp:extent cx="304762" cy="304762"/>
                  <wp:effectExtent l="0" t="0" r="635" b="635"/>
                  <wp:docPr id="1530122816" name="Picture 153012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8716" name="Picture 2584587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C1043">
              <w:rPr>
                <w:b/>
              </w:rPr>
              <w:t xml:space="preserve">I want to </w:t>
            </w:r>
            <w:proofErr w:type="gramStart"/>
            <w:r w:rsidR="00CC1043">
              <w:rPr>
                <w:b/>
              </w:rPr>
              <w:t>promote to</w:t>
            </w:r>
            <w:proofErr w:type="gramEnd"/>
            <w:r w:rsidR="00CC1043">
              <w:rPr>
                <w:b/>
              </w:rPr>
              <w:t xml:space="preserve"> </w:t>
            </w:r>
            <w:proofErr w:type="spellStart"/>
            <w:r w:rsidR="00CC1043">
              <w:rPr>
                <w:b/>
              </w:rPr>
              <w:t>eCare</w:t>
            </w:r>
            <w:proofErr w:type="spellEnd"/>
            <w:r w:rsidR="00CC1043">
              <w:rPr>
                <w:b/>
              </w:rPr>
              <w:t xml:space="preserve"> Rep II, CCR II, and/or CCR III. What do I do?</w:t>
            </w:r>
          </w:p>
        </w:tc>
        <w:tc>
          <w:tcPr>
            <w:tcW w:w="3438" w:type="pct"/>
            <w:gridSpan w:val="3"/>
            <w:tcBorders>
              <w:top w:val="single" w:sz="4" w:space="0" w:color="auto"/>
              <w:left w:val="single" w:sz="4" w:space="0" w:color="auto"/>
              <w:bottom w:val="single" w:sz="4" w:space="0" w:color="auto"/>
              <w:right w:val="single" w:sz="4" w:space="0" w:color="auto"/>
            </w:tcBorders>
          </w:tcPr>
          <w:p w14:paraId="2AFD9226" w14:textId="778BC30C" w:rsidR="00CC1043" w:rsidRDefault="00CC1043" w:rsidP="00CC1043">
            <w:pPr>
              <w:spacing w:before="120" w:after="120"/>
              <w:rPr>
                <w:b/>
                <w:bCs/>
              </w:rPr>
            </w:pPr>
            <w:r>
              <w:t xml:space="preserve">That’s great news! Your progress and eligibility should be a part of your regular one on one session with your supervisor. Once you have met the criteria to promote, your supervisor will complete the interest form and </w:t>
            </w:r>
            <w:proofErr w:type="gramStart"/>
            <w:r>
              <w:t>submit</w:t>
            </w:r>
            <w:proofErr w:type="gramEnd"/>
            <w:r>
              <w:t xml:space="preserve"> to management for review.</w:t>
            </w:r>
          </w:p>
          <w:p w14:paraId="5CDC8FF3" w14:textId="77777777" w:rsidR="00CC1043" w:rsidRDefault="00CC1043" w:rsidP="00CC1043">
            <w:pPr>
              <w:spacing w:before="120" w:after="120"/>
              <w:ind w:left="180"/>
            </w:pPr>
          </w:p>
          <w:p w14:paraId="3BB46CBC" w14:textId="5E37F419" w:rsidR="00CC1043" w:rsidRPr="00675176" w:rsidRDefault="00CC1043" w:rsidP="00CC1043">
            <w:pPr>
              <w:spacing w:before="120" w:after="120"/>
            </w:pPr>
            <w:r>
              <w:t xml:space="preserve">Be sure to review our </w:t>
            </w:r>
            <w:proofErr w:type="spellStart"/>
            <w:r>
              <w:t>A2E</w:t>
            </w:r>
            <w:proofErr w:type="spellEnd"/>
            <w:r>
              <w:t xml:space="preserve"> landing page in Learning Hub under My Projects&gt;Ascension to Excellence (</w:t>
            </w:r>
            <w:proofErr w:type="spellStart"/>
            <w:r>
              <w:t>A2E</w:t>
            </w:r>
            <w:proofErr w:type="spellEnd"/>
            <w:r>
              <w:t xml:space="preserve">). </w:t>
            </w:r>
          </w:p>
        </w:tc>
      </w:tr>
      <w:tr w:rsidR="00CC1043" w14:paraId="4268E2AB" w14:textId="77777777" w:rsidTr="009354E9">
        <w:trPr>
          <w:trHeight w:val="1368"/>
        </w:trPr>
        <w:tc>
          <w:tcPr>
            <w:tcW w:w="261" w:type="pct"/>
            <w:tcBorders>
              <w:top w:val="single" w:sz="4" w:space="0" w:color="auto"/>
              <w:left w:val="single" w:sz="4" w:space="0" w:color="auto"/>
              <w:bottom w:val="single" w:sz="4" w:space="0" w:color="auto"/>
              <w:right w:val="single" w:sz="4" w:space="0" w:color="auto"/>
            </w:tcBorders>
          </w:tcPr>
          <w:p w14:paraId="6656DC4B" w14:textId="27805666" w:rsidR="00CC1043" w:rsidRPr="00D4589B" w:rsidRDefault="00CC1043" w:rsidP="00CC1043">
            <w:pPr>
              <w:spacing w:before="120" w:after="120"/>
              <w:jc w:val="center"/>
              <w:rPr>
                <w:b/>
              </w:rPr>
            </w:pPr>
            <w:r>
              <w:rPr>
                <w:b/>
              </w:rPr>
              <w:t>4</w:t>
            </w:r>
          </w:p>
        </w:tc>
        <w:tc>
          <w:tcPr>
            <w:tcW w:w="1301" w:type="pct"/>
            <w:tcBorders>
              <w:top w:val="single" w:sz="4" w:space="0" w:color="auto"/>
              <w:left w:val="single" w:sz="4" w:space="0" w:color="auto"/>
              <w:bottom w:val="single" w:sz="4" w:space="0" w:color="auto"/>
              <w:right w:val="single" w:sz="4" w:space="0" w:color="auto"/>
            </w:tcBorders>
          </w:tcPr>
          <w:p w14:paraId="7041CDDE" w14:textId="33399269" w:rsidR="00CC1043" w:rsidRDefault="009354E9" w:rsidP="00CC1043">
            <w:pPr>
              <w:spacing w:before="120" w:after="120"/>
              <w:rPr>
                <w:b/>
              </w:rPr>
            </w:pPr>
            <w:r>
              <w:rPr>
                <w:noProof/>
              </w:rPr>
              <w:drawing>
                <wp:inline distT="0" distB="0" distL="0" distR="0" wp14:anchorId="6AE6BB07" wp14:editId="30A1F886">
                  <wp:extent cx="304762" cy="304762"/>
                  <wp:effectExtent l="0" t="0" r="635" b="635"/>
                  <wp:docPr id="258458716" name="Picture 258458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58716" name="Picture 258458716"/>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C1043">
              <w:rPr>
                <w:b/>
              </w:rPr>
              <w:t xml:space="preserve">If I have met different metrics on average for 4 of 6 months or 5 out of 6 months, will that qualify me for the ascension of CCRI to </w:t>
            </w:r>
            <w:proofErr w:type="spellStart"/>
            <w:r w:rsidR="00CC1043">
              <w:rPr>
                <w:b/>
              </w:rPr>
              <w:t>CCRII</w:t>
            </w:r>
            <w:proofErr w:type="spellEnd"/>
            <w:r w:rsidR="00CC1043">
              <w:rPr>
                <w:b/>
              </w:rPr>
              <w:t xml:space="preserve">, </w:t>
            </w:r>
            <w:proofErr w:type="spellStart"/>
            <w:r w:rsidR="00CC1043">
              <w:rPr>
                <w:b/>
              </w:rPr>
              <w:t>CCRII</w:t>
            </w:r>
            <w:proofErr w:type="spellEnd"/>
            <w:r w:rsidR="00CC1043">
              <w:rPr>
                <w:b/>
              </w:rPr>
              <w:t xml:space="preserve"> to </w:t>
            </w:r>
            <w:proofErr w:type="spellStart"/>
            <w:r w:rsidR="00CC1043">
              <w:rPr>
                <w:b/>
              </w:rPr>
              <w:t>CCRIII</w:t>
            </w:r>
            <w:proofErr w:type="spellEnd"/>
            <w:r w:rsidR="00CC1043">
              <w:rPr>
                <w:b/>
              </w:rPr>
              <w:t xml:space="preserve">, or </w:t>
            </w:r>
            <w:proofErr w:type="spellStart"/>
            <w:r w:rsidR="00CC1043">
              <w:rPr>
                <w:b/>
              </w:rPr>
              <w:t>eCare</w:t>
            </w:r>
            <w:proofErr w:type="spellEnd"/>
            <w:r w:rsidR="00CC1043">
              <w:rPr>
                <w:b/>
              </w:rPr>
              <w:t xml:space="preserve"> Rep I to </w:t>
            </w:r>
            <w:proofErr w:type="spellStart"/>
            <w:r w:rsidR="00CC1043">
              <w:rPr>
                <w:b/>
              </w:rPr>
              <w:t>eCare</w:t>
            </w:r>
            <w:proofErr w:type="spellEnd"/>
            <w:r w:rsidR="00CC1043">
              <w:rPr>
                <w:b/>
              </w:rPr>
              <w:t xml:space="preserve"> Rep II?</w:t>
            </w:r>
          </w:p>
        </w:tc>
        <w:tc>
          <w:tcPr>
            <w:tcW w:w="3438" w:type="pct"/>
            <w:gridSpan w:val="3"/>
            <w:tcBorders>
              <w:top w:val="single" w:sz="4" w:space="0" w:color="auto"/>
              <w:left w:val="single" w:sz="4" w:space="0" w:color="auto"/>
              <w:bottom w:val="single" w:sz="4" w:space="0" w:color="auto"/>
              <w:right w:val="single" w:sz="4" w:space="0" w:color="auto"/>
            </w:tcBorders>
          </w:tcPr>
          <w:p w14:paraId="2783A99F" w14:textId="4ED7BDA5" w:rsidR="00CC1043" w:rsidRDefault="00CC1043" w:rsidP="00CC1043">
            <w:pPr>
              <w:spacing w:before="120" w:after="120"/>
            </w:pPr>
            <w:r>
              <w:t xml:space="preserve">You do not have to meet the same metrics from month to month to qualify. We will take a “mix and match” approach, meaning </w:t>
            </w:r>
            <w:proofErr w:type="gramStart"/>
            <w:r>
              <w:t>as long as</w:t>
            </w:r>
            <w:proofErr w:type="gramEnd"/>
            <w:r>
              <w:t xml:space="preserve"> you are meeting the correct number of metrics consistently from month to month during the full duration you will qualify. </w:t>
            </w:r>
          </w:p>
          <w:p w14:paraId="38D3C06E" w14:textId="77777777" w:rsidR="00CC1043" w:rsidRDefault="00CC1043" w:rsidP="00CC1043">
            <w:pPr>
              <w:spacing w:before="120" w:after="120"/>
            </w:pPr>
          </w:p>
          <w:p w14:paraId="022E39B7" w14:textId="626FAEB7" w:rsidR="00CC1043" w:rsidRPr="00C520AD" w:rsidRDefault="00CC1043" w:rsidP="00CC1043">
            <w:pPr>
              <w:spacing w:before="120" w:after="120"/>
            </w:pPr>
            <w:r>
              <w:t xml:space="preserve">Be sure to review the </w:t>
            </w:r>
            <w:proofErr w:type="spellStart"/>
            <w:r>
              <w:t>A2E</w:t>
            </w:r>
            <w:proofErr w:type="spellEnd"/>
            <w:r>
              <w:t xml:space="preserve"> landing page in Learning Hub under My Projects&gt;Ascension to Excellence (</w:t>
            </w:r>
            <w:proofErr w:type="spellStart"/>
            <w:r>
              <w:t>A2E</w:t>
            </w:r>
            <w:proofErr w:type="spellEnd"/>
            <w:r>
              <w:t>) and partner with your supervisor to make sure you’re on track.</w:t>
            </w:r>
          </w:p>
        </w:tc>
      </w:tr>
      <w:tr w:rsidR="00CC1043" w14:paraId="1223AEAE" w14:textId="77777777" w:rsidTr="009354E9">
        <w:trPr>
          <w:trHeight w:val="432"/>
        </w:trPr>
        <w:tc>
          <w:tcPr>
            <w:tcW w:w="261" w:type="pct"/>
            <w:tcBorders>
              <w:top w:val="single" w:sz="4" w:space="0" w:color="auto"/>
              <w:left w:val="single" w:sz="4" w:space="0" w:color="auto"/>
              <w:bottom w:val="single" w:sz="4" w:space="0" w:color="auto"/>
              <w:right w:val="single" w:sz="4" w:space="0" w:color="auto"/>
            </w:tcBorders>
          </w:tcPr>
          <w:p w14:paraId="40BF5AA9" w14:textId="33FD31C4" w:rsidR="00CC1043" w:rsidRPr="00D4589B" w:rsidRDefault="00CC1043" w:rsidP="00CC1043">
            <w:pPr>
              <w:autoSpaceDE w:val="0"/>
              <w:autoSpaceDN w:val="0"/>
              <w:adjustRightInd w:val="0"/>
              <w:spacing w:before="120" w:after="120"/>
              <w:jc w:val="center"/>
              <w:rPr>
                <w:rFonts w:cs="Calibri"/>
                <w:b/>
              </w:rPr>
            </w:pPr>
            <w:r>
              <w:rPr>
                <w:rFonts w:cs="Calibri"/>
                <w:b/>
              </w:rPr>
              <w:t>5</w:t>
            </w:r>
          </w:p>
        </w:tc>
        <w:tc>
          <w:tcPr>
            <w:tcW w:w="1301" w:type="pct"/>
            <w:tcBorders>
              <w:top w:val="single" w:sz="4" w:space="0" w:color="auto"/>
              <w:left w:val="single" w:sz="4" w:space="0" w:color="auto"/>
              <w:bottom w:val="single" w:sz="4" w:space="0" w:color="auto"/>
              <w:right w:val="single" w:sz="4" w:space="0" w:color="auto"/>
            </w:tcBorders>
          </w:tcPr>
          <w:p w14:paraId="5F7D6B3B" w14:textId="61459560" w:rsidR="00CC1043" w:rsidRDefault="00CC1043" w:rsidP="00CC1043">
            <w:pPr>
              <w:autoSpaceDE w:val="0"/>
              <w:autoSpaceDN w:val="0"/>
              <w:adjustRightInd w:val="0"/>
              <w:spacing w:before="120" w:after="120"/>
              <w:rPr>
                <w:rFonts w:cs="Calibri"/>
                <w:b/>
                <w:bCs/>
              </w:rPr>
            </w:pPr>
            <w:r>
              <w:rPr>
                <w:rFonts w:cs="Calibri"/>
                <w:b/>
                <w:bCs/>
              </w:rPr>
              <w:t xml:space="preserve">What if I’m on a special project? Does that disqualify me </w:t>
            </w:r>
            <w:proofErr w:type="gramStart"/>
            <w:r>
              <w:rPr>
                <w:rFonts w:cs="Calibri"/>
                <w:b/>
                <w:bCs/>
              </w:rPr>
              <w:t>for</w:t>
            </w:r>
            <w:proofErr w:type="gramEnd"/>
            <w:r>
              <w:rPr>
                <w:rFonts w:cs="Calibri"/>
                <w:b/>
                <w:bCs/>
              </w:rPr>
              <w:t xml:space="preserve"> the </w:t>
            </w:r>
            <w:proofErr w:type="spellStart"/>
            <w:r>
              <w:rPr>
                <w:rFonts w:cs="Calibri"/>
                <w:b/>
                <w:bCs/>
              </w:rPr>
              <w:t>A2E</w:t>
            </w:r>
            <w:proofErr w:type="spellEnd"/>
            <w:r>
              <w:rPr>
                <w:rFonts w:cs="Calibri"/>
                <w:b/>
                <w:bCs/>
              </w:rPr>
              <w:t xml:space="preserve"> Program while I’m helping the business elsewhere?</w:t>
            </w:r>
          </w:p>
        </w:tc>
        <w:tc>
          <w:tcPr>
            <w:tcW w:w="3438" w:type="pct"/>
            <w:gridSpan w:val="3"/>
            <w:tcBorders>
              <w:top w:val="single" w:sz="4" w:space="0" w:color="auto"/>
              <w:left w:val="single" w:sz="4" w:space="0" w:color="auto"/>
              <w:bottom w:val="single" w:sz="4" w:space="0" w:color="auto"/>
              <w:right w:val="single" w:sz="4" w:space="0" w:color="auto"/>
            </w:tcBorders>
            <w:hideMark/>
          </w:tcPr>
          <w:p w14:paraId="698799C9" w14:textId="3F7563B8" w:rsidR="00CC1043" w:rsidRDefault="00CC1043" w:rsidP="00CC1043">
            <w:pPr>
              <w:autoSpaceDE w:val="0"/>
              <w:autoSpaceDN w:val="0"/>
              <w:adjustRightInd w:val="0"/>
              <w:spacing w:before="120" w:after="120"/>
              <w:rPr>
                <w:rFonts w:cs="Calibri"/>
                <w:lang w:val="en"/>
              </w:rPr>
            </w:pPr>
            <w:r>
              <w:rPr>
                <w:rFonts w:cs="Calibri"/>
              </w:rPr>
              <w:t xml:space="preserve">The ability to work on a special project will not impact your ability to promote within the normal timeframe. Your supervisor will work with your project lead to ensure that you are meeting any deliverables for the timeframe you have been on the project. </w:t>
            </w:r>
          </w:p>
        </w:tc>
      </w:tr>
      <w:tr w:rsidR="00CC1043" w14:paraId="7450B16D" w14:textId="77777777" w:rsidTr="009354E9">
        <w:trPr>
          <w:trHeight w:val="2256"/>
        </w:trPr>
        <w:tc>
          <w:tcPr>
            <w:tcW w:w="261" w:type="pct"/>
            <w:tcBorders>
              <w:top w:val="single" w:sz="4" w:space="0" w:color="auto"/>
              <w:left w:val="single" w:sz="4" w:space="0" w:color="auto"/>
              <w:bottom w:val="single" w:sz="4" w:space="0" w:color="auto"/>
              <w:right w:val="single" w:sz="4" w:space="0" w:color="auto"/>
            </w:tcBorders>
          </w:tcPr>
          <w:p w14:paraId="72D79836" w14:textId="53E91615" w:rsidR="00CC1043" w:rsidRPr="00D4589B" w:rsidRDefault="00CC1043" w:rsidP="00CC1043">
            <w:pPr>
              <w:spacing w:before="120" w:after="120"/>
              <w:jc w:val="center"/>
              <w:rPr>
                <w:b/>
              </w:rPr>
            </w:pPr>
            <w:r>
              <w:rPr>
                <w:b/>
              </w:rPr>
              <w:t>6</w:t>
            </w:r>
          </w:p>
        </w:tc>
        <w:tc>
          <w:tcPr>
            <w:tcW w:w="1301" w:type="pct"/>
            <w:tcBorders>
              <w:top w:val="single" w:sz="4" w:space="0" w:color="auto"/>
              <w:left w:val="single" w:sz="4" w:space="0" w:color="auto"/>
              <w:bottom w:val="single" w:sz="4" w:space="0" w:color="auto"/>
              <w:right w:val="single" w:sz="4" w:space="0" w:color="auto"/>
            </w:tcBorders>
          </w:tcPr>
          <w:p w14:paraId="231786B9" w14:textId="45FC5408" w:rsidR="00CC1043" w:rsidRDefault="00CC1043" w:rsidP="00CC1043">
            <w:pPr>
              <w:spacing w:before="120" w:after="120"/>
              <w:rPr>
                <w:b/>
              </w:rPr>
            </w:pPr>
            <w:r>
              <w:rPr>
                <w:b/>
              </w:rPr>
              <w:t xml:space="preserve">Why should I promote through </w:t>
            </w:r>
            <w:proofErr w:type="spellStart"/>
            <w:r>
              <w:rPr>
                <w:b/>
              </w:rPr>
              <w:t>A2E</w:t>
            </w:r>
            <w:proofErr w:type="spellEnd"/>
            <w:r>
              <w:rPr>
                <w:b/>
              </w:rPr>
              <w:t>? Doesn’t everything stay the same?</w:t>
            </w:r>
          </w:p>
        </w:tc>
        <w:tc>
          <w:tcPr>
            <w:tcW w:w="3438" w:type="pct"/>
            <w:gridSpan w:val="3"/>
            <w:tcBorders>
              <w:top w:val="single" w:sz="4" w:space="0" w:color="auto"/>
              <w:left w:val="single" w:sz="4" w:space="0" w:color="auto"/>
              <w:bottom w:val="single" w:sz="4" w:space="0" w:color="auto"/>
              <w:right w:val="single" w:sz="4" w:space="0" w:color="auto"/>
            </w:tcBorders>
          </w:tcPr>
          <w:p w14:paraId="5E21FECC" w14:textId="786D2F0E" w:rsidR="00CC1043" w:rsidRPr="00970171" w:rsidRDefault="00CC1043" w:rsidP="00CC1043">
            <w:pPr>
              <w:spacing w:before="120" w:after="120"/>
              <w:rPr>
                <w:b/>
              </w:rPr>
            </w:pPr>
            <w:r>
              <w:t xml:space="preserve">There are several. reasons why we want our colleagues to promote through </w:t>
            </w:r>
            <w:proofErr w:type="spellStart"/>
            <w:r>
              <w:t>A2E</w:t>
            </w:r>
            <w:proofErr w:type="spellEnd"/>
            <w:r>
              <w:t xml:space="preserve">:  </w:t>
            </w:r>
          </w:p>
          <w:p w14:paraId="5938BC96" w14:textId="47723F61" w:rsidR="00CC1043" w:rsidRDefault="00CC1043" w:rsidP="00CC1043">
            <w:pPr>
              <w:pStyle w:val="ListParagraph"/>
              <w:numPr>
                <w:ilvl w:val="0"/>
                <w:numId w:val="4"/>
              </w:numPr>
              <w:spacing w:before="120" w:after="120"/>
            </w:pPr>
            <w:r>
              <w:t xml:space="preserve">First, we want all our colleagues to have the chance to build their skills and share their expertise with peers. We rely on </w:t>
            </w:r>
            <w:proofErr w:type="spellStart"/>
            <w:r>
              <w:t>CCRII</w:t>
            </w:r>
            <w:proofErr w:type="spellEnd"/>
            <w:r>
              <w:t xml:space="preserve"> and </w:t>
            </w:r>
            <w:proofErr w:type="spellStart"/>
            <w:r>
              <w:t>CCRIII</w:t>
            </w:r>
            <w:proofErr w:type="spellEnd"/>
            <w:r>
              <w:t xml:space="preserve"> agents to help with stretch projects such as LA (Learning Advocates) for our new hires and SME (Subject Matter Experts) for times when we need floor walkers or additional coverage to answer questions. </w:t>
            </w:r>
          </w:p>
          <w:p w14:paraId="68D1F288" w14:textId="77777777" w:rsidR="00CC1043" w:rsidRDefault="00CC1043" w:rsidP="00CC1043">
            <w:pPr>
              <w:pStyle w:val="ListParagraph"/>
              <w:spacing w:before="120" w:after="120"/>
            </w:pPr>
          </w:p>
          <w:p w14:paraId="42EC0A37" w14:textId="6288B0CA" w:rsidR="00CC1043" w:rsidRDefault="00CC1043" w:rsidP="00CC1043">
            <w:pPr>
              <w:pStyle w:val="ListParagraph"/>
              <w:numPr>
                <w:ilvl w:val="0"/>
                <w:numId w:val="4"/>
              </w:numPr>
              <w:spacing w:before="120" w:after="120"/>
            </w:pPr>
            <w:r>
              <w:t xml:space="preserve">Secondly, promoting through </w:t>
            </w:r>
            <w:proofErr w:type="spellStart"/>
            <w:r>
              <w:t>A2E</w:t>
            </w:r>
            <w:proofErr w:type="spellEnd"/>
            <w:r>
              <w:t xml:space="preserve"> also helps you earn extra money! There isn’t a person around who has ever said “No, please don’t give me more money…” We want colleagues to be well compensated for the exceptional job you do each day!</w:t>
            </w:r>
          </w:p>
        </w:tc>
      </w:tr>
      <w:tr w:rsidR="00CC1043" w14:paraId="59CC6DEF" w14:textId="77777777" w:rsidTr="009354E9">
        <w:trPr>
          <w:trHeight w:val="100"/>
        </w:trPr>
        <w:tc>
          <w:tcPr>
            <w:tcW w:w="261" w:type="pct"/>
            <w:tcBorders>
              <w:top w:val="nil"/>
              <w:left w:val="single" w:sz="4" w:space="0" w:color="auto"/>
              <w:bottom w:val="single" w:sz="4" w:space="0" w:color="auto"/>
              <w:right w:val="single" w:sz="4" w:space="0" w:color="auto"/>
            </w:tcBorders>
          </w:tcPr>
          <w:p w14:paraId="6285AE24" w14:textId="3AF546CF" w:rsidR="00CC1043" w:rsidRPr="00D4589B" w:rsidRDefault="00CC1043" w:rsidP="00CC1043">
            <w:pPr>
              <w:spacing w:before="120" w:after="120"/>
              <w:jc w:val="center"/>
              <w:rPr>
                <w:b/>
              </w:rPr>
            </w:pPr>
            <w:r>
              <w:rPr>
                <w:b/>
              </w:rPr>
              <w:t>7</w:t>
            </w:r>
          </w:p>
        </w:tc>
        <w:tc>
          <w:tcPr>
            <w:tcW w:w="1301" w:type="pct"/>
            <w:tcBorders>
              <w:top w:val="nil"/>
              <w:left w:val="single" w:sz="4" w:space="0" w:color="auto"/>
              <w:bottom w:val="single" w:sz="4" w:space="0" w:color="auto"/>
              <w:right w:val="single" w:sz="4" w:space="0" w:color="auto"/>
            </w:tcBorders>
          </w:tcPr>
          <w:p w14:paraId="6959A4D0" w14:textId="1F7AF700" w:rsidR="00CC1043" w:rsidRDefault="00CC1043" w:rsidP="00CC1043">
            <w:pPr>
              <w:spacing w:before="120" w:after="120"/>
              <w:rPr>
                <w:b/>
              </w:rPr>
            </w:pPr>
            <w:r>
              <w:rPr>
                <w:b/>
              </w:rPr>
              <w:t xml:space="preserve">Is there anything that could prevent me from </w:t>
            </w:r>
            <w:proofErr w:type="gramStart"/>
            <w:r>
              <w:rPr>
                <w:b/>
              </w:rPr>
              <w:t>promoting</w:t>
            </w:r>
            <w:proofErr w:type="gramEnd"/>
            <w:r>
              <w:rPr>
                <w:b/>
              </w:rPr>
              <w:t xml:space="preserve"> through the </w:t>
            </w:r>
            <w:proofErr w:type="spellStart"/>
            <w:r>
              <w:rPr>
                <w:b/>
              </w:rPr>
              <w:t>A2E</w:t>
            </w:r>
            <w:proofErr w:type="spellEnd"/>
            <w:r>
              <w:rPr>
                <w:b/>
              </w:rPr>
              <w:t xml:space="preserve"> program?</w:t>
            </w:r>
          </w:p>
        </w:tc>
        <w:tc>
          <w:tcPr>
            <w:tcW w:w="3438" w:type="pct"/>
            <w:gridSpan w:val="3"/>
            <w:tcBorders>
              <w:top w:val="nil"/>
              <w:left w:val="single" w:sz="4" w:space="0" w:color="auto"/>
              <w:bottom w:val="single" w:sz="4" w:space="0" w:color="auto"/>
              <w:right w:val="single" w:sz="4" w:space="0" w:color="auto"/>
            </w:tcBorders>
          </w:tcPr>
          <w:p w14:paraId="2F14B2E1" w14:textId="77777777" w:rsidR="00CC1043" w:rsidRDefault="00CC1043" w:rsidP="00CC1043">
            <w:pPr>
              <w:spacing w:before="120" w:after="120"/>
            </w:pPr>
            <w:r>
              <w:t>In addition to making sure that you are meeting the above listed metrics, you should be in good standing.</w:t>
            </w:r>
          </w:p>
          <w:p w14:paraId="1BEDEB61" w14:textId="77777777" w:rsidR="00CC1043" w:rsidRDefault="00CC1043" w:rsidP="00CC1043">
            <w:pPr>
              <w:spacing w:before="120" w:after="120"/>
            </w:pPr>
          </w:p>
          <w:p w14:paraId="481F2A1E" w14:textId="7992DAA0" w:rsidR="00CC1043" w:rsidRDefault="00CC1043" w:rsidP="00CC1043">
            <w:pPr>
              <w:spacing w:before="120" w:after="120"/>
            </w:pPr>
            <w:r>
              <w:t xml:space="preserve">If you are on a level of counseling outside of level 1 for attendance, you will be disqualified for a total of three months for level I or II counseling (outside of attendance) and a total of six months for level III counseling. </w:t>
            </w:r>
          </w:p>
          <w:p w14:paraId="6E9FAC91" w14:textId="77777777" w:rsidR="00CC1043" w:rsidRDefault="00CC1043" w:rsidP="00CC1043">
            <w:pPr>
              <w:spacing w:before="120" w:after="120"/>
            </w:pPr>
          </w:p>
          <w:p w14:paraId="7EAC378D" w14:textId="559D06B3" w:rsidR="00CC1043" w:rsidRDefault="00CC1043" w:rsidP="00CC1043">
            <w:pPr>
              <w:spacing w:before="120" w:after="120"/>
              <w:rPr>
                <w:b/>
                <w:bCs/>
              </w:rPr>
            </w:pPr>
            <w:r>
              <w:rPr>
                <w:b/>
                <w:bCs/>
              </w:rPr>
              <w:t xml:space="preserve">Examples:  </w:t>
            </w:r>
          </w:p>
          <w:p w14:paraId="2FDC063F" w14:textId="13BEECCB" w:rsidR="00CC1043" w:rsidRDefault="00CC1043" w:rsidP="00CC1043">
            <w:pPr>
              <w:pStyle w:val="ListParagraph"/>
              <w:numPr>
                <w:ilvl w:val="0"/>
                <w:numId w:val="5"/>
              </w:numPr>
              <w:spacing w:before="120" w:after="120"/>
            </w:pPr>
            <w:r>
              <w:t xml:space="preserve">If on a Level I </w:t>
            </w:r>
            <w:proofErr w:type="gramStart"/>
            <w:r>
              <w:t>Counseling</w:t>
            </w:r>
            <w:proofErr w:type="gramEnd"/>
            <w:r>
              <w:t xml:space="preserve"> for attendance, there is no probationary period.</w:t>
            </w:r>
          </w:p>
          <w:p w14:paraId="26E879A0" w14:textId="1E8ED23C" w:rsidR="00CC1043" w:rsidRDefault="00CC1043" w:rsidP="00CC1043">
            <w:pPr>
              <w:pStyle w:val="ListParagraph"/>
              <w:numPr>
                <w:ilvl w:val="0"/>
                <w:numId w:val="5"/>
              </w:numPr>
              <w:spacing w:before="120" w:after="120"/>
            </w:pPr>
            <w:r>
              <w:t xml:space="preserve">If on a Level I </w:t>
            </w:r>
            <w:proofErr w:type="gramStart"/>
            <w:r>
              <w:t>Counseling</w:t>
            </w:r>
            <w:proofErr w:type="gramEnd"/>
            <w:r>
              <w:t xml:space="preserve"> for non-attendance related behaviors, there is a 3 month wait period.</w:t>
            </w:r>
          </w:p>
          <w:p w14:paraId="3F8EC7B1" w14:textId="11560693" w:rsidR="00CC1043" w:rsidRDefault="00CC1043" w:rsidP="00CC1043">
            <w:pPr>
              <w:pStyle w:val="ListParagraph"/>
              <w:numPr>
                <w:ilvl w:val="0"/>
                <w:numId w:val="5"/>
              </w:numPr>
              <w:spacing w:before="120" w:after="120"/>
            </w:pPr>
            <w:r>
              <w:t>If on a Level II Counseling for any reason, there is a 3 month wait period.</w:t>
            </w:r>
          </w:p>
          <w:p w14:paraId="638F9F99" w14:textId="5CA9420C" w:rsidR="00CC1043" w:rsidRDefault="00CC1043" w:rsidP="00CC1043">
            <w:pPr>
              <w:pStyle w:val="ListParagraph"/>
              <w:numPr>
                <w:ilvl w:val="0"/>
                <w:numId w:val="5"/>
              </w:numPr>
              <w:spacing w:before="120" w:after="120"/>
            </w:pPr>
            <w:r>
              <w:t xml:space="preserve">If on </w:t>
            </w:r>
            <w:proofErr w:type="gramStart"/>
            <w:r>
              <w:t>a level</w:t>
            </w:r>
            <w:proofErr w:type="gramEnd"/>
            <w:r>
              <w:t xml:space="preserve"> III Counseling for any reason, there is a </w:t>
            </w:r>
            <w:proofErr w:type="gramStart"/>
            <w:r>
              <w:t>6 month</w:t>
            </w:r>
            <w:proofErr w:type="gramEnd"/>
            <w:r>
              <w:t xml:space="preserve"> wait period.</w:t>
            </w:r>
          </w:p>
          <w:p w14:paraId="17EAA9AB" w14:textId="77777777" w:rsidR="00CC1043" w:rsidRDefault="00CC1043" w:rsidP="00CC1043">
            <w:pPr>
              <w:spacing w:before="120" w:after="120"/>
            </w:pPr>
          </w:p>
          <w:p w14:paraId="207BCCFB" w14:textId="77777777" w:rsidR="00CC1043" w:rsidRDefault="00CC1043" w:rsidP="00CC1043">
            <w:pPr>
              <w:spacing w:before="120" w:after="120"/>
            </w:pPr>
            <w:r>
              <w:t>Additionally, any level of counseling delivered in training/onboarding for behaviors outside of attendance will follow you to the floor and would apply to the scenarios above.</w:t>
            </w:r>
          </w:p>
          <w:p w14:paraId="48737414" w14:textId="77777777" w:rsidR="00CC1043" w:rsidRDefault="00CC1043" w:rsidP="00CC1043">
            <w:pPr>
              <w:spacing w:before="120" w:after="120"/>
            </w:pPr>
            <w:r>
              <w:t xml:space="preserve"> </w:t>
            </w:r>
          </w:p>
          <w:p w14:paraId="1038F444" w14:textId="77777777" w:rsidR="00CC1043" w:rsidRDefault="00CC1043" w:rsidP="00CC1043">
            <w:pPr>
              <w:spacing w:before="120" w:after="120"/>
            </w:pPr>
            <w:r>
              <w:t xml:space="preserve">The probationary period only </w:t>
            </w:r>
            <w:proofErr w:type="gramStart"/>
            <w:r>
              <w:t>impacts</w:t>
            </w:r>
            <w:proofErr w:type="gramEnd"/>
            <w:r>
              <w:t xml:space="preserve"> the submission date. </w:t>
            </w:r>
          </w:p>
          <w:p w14:paraId="73FF95BD" w14:textId="77777777" w:rsidR="00CC1043" w:rsidRDefault="00CC1043" w:rsidP="00CC1043">
            <w:pPr>
              <w:spacing w:before="120" w:after="120"/>
            </w:pPr>
          </w:p>
          <w:p w14:paraId="2F2066FA" w14:textId="7F6F1EEF" w:rsidR="00CC1043" w:rsidRPr="00CA61A0" w:rsidRDefault="00CC1043" w:rsidP="00CC1043">
            <w:pPr>
              <w:spacing w:before="120" w:after="120"/>
              <w:rPr>
                <w:b/>
                <w:bCs/>
              </w:rPr>
            </w:pPr>
            <w:r w:rsidRPr="00CA61A0">
              <w:rPr>
                <w:b/>
                <w:bCs/>
              </w:rPr>
              <w:t>Example</w:t>
            </w:r>
            <w:r>
              <w:rPr>
                <w:b/>
                <w:bCs/>
              </w:rPr>
              <w:t xml:space="preserve">:  </w:t>
            </w:r>
          </w:p>
          <w:p w14:paraId="2E7BADEF" w14:textId="2BC294A3" w:rsidR="00CC1043" w:rsidRDefault="00CC1043" w:rsidP="00CC1043">
            <w:pPr>
              <w:spacing w:before="120" w:after="120"/>
            </w:pPr>
            <w:r>
              <w:t xml:space="preserve">John Doe was ready to submit for </w:t>
            </w:r>
            <w:proofErr w:type="spellStart"/>
            <w:r>
              <w:t>A2E</w:t>
            </w:r>
            <w:proofErr w:type="spellEnd"/>
            <w:r>
              <w:t xml:space="preserve"> in January but was placed on a Level 2 Counseling on 1/1/25. They would not be able to submit for </w:t>
            </w:r>
            <w:proofErr w:type="spellStart"/>
            <w:r>
              <w:t>A2E</w:t>
            </w:r>
            <w:proofErr w:type="spellEnd"/>
            <w:r>
              <w:t xml:space="preserve"> until 4/1/25; however, they will still use the metrics from 1/1/25-4/1/25 for submission. Corrective counseling changes the eligible submission date, and all metrics have a 6-month lookback period from the new date of eligibility.</w:t>
            </w:r>
          </w:p>
        </w:tc>
      </w:tr>
      <w:tr w:rsidR="00CC1043" w14:paraId="541CA643" w14:textId="77777777" w:rsidTr="009354E9">
        <w:trPr>
          <w:trHeight w:val="100"/>
        </w:trPr>
        <w:tc>
          <w:tcPr>
            <w:tcW w:w="261" w:type="pct"/>
            <w:tcBorders>
              <w:top w:val="single" w:sz="4" w:space="0" w:color="auto"/>
              <w:left w:val="single" w:sz="4" w:space="0" w:color="auto"/>
              <w:bottom w:val="single" w:sz="4" w:space="0" w:color="auto"/>
              <w:right w:val="single" w:sz="4" w:space="0" w:color="auto"/>
            </w:tcBorders>
          </w:tcPr>
          <w:p w14:paraId="7E33F3BF" w14:textId="16548A91" w:rsidR="00CC1043" w:rsidRPr="00D4589B" w:rsidRDefault="00CC1043" w:rsidP="00CC1043">
            <w:pPr>
              <w:spacing w:before="120" w:after="120"/>
              <w:jc w:val="center"/>
              <w:rPr>
                <w:b/>
              </w:rPr>
            </w:pPr>
            <w:r>
              <w:rPr>
                <w:b/>
              </w:rPr>
              <w:t>8</w:t>
            </w:r>
          </w:p>
        </w:tc>
        <w:tc>
          <w:tcPr>
            <w:tcW w:w="1301" w:type="pct"/>
            <w:tcBorders>
              <w:top w:val="single" w:sz="4" w:space="0" w:color="auto"/>
              <w:left w:val="single" w:sz="4" w:space="0" w:color="auto"/>
              <w:bottom w:val="single" w:sz="4" w:space="0" w:color="auto"/>
              <w:right w:val="single" w:sz="4" w:space="0" w:color="auto"/>
            </w:tcBorders>
          </w:tcPr>
          <w:p w14:paraId="76AE7B0E" w14:textId="2CCF2F1E" w:rsidR="00CC1043" w:rsidRDefault="00CC1043" w:rsidP="00CC1043">
            <w:pPr>
              <w:spacing w:before="120" w:after="120"/>
              <w:rPr>
                <w:b/>
                <w:bCs/>
              </w:rPr>
            </w:pPr>
            <w:r>
              <w:rPr>
                <w:b/>
                <w:bCs/>
              </w:rPr>
              <w:t xml:space="preserve">If I did not ascend through the </w:t>
            </w:r>
            <w:proofErr w:type="spellStart"/>
            <w:r>
              <w:rPr>
                <w:b/>
                <w:bCs/>
              </w:rPr>
              <w:t>A2E</w:t>
            </w:r>
            <w:proofErr w:type="spellEnd"/>
            <w:r>
              <w:rPr>
                <w:b/>
                <w:bCs/>
              </w:rPr>
              <w:t xml:space="preserve"> program on the first attempt, what </w:t>
            </w:r>
            <w:proofErr w:type="gramStart"/>
            <w:r>
              <w:rPr>
                <w:b/>
                <w:bCs/>
              </w:rPr>
              <w:t>is</w:t>
            </w:r>
            <w:proofErr w:type="gramEnd"/>
            <w:r>
              <w:rPr>
                <w:b/>
                <w:bCs/>
              </w:rPr>
              <w:t xml:space="preserve"> the </w:t>
            </w:r>
            <w:proofErr w:type="gramStart"/>
            <w:r>
              <w:rPr>
                <w:b/>
                <w:bCs/>
              </w:rPr>
              <w:t>process to</w:t>
            </w:r>
            <w:proofErr w:type="gramEnd"/>
            <w:r>
              <w:rPr>
                <w:b/>
                <w:bCs/>
              </w:rPr>
              <w:t xml:space="preserve"> be reevaluated?</w:t>
            </w:r>
          </w:p>
        </w:tc>
        <w:tc>
          <w:tcPr>
            <w:tcW w:w="3438" w:type="pct"/>
            <w:gridSpan w:val="3"/>
            <w:tcBorders>
              <w:top w:val="single" w:sz="4" w:space="0" w:color="auto"/>
              <w:left w:val="single" w:sz="4" w:space="0" w:color="auto"/>
              <w:bottom w:val="single" w:sz="4" w:space="0" w:color="auto"/>
              <w:right w:val="single" w:sz="4" w:space="0" w:color="auto"/>
            </w:tcBorders>
          </w:tcPr>
          <w:p w14:paraId="715139A0" w14:textId="7F11BC51" w:rsidR="00CC1043" w:rsidRDefault="00CC1043" w:rsidP="00CC1043">
            <w:pPr>
              <w:spacing w:before="120" w:after="120"/>
            </w:pPr>
            <w:r>
              <w:t xml:space="preserve">You must wait a minimum of 30 days to give yourself a full month to implement the feedback your leader has provided. Once 30 days </w:t>
            </w:r>
            <w:proofErr w:type="gramStart"/>
            <w:r>
              <w:t>has</w:t>
            </w:r>
            <w:proofErr w:type="gramEnd"/>
            <w:r>
              <w:t xml:space="preserve"> </w:t>
            </w:r>
            <w:proofErr w:type="gramStart"/>
            <w:r>
              <w:t>past</w:t>
            </w:r>
            <w:proofErr w:type="gramEnd"/>
            <w:r>
              <w:t xml:space="preserve">, your leader will review your metrics to ensure you are continuing to meet the performance qualifications for ascension. </w:t>
            </w:r>
            <w:proofErr w:type="gramStart"/>
            <w:r>
              <w:t>As long as</w:t>
            </w:r>
            <w:proofErr w:type="gramEnd"/>
            <w:r>
              <w:t xml:space="preserve"> you are achieving current expectations, your leader will start the process after 30 days for reevaluation. </w:t>
            </w:r>
          </w:p>
        </w:tc>
      </w:tr>
    </w:tbl>
    <w:p w14:paraId="4C215167" w14:textId="77777777" w:rsidR="00D4589B" w:rsidRDefault="00D4589B" w:rsidP="009521BD">
      <w:pPr>
        <w:spacing w:before="120" w:after="120"/>
      </w:pPr>
    </w:p>
    <w:p w14:paraId="7A5C706A" w14:textId="49D683B9" w:rsidR="00D4589B" w:rsidRPr="00EF158A" w:rsidRDefault="00D4589B" w:rsidP="00B20E81">
      <w:pPr>
        <w:spacing w:before="60" w:after="60"/>
        <w:jc w:val="right"/>
      </w:pPr>
      <w:hyperlink w:anchor="_top" w:history="1">
        <w:r w:rsidRPr="00D230E4">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02CEA" w:rsidRPr="00EF158A" w14:paraId="04F2B874" w14:textId="77777777" w:rsidTr="00CA74FC">
        <w:trPr>
          <w:trHeight w:val="728"/>
        </w:trPr>
        <w:tc>
          <w:tcPr>
            <w:tcW w:w="5000" w:type="pct"/>
            <w:shd w:val="clear" w:color="auto" w:fill="BFBFBF" w:themeFill="background1" w:themeFillShade="BF"/>
            <w:vAlign w:val="center"/>
          </w:tcPr>
          <w:p w14:paraId="7B263CAD" w14:textId="74A6D873" w:rsidR="00D230E4" w:rsidRPr="00D230E4" w:rsidRDefault="00B02CEA" w:rsidP="00CA74FC">
            <w:pPr>
              <w:pStyle w:val="Heading2"/>
              <w:spacing w:before="120" w:after="120"/>
              <w:rPr>
                <w:iCs w:val="0"/>
              </w:rPr>
            </w:pPr>
            <w:bookmarkStart w:id="23" w:name="_Toc199757746"/>
            <w:r w:rsidRPr="00AC135E">
              <w:rPr>
                <w:iCs w:val="0"/>
              </w:rPr>
              <w:t>Related Document</w:t>
            </w:r>
            <w:bookmarkEnd w:id="23"/>
          </w:p>
        </w:tc>
      </w:tr>
    </w:tbl>
    <w:p w14:paraId="2D080420" w14:textId="77777777" w:rsidR="00301142" w:rsidRDefault="00301142" w:rsidP="009521BD"/>
    <w:p w14:paraId="6E9AFA80" w14:textId="2003D2FB" w:rsidR="00B02CEA" w:rsidRDefault="008870CA" w:rsidP="009521BD">
      <w:hyperlink r:id="rId18" w:anchor="!/view?docid=c1f1028b-e42c-4b4f-a4cf-cc0b42c91606" w:history="1">
        <w:r>
          <w:rPr>
            <w:color w:val="0000FF"/>
            <w:u w:val="single"/>
          </w:rPr>
          <w:t>Customer Care Abbreviations, Definitions Terms Index (017428)</w:t>
        </w:r>
      </w:hyperlink>
    </w:p>
    <w:p w14:paraId="60888CD8" w14:textId="77777777" w:rsidR="000A7E91" w:rsidRDefault="000A7E91" w:rsidP="009521BD">
      <w:pPr>
        <w:spacing w:before="120" w:after="120"/>
        <w:jc w:val="right"/>
      </w:pPr>
    </w:p>
    <w:p w14:paraId="4A8901D3" w14:textId="43DBC104" w:rsidR="00B02CEA" w:rsidRPr="00EF158A" w:rsidRDefault="00B02CEA" w:rsidP="00B20E81">
      <w:pPr>
        <w:spacing w:before="60" w:after="60"/>
        <w:jc w:val="right"/>
      </w:pPr>
      <w:hyperlink w:anchor="_top" w:history="1">
        <w:r w:rsidRPr="00D230E4">
          <w:rPr>
            <w:rStyle w:val="Hyperlink"/>
          </w:rPr>
          <w:t>Top of the Document</w:t>
        </w:r>
      </w:hyperlink>
    </w:p>
    <w:p w14:paraId="41E32FCA" w14:textId="77777777" w:rsidR="000A7E91" w:rsidRDefault="000A7E91" w:rsidP="00D22783">
      <w:pPr>
        <w:jc w:val="center"/>
        <w:rPr>
          <w:sz w:val="16"/>
          <w:szCs w:val="16"/>
        </w:rPr>
      </w:pPr>
    </w:p>
    <w:p w14:paraId="015CF24F" w14:textId="719024DD" w:rsidR="00FD4AAA" w:rsidRPr="00C247CB" w:rsidRDefault="00B4636A" w:rsidP="00D22783">
      <w:pPr>
        <w:jc w:val="center"/>
        <w:rPr>
          <w:sz w:val="16"/>
          <w:szCs w:val="16"/>
        </w:rPr>
      </w:pPr>
      <w:r>
        <w:rPr>
          <w:sz w:val="16"/>
          <w:szCs w:val="16"/>
        </w:rPr>
        <w:t>Not to be Reproduced o</w:t>
      </w:r>
      <w:r w:rsidR="00FD4AAA" w:rsidRPr="00C247CB">
        <w:rPr>
          <w:sz w:val="16"/>
          <w:szCs w:val="16"/>
        </w:rPr>
        <w:t xml:space="preserve">r Disclosed to Others </w:t>
      </w:r>
      <w:r w:rsidR="00B86FFE" w:rsidRPr="00C247CB">
        <w:rPr>
          <w:sz w:val="16"/>
          <w:szCs w:val="16"/>
        </w:rPr>
        <w:t>without</w:t>
      </w:r>
      <w:r w:rsidR="00FD4AAA" w:rsidRPr="00C247CB">
        <w:rPr>
          <w:sz w:val="16"/>
          <w:szCs w:val="16"/>
        </w:rPr>
        <w:t xml:space="preserve"> Prior Written Approval</w:t>
      </w:r>
    </w:p>
    <w:p w14:paraId="65C865F0" w14:textId="77777777" w:rsidR="0002766B" w:rsidRPr="00C247CB" w:rsidRDefault="00FD4AAA" w:rsidP="0033644A">
      <w:pPr>
        <w:jc w:val="center"/>
        <w:rPr>
          <w:sz w:val="16"/>
          <w:szCs w:val="16"/>
        </w:rPr>
      </w:pPr>
      <w:r w:rsidRPr="00C247CB">
        <w:rPr>
          <w:b/>
          <w:sz w:val="16"/>
          <w:szCs w:val="16"/>
        </w:rPr>
        <w:t>ELEC</w:t>
      </w:r>
      <w:r w:rsidR="001A28CB">
        <w:rPr>
          <w:b/>
          <w:sz w:val="16"/>
          <w:szCs w:val="16"/>
        </w:rPr>
        <w:t>TRONIC DATA = OFFICIAL VERSION / PAPER COPY =</w:t>
      </w:r>
      <w:r w:rsidRPr="00C247CB">
        <w:rPr>
          <w:b/>
          <w:sz w:val="16"/>
          <w:szCs w:val="16"/>
        </w:rPr>
        <w:t xml:space="preserve"> INFORMATIONAL ONLY</w:t>
      </w:r>
    </w:p>
    <w:sectPr w:rsidR="0002766B" w:rsidRPr="00C247CB" w:rsidSect="001B6289">
      <w:footerReference w:type="even" r:id="rId19"/>
      <w:footerReference w:type="defaul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26D35" w14:textId="77777777" w:rsidR="00A9711C" w:rsidRDefault="00A9711C">
      <w:r>
        <w:separator/>
      </w:r>
    </w:p>
  </w:endnote>
  <w:endnote w:type="continuationSeparator" w:id="0">
    <w:p w14:paraId="0394EE0B" w14:textId="77777777" w:rsidR="00A9711C" w:rsidRDefault="00A9711C">
      <w:r>
        <w:continuationSeparator/>
      </w:r>
    </w:p>
  </w:endnote>
  <w:endnote w:type="continuationNotice" w:id="1">
    <w:p w14:paraId="661C0788" w14:textId="77777777" w:rsidR="00A9711C" w:rsidRDefault="00A971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20F8F"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BA9A1"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A9E83"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09AC">
      <w:rPr>
        <w:rStyle w:val="PageNumber"/>
        <w:noProof/>
      </w:rPr>
      <w:t>2</w:t>
    </w:r>
    <w:r>
      <w:rPr>
        <w:rStyle w:val="PageNumber"/>
      </w:rPr>
      <w:fldChar w:fldCharType="end"/>
    </w:r>
  </w:p>
  <w:p w14:paraId="168FF31D"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8EFAC" w14:textId="77777777" w:rsidR="00A9711C" w:rsidRDefault="00A9711C">
      <w:r>
        <w:separator/>
      </w:r>
    </w:p>
  </w:footnote>
  <w:footnote w:type="continuationSeparator" w:id="0">
    <w:p w14:paraId="02F83A7D" w14:textId="77777777" w:rsidR="00A9711C" w:rsidRDefault="00A9711C">
      <w:r>
        <w:continuationSeparator/>
      </w:r>
    </w:p>
  </w:footnote>
  <w:footnote w:type="continuationNotice" w:id="1">
    <w:p w14:paraId="7F04065C" w14:textId="77777777" w:rsidR="00A9711C" w:rsidRDefault="00A971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A6E"/>
    <w:multiLevelType w:val="hybridMultilevel"/>
    <w:tmpl w:val="2070E1FE"/>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 w15:restartNumberingAfterBreak="0">
    <w:nsid w:val="04C533E3"/>
    <w:multiLevelType w:val="hybridMultilevel"/>
    <w:tmpl w:val="6CCC553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619148A"/>
    <w:multiLevelType w:val="hybridMultilevel"/>
    <w:tmpl w:val="62500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475CCE"/>
    <w:multiLevelType w:val="hybridMultilevel"/>
    <w:tmpl w:val="824E8C9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2A90044"/>
    <w:multiLevelType w:val="multilevel"/>
    <w:tmpl w:val="4918AC5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C068C"/>
    <w:multiLevelType w:val="hybridMultilevel"/>
    <w:tmpl w:val="D534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C1713"/>
    <w:multiLevelType w:val="hybridMultilevel"/>
    <w:tmpl w:val="E318A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34043"/>
    <w:multiLevelType w:val="hybridMultilevel"/>
    <w:tmpl w:val="5D8E838A"/>
    <w:lvl w:ilvl="0" w:tplc="2518877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21511"/>
    <w:multiLevelType w:val="hybridMultilevel"/>
    <w:tmpl w:val="1478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22368"/>
    <w:multiLevelType w:val="hybridMultilevel"/>
    <w:tmpl w:val="0A38754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41C90397"/>
    <w:multiLevelType w:val="hybridMultilevel"/>
    <w:tmpl w:val="B0B4984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446B04EB"/>
    <w:multiLevelType w:val="hybridMultilevel"/>
    <w:tmpl w:val="AD1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15C07"/>
    <w:multiLevelType w:val="hybridMultilevel"/>
    <w:tmpl w:val="46ACBA46"/>
    <w:lvl w:ilvl="0" w:tplc="BE126B3A">
      <w:start w:val="1"/>
      <w:numFmt w:val="bullet"/>
      <w:lvlText w:val=""/>
      <w:lvlJc w:val="left"/>
      <w:pPr>
        <w:ind w:left="900" w:hanging="360"/>
      </w:pPr>
      <w:rPr>
        <w:rFonts w:ascii="Symbol" w:hAnsi="Symbol" w:hint="default"/>
        <w:sz w:val="24"/>
        <w:szCs w:val="24"/>
      </w:rPr>
    </w:lvl>
    <w:lvl w:ilvl="1" w:tplc="04090003">
      <w:start w:val="1"/>
      <w:numFmt w:val="bullet"/>
      <w:lvlText w:val="o"/>
      <w:lvlJc w:val="left"/>
      <w:pPr>
        <w:ind w:left="162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48D6A7C"/>
    <w:multiLevelType w:val="hybridMultilevel"/>
    <w:tmpl w:val="B8E01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8AC18FE"/>
    <w:multiLevelType w:val="hybridMultilevel"/>
    <w:tmpl w:val="F2960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8256B"/>
    <w:multiLevelType w:val="hybridMultilevel"/>
    <w:tmpl w:val="67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E6EED"/>
    <w:multiLevelType w:val="hybridMultilevel"/>
    <w:tmpl w:val="A336B87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7" w15:restartNumberingAfterBreak="0">
    <w:nsid w:val="7AC06138"/>
    <w:multiLevelType w:val="multilevel"/>
    <w:tmpl w:val="360E45B8"/>
    <w:lvl w:ilvl="0">
      <w:start w:val="1"/>
      <w:numFmt w:val="bullet"/>
      <w:lvlText w:val=""/>
      <w:lvlJc w:val="left"/>
      <w:pPr>
        <w:tabs>
          <w:tab w:val="num" w:pos="720"/>
        </w:tabs>
        <w:ind w:left="720" w:hanging="360"/>
      </w:pPr>
      <w:rPr>
        <w:rFonts w:ascii="Symbol" w:hAnsi="Symbol" w:hint="default"/>
        <w:sz w:val="24"/>
        <w:szCs w:val="32"/>
      </w:rPr>
    </w:lvl>
    <w:lvl w:ilvl="1">
      <w:start w:val="1"/>
      <w:numFmt w:val="bullet"/>
      <w:lvlText w:val="o"/>
      <w:lvlJc w:val="left"/>
      <w:pPr>
        <w:tabs>
          <w:tab w:val="num" w:pos="1440"/>
        </w:tabs>
        <w:ind w:left="1440" w:hanging="360"/>
      </w:pPr>
      <w:rPr>
        <w:rFonts w:ascii="Courier New" w:hAnsi="Courier New" w:cs="Times New Roman" w:hint="default"/>
        <w:sz w:val="24"/>
        <w:szCs w:val="32"/>
      </w:r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C1D0D"/>
    <w:multiLevelType w:val="hybridMultilevel"/>
    <w:tmpl w:val="705A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708678">
    <w:abstractNumId w:val="15"/>
  </w:num>
  <w:num w:numId="2" w16cid:durableId="1951279960">
    <w:abstractNumId w:val="18"/>
  </w:num>
  <w:num w:numId="3" w16cid:durableId="1583560814">
    <w:abstractNumId w:val="6"/>
  </w:num>
  <w:num w:numId="4" w16cid:durableId="72741535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7728644">
    <w:abstractNumId w:val="2"/>
  </w:num>
  <w:num w:numId="6" w16cid:durableId="100733152">
    <w:abstractNumId w:val="8"/>
  </w:num>
  <w:num w:numId="7" w16cid:durableId="1627590280">
    <w:abstractNumId w:val="7"/>
  </w:num>
  <w:num w:numId="8" w16cid:durableId="214631612">
    <w:abstractNumId w:val="12"/>
  </w:num>
  <w:num w:numId="9" w16cid:durableId="1155104338">
    <w:abstractNumId w:val="13"/>
  </w:num>
  <w:num w:numId="10" w16cid:durableId="1601374733">
    <w:abstractNumId w:val="17"/>
  </w:num>
  <w:num w:numId="11" w16cid:durableId="942612576">
    <w:abstractNumId w:val="4"/>
  </w:num>
  <w:num w:numId="12" w16cid:durableId="157892055">
    <w:abstractNumId w:val="5"/>
  </w:num>
  <w:num w:numId="13" w16cid:durableId="842430111">
    <w:abstractNumId w:val="10"/>
  </w:num>
  <w:num w:numId="14" w16cid:durableId="1060133427">
    <w:abstractNumId w:val="16"/>
  </w:num>
  <w:num w:numId="15" w16cid:durableId="2097288084">
    <w:abstractNumId w:val="14"/>
  </w:num>
  <w:num w:numId="16" w16cid:durableId="861093965">
    <w:abstractNumId w:val="1"/>
  </w:num>
  <w:num w:numId="17" w16cid:durableId="1882591360">
    <w:abstractNumId w:val="1"/>
  </w:num>
  <w:num w:numId="18" w16cid:durableId="1510216502">
    <w:abstractNumId w:val="11"/>
  </w:num>
  <w:num w:numId="19" w16cid:durableId="1039015282">
    <w:abstractNumId w:val="9"/>
  </w:num>
  <w:num w:numId="20" w16cid:durableId="63557327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7"/>
    <w:rsid w:val="00000BE8"/>
    <w:rsid w:val="00002416"/>
    <w:rsid w:val="0000244F"/>
    <w:rsid w:val="000058F1"/>
    <w:rsid w:val="00005E2A"/>
    <w:rsid w:val="00006FE1"/>
    <w:rsid w:val="0001151C"/>
    <w:rsid w:val="000128F4"/>
    <w:rsid w:val="00013B4F"/>
    <w:rsid w:val="00026765"/>
    <w:rsid w:val="0002766B"/>
    <w:rsid w:val="00030B68"/>
    <w:rsid w:val="0003587C"/>
    <w:rsid w:val="00036F50"/>
    <w:rsid w:val="00040C5B"/>
    <w:rsid w:val="00043182"/>
    <w:rsid w:val="00046717"/>
    <w:rsid w:val="00046D7D"/>
    <w:rsid w:val="000505FB"/>
    <w:rsid w:val="00061F15"/>
    <w:rsid w:val="00063161"/>
    <w:rsid w:val="00064378"/>
    <w:rsid w:val="00071902"/>
    <w:rsid w:val="00072248"/>
    <w:rsid w:val="00074955"/>
    <w:rsid w:val="00074E43"/>
    <w:rsid w:val="00077910"/>
    <w:rsid w:val="000811A9"/>
    <w:rsid w:val="00087BB9"/>
    <w:rsid w:val="00090831"/>
    <w:rsid w:val="0009177C"/>
    <w:rsid w:val="00092E73"/>
    <w:rsid w:val="000974BD"/>
    <w:rsid w:val="00097F84"/>
    <w:rsid w:val="000A1D9D"/>
    <w:rsid w:val="000A7311"/>
    <w:rsid w:val="000A7958"/>
    <w:rsid w:val="000A7E91"/>
    <w:rsid w:val="000B025B"/>
    <w:rsid w:val="000B79B3"/>
    <w:rsid w:val="000C2BDD"/>
    <w:rsid w:val="000C40CC"/>
    <w:rsid w:val="000C6AF9"/>
    <w:rsid w:val="000C73BE"/>
    <w:rsid w:val="000C7D80"/>
    <w:rsid w:val="000D2381"/>
    <w:rsid w:val="000D38B0"/>
    <w:rsid w:val="000D5440"/>
    <w:rsid w:val="000E2030"/>
    <w:rsid w:val="000E20DA"/>
    <w:rsid w:val="000E59E2"/>
    <w:rsid w:val="000E71D5"/>
    <w:rsid w:val="000F0B61"/>
    <w:rsid w:val="000F1EBD"/>
    <w:rsid w:val="000F552F"/>
    <w:rsid w:val="001101A0"/>
    <w:rsid w:val="001110D7"/>
    <w:rsid w:val="0011361B"/>
    <w:rsid w:val="001156B3"/>
    <w:rsid w:val="00115E6A"/>
    <w:rsid w:val="0011633D"/>
    <w:rsid w:val="00116E14"/>
    <w:rsid w:val="00120BAF"/>
    <w:rsid w:val="00122A57"/>
    <w:rsid w:val="00123CE4"/>
    <w:rsid w:val="001302A2"/>
    <w:rsid w:val="00130EF7"/>
    <w:rsid w:val="00145D5D"/>
    <w:rsid w:val="00146437"/>
    <w:rsid w:val="001554C4"/>
    <w:rsid w:val="00161CA4"/>
    <w:rsid w:val="00161CA7"/>
    <w:rsid w:val="0016673C"/>
    <w:rsid w:val="00172F18"/>
    <w:rsid w:val="00174155"/>
    <w:rsid w:val="00176411"/>
    <w:rsid w:val="00177276"/>
    <w:rsid w:val="001804EF"/>
    <w:rsid w:val="001828A0"/>
    <w:rsid w:val="00186F6C"/>
    <w:rsid w:val="00187D44"/>
    <w:rsid w:val="00194F01"/>
    <w:rsid w:val="00195596"/>
    <w:rsid w:val="00195EBD"/>
    <w:rsid w:val="001966BE"/>
    <w:rsid w:val="001A28CB"/>
    <w:rsid w:val="001A30B1"/>
    <w:rsid w:val="001A63E9"/>
    <w:rsid w:val="001A6585"/>
    <w:rsid w:val="001B0373"/>
    <w:rsid w:val="001B19E6"/>
    <w:rsid w:val="001B514E"/>
    <w:rsid w:val="001B6289"/>
    <w:rsid w:val="001C09D9"/>
    <w:rsid w:val="001C1022"/>
    <w:rsid w:val="001E1DED"/>
    <w:rsid w:val="001E2446"/>
    <w:rsid w:val="001E79BA"/>
    <w:rsid w:val="001F0E95"/>
    <w:rsid w:val="001F5535"/>
    <w:rsid w:val="002038D8"/>
    <w:rsid w:val="002044DE"/>
    <w:rsid w:val="00204EAD"/>
    <w:rsid w:val="00205FDA"/>
    <w:rsid w:val="00217D07"/>
    <w:rsid w:val="002207D9"/>
    <w:rsid w:val="00230111"/>
    <w:rsid w:val="00230483"/>
    <w:rsid w:val="00231C38"/>
    <w:rsid w:val="00235B24"/>
    <w:rsid w:val="00235D54"/>
    <w:rsid w:val="00246831"/>
    <w:rsid w:val="00246ACF"/>
    <w:rsid w:val="0025091F"/>
    <w:rsid w:val="0025658F"/>
    <w:rsid w:val="002577B7"/>
    <w:rsid w:val="0026019A"/>
    <w:rsid w:val="00265819"/>
    <w:rsid w:val="00266BA4"/>
    <w:rsid w:val="00270FA1"/>
    <w:rsid w:val="00271080"/>
    <w:rsid w:val="002778DB"/>
    <w:rsid w:val="002779D4"/>
    <w:rsid w:val="002808BE"/>
    <w:rsid w:val="002842EF"/>
    <w:rsid w:val="00285035"/>
    <w:rsid w:val="00296B1A"/>
    <w:rsid w:val="00297D15"/>
    <w:rsid w:val="002A046F"/>
    <w:rsid w:val="002A319E"/>
    <w:rsid w:val="002B731C"/>
    <w:rsid w:val="002C353B"/>
    <w:rsid w:val="002C4634"/>
    <w:rsid w:val="002C5810"/>
    <w:rsid w:val="002D0276"/>
    <w:rsid w:val="002D09AC"/>
    <w:rsid w:val="002D299A"/>
    <w:rsid w:val="002D4A06"/>
    <w:rsid w:val="002E41C4"/>
    <w:rsid w:val="002E55F2"/>
    <w:rsid w:val="002E6198"/>
    <w:rsid w:val="002F08B6"/>
    <w:rsid w:val="002F1D71"/>
    <w:rsid w:val="0030025C"/>
    <w:rsid w:val="00301142"/>
    <w:rsid w:val="00301347"/>
    <w:rsid w:val="0030141E"/>
    <w:rsid w:val="00310568"/>
    <w:rsid w:val="00313B07"/>
    <w:rsid w:val="00314B3B"/>
    <w:rsid w:val="00317C44"/>
    <w:rsid w:val="00324832"/>
    <w:rsid w:val="003261AA"/>
    <w:rsid w:val="003306CD"/>
    <w:rsid w:val="00330C1A"/>
    <w:rsid w:val="003314AC"/>
    <w:rsid w:val="0033644A"/>
    <w:rsid w:val="00337158"/>
    <w:rsid w:val="003521EA"/>
    <w:rsid w:val="0035726A"/>
    <w:rsid w:val="00357C51"/>
    <w:rsid w:val="00361231"/>
    <w:rsid w:val="00362955"/>
    <w:rsid w:val="00364C63"/>
    <w:rsid w:val="00367AC0"/>
    <w:rsid w:val="003701C1"/>
    <w:rsid w:val="00380646"/>
    <w:rsid w:val="0038450C"/>
    <w:rsid w:val="003855A5"/>
    <w:rsid w:val="003A7D6C"/>
    <w:rsid w:val="003C4D2C"/>
    <w:rsid w:val="003C4DDC"/>
    <w:rsid w:val="003C7B14"/>
    <w:rsid w:val="003D03D6"/>
    <w:rsid w:val="003D0429"/>
    <w:rsid w:val="003D11F4"/>
    <w:rsid w:val="003D1D2E"/>
    <w:rsid w:val="003D22B7"/>
    <w:rsid w:val="003D34C6"/>
    <w:rsid w:val="003D465E"/>
    <w:rsid w:val="003D4FF9"/>
    <w:rsid w:val="003D622E"/>
    <w:rsid w:val="003E12FE"/>
    <w:rsid w:val="003E3CB4"/>
    <w:rsid w:val="003F29DA"/>
    <w:rsid w:val="003F44A5"/>
    <w:rsid w:val="003F6A5F"/>
    <w:rsid w:val="0041061A"/>
    <w:rsid w:val="004126E0"/>
    <w:rsid w:val="0041345C"/>
    <w:rsid w:val="004204CB"/>
    <w:rsid w:val="004233EF"/>
    <w:rsid w:val="00423899"/>
    <w:rsid w:val="00427387"/>
    <w:rsid w:val="00433EE7"/>
    <w:rsid w:val="00435270"/>
    <w:rsid w:val="00446AB1"/>
    <w:rsid w:val="00447F69"/>
    <w:rsid w:val="00451574"/>
    <w:rsid w:val="00451D55"/>
    <w:rsid w:val="00452FD1"/>
    <w:rsid w:val="00453D6F"/>
    <w:rsid w:val="00454EB0"/>
    <w:rsid w:val="00460022"/>
    <w:rsid w:val="004612A4"/>
    <w:rsid w:val="00461330"/>
    <w:rsid w:val="00463A2C"/>
    <w:rsid w:val="00463CDE"/>
    <w:rsid w:val="00465C60"/>
    <w:rsid w:val="00470473"/>
    <w:rsid w:val="00474987"/>
    <w:rsid w:val="004763C5"/>
    <w:rsid w:val="00484AD9"/>
    <w:rsid w:val="00485408"/>
    <w:rsid w:val="0048648D"/>
    <w:rsid w:val="00487EF5"/>
    <w:rsid w:val="004A0E36"/>
    <w:rsid w:val="004A2123"/>
    <w:rsid w:val="004B0703"/>
    <w:rsid w:val="004B51C7"/>
    <w:rsid w:val="004B55F4"/>
    <w:rsid w:val="004C0169"/>
    <w:rsid w:val="004C0979"/>
    <w:rsid w:val="004C184A"/>
    <w:rsid w:val="004C5B09"/>
    <w:rsid w:val="004C6EA9"/>
    <w:rsid w:val="004C7056"/>
    <w:rsid w:val="004D0CBF"/>
    <w:rsid w:val="004E13C7"/>
    <w:rsid w:val="004E3BF1"/>
    <w:rsid w:val="004E64BE"/>
    <w:rsid w:val="004E6642"/>
    <w:rsid w:val="004E759A"/>
    <w:rsid w:val="004E77C0"/>
    <w:rsid w:val="004F1457"/>
    <w:rsid w:val="004F4530"/>
    <w:rsid w:val="004F5A23"/>
    <w:rsid w:val="00500BE1"/>
    <w:rsid w:val="00500F7D"/>
    <w:rsid w:val="00511F92"/>
    <w:rsid w:val="005200DD"/>
    <w:rsid w:val="00523151"/>
    <w:rsid w:val="00526286"/>
    <w:rsid w:val="005264E9"/>
    <w:rsid w:val="0054082A"/>
    <w:rsid w:val="005453D1"/>
    <w:rsid w:val="0055522F"/>
    <w:rsid w:val="00556D53"/>
    <w:rsid w:val="00562BF6"/>
    <w:rsid w:val="0056302A"/>
    <w:rsid w:val="00580DAD"/>
    <w:rsid w:val="00581821"/>
    <w:rsid w:val="005830BD"/>
    <w:rsid w:val="00583CA8"/>
    <w:rsid w:val="0058579D"/>
    <w:rsid w:val="00593A5C"/>
    <w:rsid w:val="005A0136"/>
    <w:rsid w:val="005A1613"/>
    <w:rsid w:val="005A2C85"/>
    <w:rsid w:val="005B60B7"/>
    <w:rsid w:val="005B6387"/>
    <w:rsid w:val="005B65A8"/>
    <w:rsid w:val="005B6A35"/>
    <w:rsid w:val="005C1ADC"/>
    <w:rsid w:val="005C6FA6"/>
    <w:rsid w:val="005C7C3B"/>
    <w:rsid w:val="005D0A47"/>
    <w:rsid w:val="005D1C6A"/>
    <w:rsid w:val="005D23A3"/>
    <w:rsid w:val="005D5A7E"/>
    <w:rsid w:val="005D7C2D"/>
    <w:rsid w:val="005E056E"/>
    <w:rsid w:val="005E41E8"/>
    <w:rsid w:val="005E5253"/>
    <w:rsid w:val="005E6721"/>
    <w:rsid w:val="005F2657"/>
    <w:rsid w:val="005F6841"/>
    <w:rsid w:val="0060025F"/>
    <w:rsid w:val="00611464"/>
    <w:rsid w:val="00611BCD"/>
    <w:rsid w:val="00614745"/>
    <w:rsid w:val="0061519A"/>
    <w:rsid w:val="00621AE4"/>
    <w:rsid w:val="00627D37"/>
    <w:rsid w:val="00630E79"/>
    <w:rsid w:val="0063722B"/>
    <w:rsid w:val="00645660"/>
    <w:rsid w:val="00646B1F"/>
    <w:rsid w:val="00651BBF"/>
    <w:rsid w:val="00654C0B"/>
    <w:rsid w:val="006627EE"/>
    <w:rsid w:val="00662808"/>
    <w:rsid w:val="006710F0"/>
    <w:rsid w:val="0067132B"/>
    <w:rsid w:val="00671C8C"/>
    <w:rsid w:val="006738AA"/>
    <w:rsid w:val="00673F1A"/>
    <w:rsid w:val="00673F88"/>
    <w:rsid w:val="00675176"/>
    <w:rsid w:val="0067680B"/>
    <w:rsid w:val="00676B66"/>
    <w:rsid w:val="0068700E"/>
    <w:rsid w:val="006A78B5"/>
    <w:rsid w:val="006B1CF1"/>
    <w:rsid w:val="006B4D96"/>
    <w:rsid w:val="006B5322"/>
    <w:rsid w:val="006B6220"/>
    <w:rsid w:val="006C2A26"/>
    <w:rsid w:val="006D1F62"/>
    <w:rsid w:val="006D3719"/>
    <w:rsid w:val="006E47AC"/>
    <w:rsid w:val="006E4AB3"/>
    <w:rsid w:val="006F1C7E"/>
    <w:rsid w:val="006F4AA1"/>
    <w:rsid w:val="007007FE"/>
    <w:rsid w:val="0070152F"/>
    <w:rsid w:val="00701D29"/>
    <w:rsid w:val="00702E69"/>
    <w:rsid w:val="00702EB8"/>
    <w:rsid w:val="00703AA9"/>
    <w:rsid w:val="00705048"/>
    <w:rsid w:val="0071763B"/>
    <w:rsid w:val="00717B38"/>
    <w:rsid w:val="0072021D"/>
    <w:rsid w:val="00724B8A"/>
    <w:rsid w:val="0072785D"/>
    <w:rsid w:val="0073016A"/>
    <w:rsid w:val="00735B59"/>
    <w:rsid w:val="00737EC6"/>
    <w:rsid w:val="00743EA8"/>
    <w:rsid w:val="007457F5"/>
    <w:rsid w:val="00751075"/>
    <w:rsid w:val="00752254"/>
    <w:rsid w:val="00756E6F"/>
    <w:rsid w:val="00761D4F"/>
    <w:rsid w:val="007646AB"/>
    <w:rsid w:val="00767A3D"/>
    <w:rsid w:val="0077343A"/>
    <w:rsid w:val="00773D18"/>
    <w:rsid w:val="00777F4F"/>
    <w:rsid w:val="0078045D"/>
    <w:rsid w:val="00781726"/>
    <w:rsid w:val="00783475"/>
    <w:rsid w:val="00793A4B"/>
    <w:rsid w:val="007A1706"/>
    <w:rsid w:val="007A26C3"/>
    <w:rsid w:val="007A2C62"/>
    <w:rsid w:val="007B042C"/>
    <w:rsid w:val="007B5296"/>
    <w:rsid w:val="007B7380"/>
    <w:rsid w:val="007C04F4"/>
    <w:rsid w:val="007C17AE"/>
    <w:rsid w:val="007C7AF2"/>
    <w:rsid w:val="007D04B0"/>
    <w:rsid w:val="007E7205"/>
    <w:rsid w:val="007F2E2B"/>
    <w:rsid w:val="007F3380"/>
    <w:rsid w:val="007F42FD"/>
    <w:rsid w:val="007F49A6"/>
    <w:rsid w:val="007F53F2"/>
    <w:rsid w:val="00812A5D"/>
    <w:rsid w:val="00820A1A"/>
    <w:rsid w:val="00821B80"/>
    <w:rsid w:val="0082396F"/>
    <w:rsid w:val="0084248B"/>
    <w:rsid w:val="00843441"/>
    <w:rsid w:val="00843688"/>
    <w:rsid w:val="008454D9"/>
    <w:rsid w:val="00845B5A"/>
    <w:rsid w:val="00852DF8"/>
    <w:rsid w:val="0085414D"/>
    <w:rsid w:val="008545DE"/>
    <w:rsid w:val="008627AF"/>
    <w:rsid w:val="00867DDE"/>
    <w:rsid w:val="008752E9"/>
    <w:rsid w:val="00875E1C"/>
    <w:rsid w:val="00877478"/>
    <w:rsid w:val="00881477"/>
    <w:rsid w:val="008870CA"/>
    <w:rsid w:val="00887D28"/>
    <w:rsid w:val="00890E3C"/>
    <w:rsid w:val="00892B73"/>
    <w:rsid w:val="00896526"/>
    <w:rsid w:val="008A437C"/>
    <w:rsid w:val="008A778C"/>
    <w:rsid w:val="008A77FF"/>
    <w:rsid w:val="008B143E"/>
    <w:rsid w:val="008B3F93"/>
    <w:rsid w:val="008B6FD3"/>
    <w:rsid w:val="008B7971"/>
    <w:rsid w:val="008C1952"/>
    <w:rsid w:val="008C51D8"/>
    <w:rsid w:val="008C5459"/>
    <w:rsid w:val="008C5AF0"/>
    <w:rsid w:val="008C5D6C"/>
    <w:rsid w:val="008C72D3"/>
    <w:rsid w:val="008D0DAB"/>
    <w:rsid w:val="008D1657"/>
    <w:rsid w:val="008D254F"/>
    <w:rsid w:val="008D5D99"/>
    <w:rsid w:val="008E74F2"/>
    <w:rsid w:val="008F17A3"/>
    <w:rsid w:val="008F17F5"/>
    <w:rsid w:val="008F1AAD"/>
    <w:rsid w:val="008F260C"/>
    <w:rsid w:val="008F3A3E"/>
    <w:rsid w:val="00902B3C"/>
    <w:rsid w:val="0091123D"/>
    <w:rsid w:val="00916D3D"/>
    <w:rsid w:val="0092394B"/>
    <w:rsid w:val="00924ECB"/>
    <w:rsid w:val="009261DF"/>
    <w:rsid w:val="009270D7"/>
    <w:rsid w:val="00930F63"/>
    <w:rsid w:val="009354E9"/>
    <w:rsid w:val="00936DDA"/>
    <w:rsid w:val="00941B90"/>
    <w:rsid w:val="009521BD"/>
    <w:rsid w:val="00952C5C"/>
    <w:rsid w:val="009568C1"/>
    <w:rsid w:val="00962D26"/>
    <w:rsid w:val="009632E8"/>
    <w:rsid w:val="009651B7"/>
    <w:rsid w:val="00970171"/>
    <w:rsid w:val="009713E6"/>
    <w:rsid w:val="00974F51"/>
    <w:rsid w:val="0097678A"/>
    <w:rsid w:val="00992D67"/>
    <w:rsid w:val="00993EF5"/>
    <w:rsid w:val="009954C2"/>
    <w:rsid w:val="009A0201"/>
    <w:rsid w:val="009A0ED3"/>
    <w:rsid w:val="009A5689"/>
    <w:rsid w:val="009C161E"/>
    <w:rsid w:val="009C3F78"/>
    <w:rsid w:val="009C6CE9"/>
    <w:rsid w:val="009C7572"/>
    <w:rsid w:val="009D1594"/>
    <w:rsid w:val="009D1D14"/>
    <w:rsid w:val="009D438F"/>
    <w:rsid w:val="009D4405"/>
    <w:rsid w:val="009E016D"/>
    <w:rsid w:val="009E1561"/>
    <w:rsid w:val="009E5268"/>
    <w:rsid w:val="009F1910"/>
    <w:rsid w:val="009F19F1"/>
    <w:rsid w:val="009F3077"/>
    <w:rsid w:val="00A012AB"/>
    <w:rsid w:val="00A04345"/>
    <w:rsid w:val="00A05651"/>
    <w:rsid w:val="00A10002"/>
    <w:rsid w:val="00A1432A"/>
    <w:rsid w:val="00A21D15"/>
    <w:rsid w:val="00A279A8"/>
    <w:rsid w:val="00A3459A"/>
    <w:rsid w:val="00A34F76"/>
    <w:rsid w:val="00A369A1"/>
    <w:rsid w:val="00A40D12"/>
    <w:rsid w:val="00A45214"/>
    <w:rsid w:val="00A45FE7"/>
    <w:rsid w:val="00A509A9"/>
    <w:rsid w:val="00A52084"/>
    <w:rsid w:val="00A54C1E"/>
    <w:rsid w:val="00A600E8"/>
    <w:rsid w:val="00A60AD1"/>
    <w:rsid w:val="00A66E8D"/>
    <w:rsid w:val="00A86B94"/>
    <w:rsid w:val="00A91843"/>
    <w:rsid w:val="00A9711C"/>
    <w:rsid w:val="00AA527C"/>
    <w:rsid w:val="00AA54D5"/>
    <w:rsid w:val="00AA6FCD"/>
    <w:rsid w:val="00AB0EE9"/>
    <w:rsid w:val="00AB311B"/>
    <w:rsid w:val="00AB7396"/>
    <w:rsid w:val="00AB7959"/>
    <w:rsid w:val="00AC135E"/>
    <w:rsid w:val="00AC5DB0"/>
    <w:rsid w:val="00AD35F4"/>
    <w:rsid w:val="00AD4C22"/>
    <w:rsid w:val="00AD5020"/>
    <w:rsid w:val="00AD747F"/>
    <w:rsid w:val="00AD7CD5"/>
    <w:rsid w:val="00AE0A87"/>
    <w:rsid w:val="00AE2080"/>
    <w:rsid w:val="00AE4188"/>
    <w:rsid w:val="00AF3515"/>
    <w:rsid w:val="00B02CEA"/>
    <w:rsid w:val="00B05A5F"/>
    <w:rsid w:val="00B06D5D"/>
    <w:rsid w:val="00B0780B"/>
    <w:rsid w:val="00B11414"/>
    <w:rsid w:val="00B17A1C"/>
    <w:rsid w:val="00B20E81"/>
    <w:rsid w:val="00B2323E"/>
    <w:rsid w:val="00B251F1"/>
    <w:rsid w:val="00B2659B"/>
    <w:rsid w:val="00B37D6F"/>
    <w:rsid w:val="00B40D70"/>
    <w:rsid w:val="00B411D4"/>
    <w:rsid w:val="00B424E0"/>
    <w:rsid w:val="00B4260D"/>
    <w:rsid w:val="00B45FB8"/>
    <w:rsid w:val="00B4636A"/>
    <w:rsid w:val="00B60212"/>
    <w:rsid w:val="00B64C31"/>
    <w:rsid w:val="00B70C50"/>
    <w:rsid w:val="00B77E4C"/>
    <w:rsid w:val="00B86FFE"/>
    <w:rsid w:val="00BA3045"/>
    <w:rsid w:val="00BA30E5"/>
    <w:rsid w:val="00BA653D"/>
    <w:rsid w:val="00BA7CE0"/>
    <w:rsid w:val="00BB2009"/>
    <w:rsid w:val="00BB59A0"/>
    <w:rsid w:val="00BB75C8"/>
    <w:rsid w:val="00BC0243"/>
    <w:rsid w:val="00BC1129"/>
    <w:rsid w:val="00BC34E7"/>
    <w:rsid w:val="00BC3C79"/>
    <w:rsid w:val="00BD08BF"/>
    <w:rsid w:val="00BD1E79"/>
    <w:rsid w:val="00BD22D5"/>
    <w:rsid w:val="00BD68D4"/>
    <w:rsid w:val="00BD79E8"/>
    <w:rsid w:val="00BE1BF8"/>
    <w:rsid w:val="00BE4C9D"/>
    <w:rsid w:val="00BF7053"/>
    <w:rsid w:val="00BF7247"/>
    <w:rsid w:val="00BF72BB"/>
    <w:rsid w:val="00C02113"/>
    <w:rsid w:val="00C02F2D"/>
    <w:rsid w:val="00C116E6"/>
    <w:rsid w:val="00C13DC8"/>
    <w:rsid w:val="00C1474B"/>
    <w:rsid w:val="00C24BCB"/>
    <w:rsid w:val="00C24D11"/>
    <w:rsid w:val="00C26CFE"/>
    <w:rsid w:val="00C32FEF"/>
    <w:rsid w:val="00C33CF6"/>
    <w:rsid w:val="00C37002"/>
    <w:rsid w:val="00C4009B"/>
    <w:rsid w:val="00C45947"/>
    <w:rsid w:val="00C50C38"/>
    <w:rsid w:val="00C51563"/>
    <w:rsid w:val="00C51A02"/>
    <w:rsid w:val="00C520AD"/>
    <w:rsid w:val="00C52EF6"/>
    <w:rsid w:val="00C53526"/>
    <w:rsid w:val="00C561BA"/>
    <w:rsid w:val="00C60573"/>
    <w:rsid w:val="00C66197"/>
    <w:rsid w:val="00C735BD"/>
    <w:rsid w:val="00C73655"/>
    <w:rsid w:val="00C83A8F"/>
    <w:rsid w:val="00C8639E"/>
    <w:rsid w:val="00C949F8"/>
    <w:rsid w:val="00C96CC3"/>
    <w:rsid w:val="00CA1640"/>
    <w:rsid w:val="00CA4EEB"/>
    <w:rsid w:val="00CA61A0"/>
    <w:rsid w:val="00CA745C"/>
    <w:rsid w:val="00CA74FC"/>
    <w:rsid w:val="00CA758A"/>
    <w:rsid w:val="00CA7DB0"/>
    <w:rsid w:val="00CB102C"/>
    <w:rsid w:val="00CB2448"/>
    <w:rsid w:val="00CB40EC"/>
    <w:rsid w:val="00CB47E4"/>
    <w:rsid w:val="00CB5F4A"/>
    <w:rsid w:val="00CC1043"/>
    <w:rsid w:val="00CC352B"/>
    <w:rsid w:val="00CC681C"/>
    <w:rsid w:val="00CD2F71"/>
    <w:rsid w:val="00CE023F"/>
    <w:rsid w:val="00CE4811"/>
    <w:rsid w:val="00CE5693"/>
    <w:rsid w:val="00CE5B44"/>
    <w:rsid w:val="00CE6299"/>
    <w:rsid w:val="00CF03B5"/>
    <w:rsid w:val="00CF37DC"/>
    <w:rsid w:val="00D000E3"/>
    <w:rsid w:val="00D01DCB"/>
    <w:rsid w:val="00D034D8"/>
    <w:rsid w:val="00D05F56"/>
    <w:rsid w:val="00D072E4"/>
    <w:rsid w:val="00D22783"/>
    <w:rsid w:val="00D230E4"/>
    <w:rsid w:val="00D2420B"/>
    <w:rsid w:val="00D37E51"/>
    <w:rsid w:val="00D4360C"/>
    <w:rsid w:val="00D43E88"/>
    <w:rsid w:val="00D4584B"/>
    <w:rsid w:val="00D4589B"/>
    <w:rsid w:val="00D51FC6"/>
    <w:rsid w:val="00D57362"/>
    <w:rsid w:val="00D6058B"/>
    <w:rsid w:val="00D66E83"/>
    <w:rsid w:val="00D71113"/>
    <w:rsid w:val="00D7249C"/>
    <w:rsid w:val="00D73E15"/>
    <w:rsid w:val="00D76F9D"/>
    <w:rsid w:val="00D927BA"/>
    <w:rsid w:val="00D97D19"/>
    <w:rsid w:val="00DA0673"/>
    <w:rsid w:val="00DA0A73"/>
    <w:rsid w:val="00DB179E"/>
    <w:rsid w:val="00DC0DC3"/>
    <w:rsid w:val="00DC10C7"/>
    <w:rsid w:val="00DC1671"/>
    <w:rsid w:val="00DC419A"/>
    <w:rsid w:val="00DD065F"/>
    <w:rsid w:val="00DD284C"/>
    <w:rsid w:val="00DD53A2"/>
    <w:rsid w:val="00DD5E7C"/>
    <w:rsid w:val="00DD77A2"/>
    <w:rsid w:val="00DE68FA"/>
    <w:rsid w:val="00DF309B"/>
    <w:rsid w:val="00DF4CB6"/>
    <w:rsid w:val="00E149E3"/>
    <w:rsid w:val="00E15353"/>
    <w:rsid w:val="00E20AB1"/>
    <w:rsid w:val="00E24491"/>
    <w:rsid w:val="00E25387"/>
    <w:rsid w:val="00E26A80"/>
    <w:rsid w:val="00E352EB"/>
    <w:rsid w:val="00E434DB"/>
    <w:rsid w:val="00E45ED0"/>
    <w:rsid w:val="00E5321C"/>
    <w:rsid w:val="00E53444"/>
    <w:rsid w:val="00E54835"/>
    <w:rsid w:val="00E54E39"/>
    <w:rsid w:val="00E60FCE"/>
    <w:rsid w:val="00E6591A"/>
    <w:rsid w:val="00E66167"/>
    <w:rsid w:val="00E700BD"/>
    <w:rsid w:val="00E777DD"/>
    <w:rsid w:val="00E86A95"/>
    <w:rsid w:val="00E90670"/>
    <w:rsid w:val="00E93822"/>
    <w:rsid w:val="00E97481"/>
    <w:rsid w:val="00EA0595"/>
    <w:rsid w:val="00EA1C4D"/>
    <w:rsid w:val="00EA2DD0"/>
    <w:rsid w:val="00EA4837"/>
    <w:rsid w:val="00EA52D8"/>
    <w:rsid w:val="00EA5B91"/>
    <w:rsid w:val="00EB5363"/>
    <w:rsid w:val="00EB68D5"/>
    <w:rsid w:val="00EC0BDC"/>
    <w:rsid w:val="00EC1C8C"/>
    <w:rsid w:val="00EC3B3A"/>
    <w:rsid w:val="00EC6D6D"/>
    <w:rsid w:val="00ED086E"/>
    <w:rsid w:val="00ED5215"/>
    <w:rsid w:val="00ED5A2A"/>
    <w:rsid w:val="00ED63D4"/>
    <w:rsid w:val="00EE0E62"/>
    <w:rsid w:val="00EE3970"/>
    <w:rsid w:val="00EE4C91"/>
    <w:rsid w:val="00EE6A28"/>
    <w:rsid w:val="00EF158A"/>
    <w:rsid w:val="00EF54B6"/>
    <w:rsid w:val="00EF5531"/>
    <w:rsid w:val="00EF56EB"/>
    <w:rsid w:val="00F021E3"/>
    <w:rsid w:val="00F06DA4"/>
    <w:rsid w:val="00F11AB7"/>
    <w:rsid w:val="00F1379B"/>
    <w:rsid w:val="00F14566"/>
    <w:rsid w:val="00F1589F"/>
    <w:rsid w:val="00F22A4A"/>
    <w:rsid w:val="00F36FFB"/>
    <w:rsid w:val="00F416F1"/>
    <w:rsid w:val="00F42623"/>
    <w:rsid w:val="00F42CBE"/>
    <w:rsid w:val="00F46B0D"/>
    <w:rsid w:val="00F47A28"/>
    <w:rsid w:val="00F50407"/>
    <w:rsid w:val="00F56274"/>
    <w:rsid w:val="00F63FB1"/>
    <w:rsid w:val="00F649AE"/>
    <w:rsid w:val="00F65453"/>
    <w:rsid w:val="00F811E5"/>
    <w:rsid w:val="00F835FA"/>
    <w:rsid w:val="00F904EF"/>
    <w:rsid w:val="00F91B40"/>
    <w:rsid w:val="00F92CF1"/>
    <w:rsid w:val="00F95C42"/>
    <w:rsid w:val="00FA2498"/>
    <w:rsid w:val="00FA43FA"/>
    <w:rsid w:val="00FB0255"/>
    <w:rsid w:val="00FB45B2"/>
    <w:rsid w:val="00FB60B1"/>
    <w:rsid w:val="00FB6DF9"/>
    <w:rsid w:val="00FC0219"/>
    <w:rsid w:val="00FC22C6"/>
    <w:rsid w:val="00FC5594"/>
    <w:rsid w:val="00FC593D"/>
    <w:rsid w:val="00FD1489"/>
    <w:rsid w:val="00FD4AAA"/>
    <w:rsid w:val="00FE29F4"/>
    <w:rsid w:val="00FE4062"/>
    <w:rsid w:val="00FF1051"/>
    <w:rsid w:val="00FF1129"/>
    <w:rsid w:val="00FF1EF2"/>
    <w:rsid w:val="00FF1EFC"/>
    <w:rsid w:val="00FF51CA"/>
    <w:rsid w:val="00FF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176CA"/>
  <w15:chartTrackingRefBased/>
  <w15:docId w15:val="{8EBD87DB-3551-402A-BE9F-E55C2B3E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0E8"/>
    <w:rPr>
      <w:rFonts w:ascii="Verdana" w:hAnsi="Verdana"/>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E90670"/>
    <w:pPr>
      <w:keepNext/>
      <w:spacing w:before="240" w:after="60"/>
      <w:outlineLvl w:val="1"/>
    </w:pPr>
    <w:rPr>
      <w:rFonts w:cs="Arial"/>
      <w:b/>
      <w:bCs/>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uiPriority w:val="39"/>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E90670"/>
    <w:rPr>
      <w:rFonts w:ascii="Verdana" w:hAnsi="Verdana" w:cs="Arial"/>
      <w:b/>
      <w:bCs/>
      <w:iCs/>
      <w:sz w:val="28"/>
      <w:szCs w:val="28"/>
    </w:rPr>
  </w:style>
  <w:style w:type="character" w:styleId="PageNumber">
    <w:name w:val="page number"/>
    <w:basedOn w:val="DefaultParagraphFont"/>
    <w:rsid w:val="00B05A5F"/>
  </w:style>
  <w:style w:type="paragraph" w:styleId="TOC2">
    <w:name w:val="toc 2"/>
    <w:basedOn w:val="Normal"/>
    <w:next w:val="Normal"/>
    <w:autoRedefine/>
    <w:uiPriority w:val="39"/>
    <w:rsid w:val="002808BE"/>
    <w:pPr>
      <w:tabs>
        <w:tab w:val="right" w:leader="dot" w:pos="12950"/>
      </w:tabs>
    </w:pPr>
  </w:style>
  <w:style w:type="paragraph" w:styleId="TOC1">
    <w:name w:val="toc 1"/>
    <w:basedOn w:val="Normal"/>
    <w:next w:val="Normal"/>
    <w:autoRedefine/>
    <w:uiPriority w:val="39"/>
    <w:rsid w:val="00767A3D"/>
    <w:pPr>
      <w:tabs>
        <w:tab w:val="right" w:leader="dot" w:pos="12950"/>
      </w:tabs>
      <w:spacing w:before="120"/>
    </w:pPr>
  </w:style>
  <w:style w:type="character" w:styleId="UnresolvedMention">
    <w:name w:val="Unresolved Mention"/>
    <w:basedOn w:val="DefaultParagraphFont"/>
    <w:uiPriority w:val="99"/>
    <w:semiHidden/>
    <w:unhideWhenUsed/>
    <w:rsid w:val="00AC135E"/>
    <w:rPr>
      <w:color w:val="605E5C"/>
      <w:shd w:val="clear" w:color="auto" w:fill="E1DFDD"/>
    </w:rPr>
  </w:style>
  <w:style w:type="paragraph" w:styleId="Revision">
    <w:name w:val="Revision"/>
    <w:hidden/>
    <w:uiPriority w:val="99"/>
    <w:semiHidden/>
    <w:rsid w:val="00B45FB8"/>
    <w:rPr>
      <w:sz w:val="24"/>
      <w:szCs w:val="24"/>
    </w:rPr>
  </w:style>
  <w:style w:type="paragraph" w:styleId="ListParagraph">
    <w:name w:val="List Paragraph"/>
    <w:basedOn w:val="Normal"/>
    <w:uiPriority w:val="34"/>
    <w:qFormat/>
    <w:rsid w:val="00C8639E"/>
    <w:pPr>
      <w:ind w:left="720"/>
      <w:contextualSpacing/>
    </w:pPr>
  </w:style>
  <w:style w:type="character" w:customStyle="1" w:styleId="content-id">
    <w:name w:val="content-id"/>
    <w:basedOn w:val="DefaultParagraphFont"/>
    <w:rsid w:val="009D4405"/>
  </w:style>
  <w:style w:type="paragraph" w:customStyle="1" w:styleId="style-scope">
    <w:name w:val="style-scope"/>
    <w:basedOn w:val="Normal"/>
    <w:rsid w:val="009D4405"/>
    <w:pPr>
      <w:spacing w:before="100" w:beforeAutospacing="1" w:after="100" w:afterAutospacing="1"/>
    </w:pPr>
  </w:style>
  <w:style w:type="character" w:styleId="IntenseReference">
    <w:name w:val="Intense Reference"/>
    <w:basedOn w:val="DefaultParagraphFont"/>
    <w:uiPriority w:val="32"/>
    <w:qFormat/>
    <w:rsid w:val="00CF37DC"/>
    <w:rPr>
      <w:b/>
      <w:bCs/>
      <w:smallCaps/>
      <w:color w:val="4472C4" w:themeColor="accent1"/>
      <w:spacing w:val="5"/>
    </w:rPr>
  </w:style>
  <w:style w:type="paragraph" w:customStyle="1" w:styleId="TableParagraph">
    <w:name w:val="Table Paragraph"/>
    <w:basedOn w:val="Normal"/>
    <w:uiPriority w:val="1"/>
    <w:qFormat/>
    <w:rsid w:val="00651BBF"/>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7563">
      <w:bodyDiv w:val="1"/>
      <w:marLeft w:val="0"/>
      <w:marRight w:val="0"/>
      <w:marTop w:val="0"/>
      <w:marBottom w:val="0"/>
      <w:divBdr>
        <w:top w:val="none" w:sz="0" w:space="0" w:color="auto"/>
        <w:left w:val="none" w:sz="0" w:space="0" w:color="auto"/>
        <w:bottom w:val="none" w:sz="0" w:space="0" w:color="auto"/>
        <w:right w:val="none" w:sz="0" w:space="0" w:color="auto"/>
      </w:divBdr>
    </w:div>
    <w:div w:id="97332035">
      <w:bodyDiv w:val="1"/>
      <w:marLeft w:val="0"/>
      <w:marRight w:val="0"/>
      <w:marTop w:val="0"/>
      <w:marBottom w:val="0"/>
      <w:divBdr>
        <w:top w:val="none" w:sz="0" w:space="0" w:color="auto"/>
        <w:left w:val="none" w:sz="0" w:space="0" w:color="auto"/>
        <w:bottom w:val="none" w:sz="0" w:space="0" w:color="auto"/>
        <w:right w:val="none" w:sz="0" w:space="0" w:color="auto"/>
      </w:divBdr>
    </w:div>
    <w:div w:id="155920189">
      <w:bodyDiv w:val="1"/>
      <w:marLeft w:val="0"/>
      <w:marRight w:val="0"/>
      <w:marTop w:val="0"/>
      <w:marBottom w:val="0"/>
      <w:divBdr>
        <w:top w:val="none" w:sz="0" w:space="0" w:color="auto"/>
        <w:left w:val="none" w:sz="0" w:space="0" w:color="auto"/>
        <w:bottom w:val="none" w:sz="0" w:space="0" w:color="auto"/>
        <w:right w:val="none" w:sz="0" w:space="0" w:color="auto"/>
      </w:divBdr>
    </w:div>
    <w:div w:id="228154951">
      <w:bodyDiv w:val="1"/>
      <w:marLeft w:val="0"/>
      <w:marRight w:val="0"/>
      <w:marTop w:val="0"/>
      <w:marBottom w:val="0"/>
      <w:divBdr>
        <w:top w:val="none" w:sz="0" w:space="0" w:color="auto"/>
        <w:left w:val="none" w:sz="0" w:space="0" w:color="auto"/>
        <w:bottom w:val="none" w:sz="0" w:space="0" w:color="auto"/>
        <w:right w:val="none" w:sz="0" w:space="0" w:color="auto"/>
      </w:divBdr>
      <w:divsChild>
        <w:div w:id="668947819">
          <w:marLeft w:val="0"/>
          <w:marRight w:val="0"/>
          <w:marTop w:val="0"/>
          <w:marBottom w:val="0"/>
          <w:divBdr>
            <w:top w:val="none" w:sz="0" w:space="0" w:color="auto"/>
            <w:left w:val="none" w:sz="0" w:space="0" w:color="auto"/>
            <w:bottom w:val="none" w:sz="0" w:space="0" w:color="auto"/>
            <w:right w:val="none" w:sz="0" w:space="0" w:color="auto"/>
          </w:divBdr>
          <w:divsChild>
            <w:div w:id="1337264360">
              <w:marLeft w:val="0"/>
              <w:marRight w:val="0"/>
              <w:marTop w:val="0"/>
              <w:marBottom w:val="0"/>
              <w:divBdr>
                <w:top w:val="none" w:sz="0" w:space="0" w:color="auto"/>
                <w:left w:val="none" w:sz="0" w:space="0" w:color="auto"/>
                <w:bottom w:val="none" w:sz="0" w:space="0" w:color="auto"/>
                <w:right w:val="none" w:sz="0" w:space="0" w:color="auto"/>
              </w:divBdr>
              <w:divsChild>
                <w:div w:id="598828134">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2074617409">
          <w:marLeft w:val="0"/>
          <w:marRight w:val="0"/>
          <w:marTop w:val="0"/>
          <w:marBottom w:val="0"/>
          <w:divBdr>
            <w:top w:val="none" w:sz="0" w:space="0" w:color="auto"/>
            <w:left w:val="none" w:sz="0" w:space="0" w:color="auto"/>
            <w:bottom w:val="none" w:sz="0" w:space="0" w:color="auto"/>
            <w:right w:val="none" w:sz="0" w:space="0" w:color="auto"/>
          </w:divBdr>
          <w:divsChild>
            <w:div w:id="174921849">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 w:id="240799889">
      <w:bodyDiv w:val="1"/>
      <w:marLeft w:val="0"/>
      <w:marRight w:val="0"/>
      <w:marTop w:val="0"/>
      <w:marBottom w:val="0"/>
      <w:divBdr>
        <w:top w:val="none" w:sz="0" w:space="0" w:color="auto"/>
        <w:left w:val="none" w:sz="0" w:space="0" w:color="auto"/>
        <w:bottom w:val="none" w:sz="0" w:space="0" w:color="auto"/>
        <w:right w:val="none" w:sz="0" w:space="0" w:color="auto"/>
      </w:divBdr>
    </w:div>
    <w:div w:id="534778081">
      <w:bodyDiv w:val="1"/>
      <w:marLeft w:val="0"/>
      <w:marRight w:val="0"/>
      <w:marTop w:val="0"/>
      <w:marBottom w:val="0"/>
      <w:divBdr>
        <w:top w:val="none" w:sz="0" w:space="0" w:color="auto"/>
        <w:left w:val="none" w:sz="0" w:space="0" w:color="auto"/>
        <w:bottom w:val="none" w:sz="0" w:space="0" w:color="auto"/>
        <w:right w:val="none" w:sz="0" w:space="0" w:color="auto"/>
      </w:divBdr>
    </w:div>
    <w:div w:id="545726581">
      <w:bodyDiv w:val="1"/>
      <w:marLeft w:val="0"/>
      <w:marRight w:val="0"/>
      <w:marTop w:val="0"/>
      <w:marBottom w:val="0"/>
      <w:divBdr>
        <w:top w:val="none" w:sz="0" w:space="0" w:color="auto"/>
        <w:left w:val="none" w:sz="0" w:space="0" w:color="auto"/>
        <w:bottom w:val="none" w:sz="0" w:space="0" w:color="auto"/>
        <w:right w:val="none" w:sz="0" w:space="0" w:color="auto"/>
      </w:divBdr>
    </w:div>
    <w:div w:id="625356149">
      <w:bodyDiv w:val="1"/>
      <w:marLeft w:val="0"/>
      <w:marRight w:val="0"/>
      <w:marTop w:val="0"/>
      <w:marBottom w:val="0"/>
      <w:divBdr>
        <w:top w:val="none" w:sz="0" w:space="0" w:color="auto"/>
        <w:left w:val="none" w:sz="0" w:space="0" w:color="auto"/>
        <w:bottom w:val="none" w:sz="0" w:space="0" w:color="auto"/>
        <w:right w:val="none" w:sz="0" w:space="0" w:color="auto"/>
      </w:divBdr>
    </w:div>
    <w:div w:id="771320596">
      <w:bodyDiv w:val="1"/>
      <w:marLeft w:val="0"/>
      <w:marRight w:val="0"/>
      <w:marTop w:val="0"/>
      <w:marBottom w:val="0"/>
      <w:divBdr>
        <w:top w:val="none" w:sz="0" w:space="0" w:color="auto"/>
        <w:left w:val="none" w:sz="0" w:space="0" w:color="auto"/>
        <w:bottom w:val="none" w:sz="0" w:space="0" w:color="auto"/>
        <w:right w:val="none" w:sz="0" w:space="0" w:color="auto"/>
      </w:divBdr>
    </w:div>
    <w:div w:id="959410000">
      <w:bodyDiv w:val="1"/>
      <w:marLeft w:val="0"/>
      <w:marRight w:val="0"/>
      <w:marTop w:val="0"/>
      <w:marBottom w:val="0"/>
      <w:divBdr>
        <w:top w:val="none" w:sz="0" w:space="0" w:color="auto"/>
        <w:left w:val="none" w:sz="0" w:space="0" w:color="auto"/>
        <w:bottom w:val="none" w:sz="0" w:space="0" w:color="auto"/>
        <w:right w:val="none" w:sz="0" w:space="0" w:color="auto"/>
      </w:divBdr>
    </w:div>
    <w:div w:id="1008559383">
      <w:bodyDiv w:val="1"/>
      <w:marLeft w:val="0"/>
      <w:marRight w:val="0"/>
      <w:marTop w:val="0"/>
      <w:marBottom w:val="0"/>
      <w:divBdr>
        <w:top w:val="none" w:sz="0" w:space="0" w:color="auto"/>
        <w:left w:val="none" w:sz="0" w:space="0" w:color="auto"/>
        <w:bottom w:val="none" w:sz="0" w:space="0" w:color="auto"/>
        <w:right w:val="none" w:sz="0" w:space="0" w:color="auto"/>
      </w:divBdr>
    </w:div>
    <w:div w:id="1009016793">
      <w:bodyDiv w:val="1"/>
      <w:marLeft w:val="0"/>
      <w:marRight w:val="0"/>
      <w:marTop w:val="0"/>
      <w:marBottom w:val="0"/>
      <w:divBdr>
        <w:top w:val="none" w:sz="0" w:space="0" w:color="auto"/>
        <w:left w:val="none" w:sz="0" w:space="0" w:color="auto"/>
        <w:bottom w:val="none" w:sz="0" w:space="0" w:color="auto"/>
        <w:right w:val="none" w:sz="0" w:space="0" w:color="auto"/>
      </w:divBdr>
    </w:div>
    <w:div w:id="1017534857">
      <w:bodyDiv w:val="1"/>
      <w:marLeft w:val="0"/>
      <w:marRight w:val="0"/>
      <w:marTop w:val="0"/>
      <w:marBottom w:val="0"/>
      <w:divBdr>
        <w:top w:val="none" w:sz="0" w:space="0" w:color="auto"/>
        <w:left w:val="none" w:sz="0" w:space="0" w:color="auto"/>
        <w:bottom w:val="none" w:sz="0" w:space="0" w:color="auto"/>
        <w:right w:val="none" w:sz="0" w:space="0" w:color="auto"/>
      </w:divBdr>
    </w:div>
    <w:div w:id="1050957673">
      <w:bodyDiv w:val="1"/>
      <w:marLeft w:val="0"/>
      <w:marRight w:val="0"/>
      <w:marTop w:val="0"/>
      <w:marBottom w:val="0"/>
      <w:divBdr>
        <w:top w:val="none" w:sz="0" w:space="0" w:color="auto"/>
        <w:left w:val="none" w:sz="0" w:space="0" w:color="auto"/>
        <w:bottom w:val="none" w:sz="0" w:space="0" w:color="auto"/>
        <w:right w:val="none" w:sz="0" w:space="0" w:color="auto"/>
      </w:divBdr>
    </w:div>
    <w:div w:id="1097479754">
      <w:bodyDiv w:val="1"/>
      <w:marLeft w:val="0"/>
      <w:marRight w:val="0"/>
      <w:marTop w:val="0"/>
      <w:marBottom w:val="0"/>
      <w:divBdr>
        <w:top w:val="none" w:sz="0" w:space="0" w:color="auto"/>
        <w:left w:val="none" w:sz="0" w:space="0" w:color="auto"/>
        <w:bottom w:val="none" w:sz="0" w:space="0" w:color="auto"/>
        <w:right w:val="none" w:sz="0" w:space="0" w:color="auto"/>
      </w:divBdr>
    </w:div>
    <w:div w:id="1145273499">
      <w:bodyDiv w:val="1"/>
      <w:marLeft w:val="0"/>
      <w:marRight w:val="0"/>
      <w:marTop w:val="0"/>
      <w:marBottom w:val="0"/>
      <w:divBdr>
        <w:top w:val="none" w:sz="0" w:space="0" w:color="auto"/>
        <w:left w:val="none" w:sz="0" w:space="0" w:color="auto"/>
        <w:bottom w:val="none" w:sz="0" w:space="0" w:color="auto"/>
        <w:right w:val="none" w:sz="0" w:space="0" w:color="auto"/>
      </w:divBdr>
    </w:div>
    <w:div w:id="1171986039">
      <w:bodyDiv w:val="1"/>
      <w:marLeft w:val="0"/>
      <w:marRight w:val="0"/>
      <w:marTop w:val="0"/>
      <w:marBottom w:val="0"/>
      <w:divBdr>
        <w:top w:val="none" w:sz="0" w:space="0" w:color="auto"/>
        <w:left w:val="none" w:sz="0" w:space="0" w:color="auto"/>
        <w:bottom w:val="none" w:sz="0" w:space="0" w:color="auto"/>
        <w:right w:val="none" w:sz="0" w:space="0" w:color="auto"/>
      </w:divBdr>
    </w:div>
    <w:div w:id="1283263557">
      <w:bodyDiv w:val="1"/>
      <w:marLeft w:val="0"/>
      <w:marRight w:val="0"/>
      <w:marTop w:val="0"/>
      <w:marBottom w:val="0"/>
      <w:divBdr>
        <w:top w:val="none" w:sz="0" w:space="0" w:color="auto"/>
        <w:left w:val="none" w:sz="0" w:space="0" w:color="auto"/>
        <w:bottom w:val="none" w:sz="0" w:space="0" w:color="auto"/>
        <w:right w:val="none" w:sz="0" w:space="0" w:color="auto"/>
      </w:divBdr>
    </w:div>
    <w:div w:id="1289820376">
      <w:bodyDiv w:val="1"/>
      <w:marLeft w:val="0"/>
      <w:marRight w:val="0"/>
      <w:marTop w:val="0"/>
      <w:marBottom w:val="0"/>
      <w:divBdr>
        <w:top w:val="none" w:sz="0" w:space="0" w:color="auto"/>
        <w:left w:val="none" w:sz="0" w:space="0" w:color="auto"/>
        <w:bottom w:val="none" w:sz="0" w:space="0" w:color="auto"/>
        <w:right w:val="none" w:sz="0" w:space="0" w:color="auto"/>
      </w:divBdr>
    </w:div>
    <w:div w:id="1337537591">
      <w:bodyDiv w:val="1"/>
      <w:marLeft w:val="0"/>
      <w:marRight w:val="0"/>
      <w:marTop w:val="0"/>
      <w:marBottom w:val="0"/>
      <w:divBdr>
        <w:top w:val="none" w:sz="0" w:space="0" w:color="auto"/>
        <w:left w:val="none" w:sz="0" w:space="0" w:color="auto"/>
        <w:bottom w:val="none" w:sz="0" w:space="0" w:color="auto"/>
        <w:right w:val="none" w:sz="0" w:space="0" w:color="auto"/>
      </w:divBdr>
    </w:div>
    <w:div w:id="1360206508">
      <w:bodyDiv w:val="1"/>
      <w:marLeft w:val="0"/>
      <w:marRight w:val="0"/>
      <w:marTop w:val="0"/>
      <w:marBottom w:val="0"/>
      <w:divBdr>
        <w:top w:val="none" w:sz="0" w:space="0" w:color="auto"/>
        <w:left w:val="none" w:sz="0" w:space="0" w:color="auto"/>
        <w:bottom w:val="none" w:sz="0" w:space="0" w:color="auto"/>
        <w:right w:val="none" w:sz="0" w:space="0" w:color="auto"/>
      </w:divBdr>
    </w:div>
    <w:div w:id="1361082326">
      <w:bodyDiv w:val="1"/>
      <w:marLeft w:val="0"/>
      <w:marRight w:val="0"/>
      <w:marTop w:val="0"/>
      <w:marBottom w:val="0"/>
      <w:divBdr>
        <w:top w:val="none" w:sz="0" w:space="0" w:color="auto"/>
        <w:left w:val="none" w:sz="0" w:space="0" w:color="auto"/>
        <w:bottom w:val="none" w:sz="0" w:space="0" w:color="auto"/>
        <w:right w:val="none" w:sz="0" w:space="0" w:color="auto"/>
      </w:divBdr>
    </w:div>
    <w:div w:id="1547178420">
      <w:bodyDiv w:val="1"/>
      <w:marLeft w:val="0"/>
      <w:marRight w:val="0"/>
      <w:marTop w:val="0"/>
      <w:marBottom w:val="0"/>
      <w:divBdr>
        <w:top w:val="none" w:sz="0" w:space="0" w:color="auto"/>
        <w:left w:val="none" w:sz="0" w:space="0" w:color="auto"/>
        <w:bottom w:val="none" w:sz="0" w:space="0" w:color="auto"/>
        <w:right w:val="none" w:sz="0" w:space="0" w:color="auto"/>
      </w:divBdr>
    </w:div>
    <w:div w:id="1601251826">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59728573">
      <w:bodyDiv w:val="1"/>
      <w:marLeft w:val="0"/>
      <w:marRight w:val="0"/>
      <w:marTop w:val="0"/>
      <w:marBottom w:val="0"/>
      <w:divBdr>
        <w:top w:val="none" w:sz="0" w:space="0" w:color="auto"/>
        <w:left w:val="none" w:sz="0" w:space="0" w:color="auto"/>
        <w:bottom w:val="none" w:sz="0" w:space="0" w:color="auto"/>
        <w:right w:val="none" w:sz="0" w:space="0" w:color="auto"/>
      </w:divBdr>
    </w:div>
    <w:div w:id="1691947877">
      <w:bodyDiv w:val="1"/>
      <w:marLeft w:val="0"/>
      <w:marRight w:val="0"/>
      <w:marTop w:val="0"/>
      <w:marBottom w:val="0"/>
      <w:divBdr>
        <w:top w:val="none" w:sz="0" w:space="0" w:color="auto"/>
        <w:left w:val="none" w:sz="0" w:space="0" w:color="auto"/>
        <w:bottom w:val="none" w:sz="0" w:space="0" w:color="auto"/>
        <w:right w:val="none" w:sz="0" w:space="0" w:color="auto"/>
      </w:divBdr>
    </w:div>
    <w:div w:id="1699232715">
      <w:bodyDiv w:val="1"/>
      <w:marLeft w:val="0"/>
      <w:marRight w:val="0"/>
      <w:marTop w:val="0"/>
      <w:marBottom w:val="0"/>
      <w:divBdr>
        <w:top w:val="none" w:sz="0" w:space="0" w:color="auto"/>
        <w:left w:val="none" w:sz="0" w:space="0" w:color="auto"/>
        <w:bottom w:val="none" w:sz="0" w:space="0" w:color="auto"/>
        <w:right w:val="none" w:sz="0" w:space="0" w:color="auto"/>
      </w:divBdr>
    </w:div>
    <w:div w:id="1737239184">
      <w:bodyDiv w:val="1"/>
      <w:marLeft w:val="0"/>
      <w:marRight w:val="0"/>
      <w:marTop w:val="0"/>
      <w:marBottom w:val="0"/>
      <w:divBdr>
        <w:top w:val="none" w:sz="0" w:space="0" w:color="auto"/>
        <w:left w:val="none" w:sz="0" w:space="0" w:color="auto"/>
        <w:bottom w:val="none" w:sz="0" w:space="0" w:color="auto"/>
        <w:right w:val="none" w:sz="0" w:space="0" w:color="auto"/>
      </w:divBdr>
    </w:div>
    <w:div w:id="1740053449">
      <w:bodyDiv w:val="1"/>
      <w:marLeft w:val="0"/>
      <w:marRight w:val="0"/>
      <w:marTop w:val="0"/>
      <w:marBottom w:val="0"/>
      <w:divBdr>
        <w:top w:val="none" w:sz="0" w:space="0" w:color="auto"/>
        <w:left w:val="none" w:sz="0" w:space="0" w:color="auto"/>
        <w:bottom w:val="none" w:sz="0" w:space="0" w:color="auto"/>
        <w:right w:val="none" w:sz="0" w:space="0" w:color="auto"/>
      </w:divBdr>
    </w:div>
    <w:div w:id="1837842845">
      <w:bodyDiv w:val="1"/>
      <w:marLeft w:val="0"/>
      <w:marRight w:val="0"/>
      <w:marTop w:val="0"/>
      <w:marBottom w:val="0"/>
      <w:divBdr>
        <w:top w:val="none" w:sz="0" w:space="0" w:color="auto"/>
        <w:left w:val="none" w:sz="0" w:space="0" w:color="auto"/>
        <w:bottom w:val="none" w:sz="0" w:space="0" w:color="auto"/>
        <w:right w:val="none" w:sz="0" w:space="0" w:color="auto"/>
      </w:divBdr>
    </w:div>
    <w:div w:id="1876387703">
      <w:bodyDiv w:val="1"/>
      <w:marLeft w:val="0"/>
      <w:marRight w:val="0"/>
      <w:marTop w:val="0"/>
      <w:marBottom w:val="0"/>
      <w:divBdr>
        <w:top w:val="none" w:sz="0" w:space="0" w:color="auto"/>
        <w:left w:val="none" w:sz="0" w:space="0" w:color="auto"/>
        <w:bottom w:val="none" w:sz="0" w:space="0" w:color="auto"/>
        <w:right w:val="none" w:sz="0" w:space="0" w:color="auto"/>
      </w:divBdr>
    </w:div>
    <w:div w:id="1962690662">
      <w:bodyDiv w:val="1"/>
      <w:marLeft w:val="0"/>
      <w:marRight w:val="0"/>
      <w:marTop w:val="0"/>
      <w:marBottom w:val="0"/>
      <w:divBdr>
        <w:top w:val="none" w:sz="0" w:space="0" w:color="auto"/>
        <w:left w:val="none" w:sz="0" w:space="0" w:color="auto"/>
        <w:bottom w:val="none" w:sz="0" w:space="0" w:color="auto"/>
        <w:right w:val="none" w:sz="0" w:space="0" w:color="auto"/>
      </w:divBdr>
    </w:div>
    <w:div w:id="2023583661">
      <w:bodyDiv w:val="1"/>
      <w:marLeft w:val="0"/>
      <w:marRight w:val="0"/>
      <w:marTop w:val="0"/>
      <w:marBottom w:val="0"/>
      <w:divBdr>
        <w:top w:val="none" w:sz="0" w:space="0" w:color="auto"/>
        <w:left w:val="none" w:sz="0" w:space="0" w:color="auto"/>
        <w:bottom w:val="none" w:sz="0" w:space="0" w:color="auto"/>
        <w:right w:val="none" w:sz="0" w:space="0" w:color="auto"/>
      </w:divBdr>
    </w:div>
    <w:div w:id="209539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hesource.cvshealth.com/nuxeo/thesourc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E4AAA3-824A-4DEE-80B2-05D15E3F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151</TotalTime>
  <Pages>1</Pages>
  <Words>2096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13452</CharactersWithSpaces>
  <SharedDoc>false</SharedDoc>
  <HLinks>
    <vt:vector size="126" baseType="variant">
      <vt:variant>
        <vt:i4>262192</vt:i4>
      </vt:variant>
      <vt:variant>
        <vt:i4>63</vt:i4>
      </vt:variant>
      <vt:variant>
        <vt:i4>0</vt:i4>
      </vt:variant>
      <vt:variant>
        <vt:i4>5</vt:i4>
      </vt:variant>
      <vt:variant>
        <vt:lpwstr/>
      </vt:variant>
      <vt:variant>
        <vt:lpwstr>_top</vt:lpwstr>
      </vt:variant>
      <vt:variant>
        <vt:i4>1376333</vt:i4>
      </vt:variant>
      <vt:variant>
        <vt:i4>60</vt:i4>
      </vt:variant>
      <vt:variant>
        <vt:i4>0</vt:i4>
      </vt:variant>
      <vt:variant>
        <vt:i4>5</vt:i4>
      </vt:variant>
      <vt:variant>
        <vt:lpwstr>https://thesource.cvshealth.com/nuxeo/thesource/</vt:lpwstr>
      </vt:variant>
      <vt:variant>
        <vt:lpwstr>!/view?docid=c1f1028b-e42c-4b4f-a4cf-cc0b42c91606</vt:lpwstr>
      </vt:variant>
      <vt:variant>
        <vt:i4>262192</vt:i4>
      </vt:variant>
      <vt:variant>
        <vt:i4>57</vt:i4>
      </vt:variant>
      <vt:variant>
        <vt:i4>0</vt:i4>
      </vt:variant>
      <vt:variant>
        <vt:i4>5</vt:i4>
      </vt:variant>
      <vt:variant>
        <vt:lpwstr/>
      </vt:variant>
      <vt:variant>
        <vt:lpwstr>_top</vt:lpwstr>
      </vt: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1769494</vt:i4>
      </vt:variant>
      <vt:variant>
        <vt:i4>45</vt:i4>
      </vt:variant>
      <vt:variant>
        <vt:i4>0</vt:i4>
      </vt:variant>
      <vt:variant>
        <vt:i4>5</vt:i4>
      </vt:variant>
      <vt:variant>
        <vt:lpwstr>https://thesource.cvshealth.com/nuxeo/thesource/</vt:lpwstr>
      </vt:variant>
      <vt:variant>
        <vt:lpwstr>!/view?docid=9391163d-805a-4b1c-b7e3-532bd914aab3</vt:lpwstr>
      </vt:variant>
      <vt:variant>
        <vt:i4>262192</vt:i4>
      </vt:variant>
      <vt:variant>
        <vt:i4>42</vt:i4>
      </vt:variant>
      <vt:variant>
        <vt:i4>0</vt:i4>
      </vt:variant>
      <vt:variant>
        <vt:i4>5</vt:i4>
      </vt:variant>
      <vt:variant>
        <vt:lpwstr/>
      </vt:variant>
      <vt:variant>
        <vt:lpwstr>_top</vt:lpwstr>
      </vt:variant>
      <vt:variant>
        <vt:i4>4259910</vt:i4>
      </vt:variant>
      <vt:variant>
        <vt:i4>39</vt:i4>
      </vt:variant>
      <vt:variant>
        <vt:i4>0</vt:i4>
      </vt:variant>
      <vt:variant>
        <vt:i4>5</vt:i4>
      </vt:variant>
      <vt:variant>
        <vt:lpwstr>https://thesource.cvshealth.com/nuxeo/thesource/</vt:lpwstr>
      </vt:variant>
      <vt:variant>
        <vt:lpwstr>!/view?docid=bb53e90d-b0b3-4767-b470-96a6ea3668f6</vt:lpwstr>
      </vt:variant>
      <vt:variant>
        <vt:i4>262192</vt:i4>
      </vt:variant>
      <vt:variant>
        <vt:i4>36</vt:i4>
      </vt:variant>
      <vt:variant>
        <vt:i4>0</vt:i4>
      </vt:variant>
      <vt:variant>
        <vt:i4>5</vt:i4>
      </vt:variant>
      <vt:variant>
        <vt:lpwstr/>
      </vt:variant>
      <vt:variant>
        <vt:lpwstr>_top</vt:lpwstr>
      </vt:variant>
      <vt:variant>
        <vt:i4>1638430</vt:i4>
      </vt:variant>
      <vt:variant>
        <vt:i4>33</vt:i4>
      </vt:variant>
      <vt:variant>
        <vt:i4>0</vt:i4>
      </vt:variant>
      <vt:variant>
        <vt:i4>5</vt:i4>
      </vt:variant>
      <vt:variant>
        <vt:lpwstr>https://thesource.cvshealth.com/nuxeo/thesource/</vt:lpwstr>
      </vt:variant>
      <vt:variant>
        <vt:lpwstr>!/view?docid=95d04ce3-448f-402f-b9de-4cf859e5d0cf</vt:lpwstr>
      </vt:variant>
      <vt:variant>
        <vt:i4>5046365</vt:i4>
      </vt:variant>
      <vt:variant>
        <vt:i4>30</vt:i4>
      </vt:variant>
      <vt:variant>
        <vt:i4>0</vt:i4>
      </vt:variant>
      <vt:variant>
        <vt:i4>5</vt:i4>
      </vt:variant>
      <vt:variant>
        <vt:lpwstr/>
      </vt:variant>
      <vt:variant>
        <vt:lpwstr>_Care_Goals</vt:lpwstr>
      </vt:variant>
      <vt:variant>
        <vt:i4>262192</vt:i4>
      </vt:variant>
      <vt:variant>
        <vt:i4>27</vt:i4>
      </vt:variant>
      <vt:variant>
        <vt:i4>0</vt:i4>
      </vt:variant>
      <vt:variant>
        <vt:i4>5</vt:i4>
      </vt:variant>
      <vt:variant>
        <vt:lpwstr/>
      </vt:variant>
      <vt:variant>
        <vt:lpwstr>_top</vt:lpwstr>
      </vt:variant>
      <vt:variant>
        <vt:i4>1572927</vt:i4>
      </vt:variant>
      <vt:variant>
        <vt:i4>23</vt:i4>
      </vt:variant>
      <vt:variant>
        <vt:i4>0</vt:i4>
      </vt:variant>
      <vt:variant>
        <vt:i4>5</vt:i4>
      </vt:variant>
      <vt:variant>
        <vt:lpwstr/>
      </vt:variant>
      <vt:variant>
        <vt:lpwstr>_Toc192157904</vt:lpwstr>
      </vt:variant>
      <vt:variant>
        <vt:i4>1572927</vt:i4>
      </vt:variant>
      <vt:variant>
        <vt:i4>20</vt:i4>
      </vt:variant>
      <vt:variant>
        <vt:i4>0</vt:i4>
      </vt:variant>
      <vt:variant>
        <vt:i4>5</vt:i4>
      </vt:variant>
      <vt:variant>
        <vt:lpwstr/>
      </vt:variant>
      <vt:variant>
        <vt:lpwstr>_Toc192157903</vt:lpwstr>
      </vt:variant>
      <vt:variant>
        <vt:i4>1572927</vt:i4>
      </vt:variant>
      <vt:variant>
        <vt:i4>17</vt:i4>
      </vt:variant>
      <vt:variant>
        <vt:i4>0</vt:i4>
      </vt:variant>
      <vt:variant>
        <vt:i4>5</vt:i4>
      </vt:variant>
      <vt:variant>
        <vt:lpwstr/>
      </vt:variant>
      <vt:variant>
        <vt:lpwstr>_Toc192157902</vt:lpwstr>
      </vt:variant>
      <vt:variant>
        <vt:i4>1572927</vt:i4>
      </vt:variant>
      <vt:variant>
        <vt:i4>14</vt:i4>
      </vt:variant>
      <vt:variant>
        <vt:i4>0</vt:i4>
      </vt:variant>
      <vt:variant>
        <vt:i4>5</vt:i4>
      </vt:variant>
      <vt:variant>
        <vt:lpwstr/>
      </vt:variant>
      <vt:variant>
        <vt:lpwstr>_Toc192157901</vt:lpwstr>
      </vt:variant>
      <vt:variant>
        <vt:i4>1572927</vt:i4>
      </vt:variant>
      <vt:variant>
        <vt:i4>11</vt:i4>
      </vt:variant>
      <vt:variant>
        <vt:i4>0</vt:i4>
      </vt:variant>
      <vt:variant>
        <vt:i4>5</vt:i4>
      </vt:variant>
      <vt:variant>
        <vt:lpwstr/>
      </vt:variant>
      <vt:variant>
        <vt:lpwstr>_Toc192157900</vt:lpwstr>
      </vt:variant>
      <vt:variant>
        <vt:i4>1114174</vt:i4>
      </vt:variant>
      <vt:variant>
        <vt:i4>8</vt:i4>
      </vt:variant>
      <vt:variant>
        <vt:i4>0</vt:i4>
      </vt:variant>
      <vt:variant>
        <vt:i4>5</vt:i4>
      </vt:variant>
      <vt:variant>
        <vt:lpwstr/>
      </vt:variant>
      <vt:variant>
        <vt:lpwstr>_Toc192157899</vt:lpwstr>
      </vt:variant>
      <vt:variant>
        <vt:i4>1114174</vt:i4>
      </vt:variant>
      <vt:variant>
        <vt:i4>5</vt:i4>
      </vt:variant>
      <vt:variant>
        <vt:i4>0</vt:i4>
      </vt:variant>
      <vt:variant>
        <vt:i4>5</vt:i4>
      </vt:variant>
      <vt:variant>
        <vt:lpwstr/>
      </vt:variant>
      <vt:variant>
        <vt:lpwstr>_Toc192157898</vt:lpwstr>
      </vt:variant>
      <vt:variant>
        <vt:i4>1114174</vt:i4>
      </vt:variant>
      <vt:variant>
        <vt:i4>2</vt:i4>
      </vt:variant>
      <vt:variant>
        <vt:i4>0</vt:i4>
      </vt:variant>
      <vt:variant>
        <vt:i4>5</vt:i4>
      </vt:variant>
      <vt:variant>
        <vt:lpwstr/>
      </vt:variant>
      <vt:variant>
        <vt:lpwstr>_Toc192157897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Dugdale, Brienna</cp:lastModifiedBy>
  <cp:revision>59</cp:revision>
  <dcterms:created xsi:type="dcterms:W3CDTF">2025-03-06T19:34:00Z</dcterms:created>
  <dcterms:modified xsi:type="dcterms:W3CDTF">2025-06-02T16:55:00Z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2021-08-30T17:07:37Z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0acf0006-4db2-4f89-a892-195bfd857497</vt:lpwstr>
  </property>
  <property fmtid="{D5CDD505-2E9C-101B-9397-08002B2CF9AE}" pid="8" name="MSIP_Label_67599526-06ca-49cc-9fa9-5307800a949a_ContentBits">
    <vt:lpwstr>0</vt:lpwstr>
  </property>
</Properties>
</file>