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1FF51" w14:textId="4A74D6DA" w:rsidR="000F13F2" w:rsidRDefault="00B31E93" w:rsidP="00AF5048">
      <w:pPr>
        <w:pStyle w:val="Heading1"/>
        <w:spacing w:before="120" w:after="120" w:line="240" w:lineRule="atLeast"/>
        <w:textAlignment w:val="top"/>
        <w:rPr>
          <w:rFonts w:ascii="Verdana" w:hAnsi="Verdana"/>
          <w:color w:val="000000"/>
          <w:sz w:val="36"/>
          <w:szCs w:val="36"/>
        </w:rPr>
      </w:pPr>
      <w:bookmarkStart w:id="0" w:name="_Hlk73963868"/>
      <w:bookmarkStart w:id="1" w:name="_top"/>
      <w:bookmarkEnd w:id="1"/>
      <w:r>
        <w:rPr>
          <w:rFonts w:ascii="Verdana" w:hAnsi="Verdana"/>
          <w:color w:val="000000"/>
          <w:sz w:val="36"/>
          <w:szCs w:val="36"/>
        </w:rPr>
        <w:t xml:space="preserve">Service Excellence - </w:t>
      </w:r>
      <w:r w:rsidR="0031528D" w:rsidRPr="00F778B1">
        <w:rPr>
          <w:rFonts w:ascii="Verdana" w:hAnsi="Verdana"/>
          <w:color w:val="000000"/>
          <w:sz w:val="36"/>
          <w:szCs w:val="36"/>
        </w:rPr>
        <w:t xml:space="preserve">Customer </w:t>
      </w:r>
      <w:r w:rsidR="000F13F2" w:rsidRPr="00F778B1">
        <w:rPr>
          <w:rFonts w:ascii="Verdana" w:hAnsi="Verdana"/>
          <w:color w:val="000000"/>
          <w:sz w:val="36"/>
          <w:szCs w:val="36"/>
        </w:rPr>
        <w:t>Experience Guidelines and Expectations</w:t>
      </w:r>
    </w:p>
    <w:p w14:paraId="3544AC4A" w14:textId="77777777" w:rsidR="00C35E3B" w:rsidRPr="00C35E3B" w:rsidRDefault="00C35E3B" w:rsidP="00AF5048">
      <w:pPr>
        <w:spacing w:before="120" w:after="120"/>
        <w:rPr>
          <w:rFonts w:ascii="Verdana" w:hAnsi="Verdana"/>
        </w:rPr>
      </w:pPr>
    </w:p>
    <w:bookmarkEnd w:id="0"/>
    <w:p w14:paraId="6A43C3F2" w14:textId="1731B8AC" w:rsidR="008106D6" w:rsidRDefault="009401FC" w:rsidP="00AF50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"2-2" \n \p " " \h \z \u </w:instrText>
      </w:r>
      <w:r>
        <w:rPr>
          <w:b/>
        </w:rPr>
        <w:fldChar w:fldCharType="separate"/>
      </w:r>
      <w:hyperlink w:anchor="_Toc196809293" w:history="1">
        <w:r w:rsidR="008106D6" w:rsidRPr="00041F34">
          <w:rPr>
            <w:rStyle w:val="Hyperlink"/>
            <w:rFonts w:ascii="Verdana" w:hAnsi="Verdana"/>
            <w:noProof/>
          </w:rPr>
          <w:t>Guidelines and Expectations</w:t>
        </w:r>
      </w:hyperlink>
    </w:p>
    <w:p w14:paraId="44C11D5D" w14:textId="649829C9" w:rsidR="008106D6" w:rsidRDefault="008106D6" w:rsidP="00AF50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809294" w:history="1">
        <w:r w:rsidRPr="00041F34">
          <w:rPr>
            <w:rStyle w:val="Hyperlink"/>
            <w:rFonts w:ascii="Verdana" w:hAnsi="Verdana"/>
            <w:noProof/>
          </w:rPr>
          <w:t>Unacceptable Behaviors</w:t>
        </w:r>
      </w:hyperlink>
    </w:p>
    <w:p w14:paraId="3F905BB1" w14:textId="461FF285" w:rsidR="008106D6" w:rsidRDefault="008106D6" w:rsidP="00AF5048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809295" w:history="1">
        <w:r w:rsidRPr="00041F34">
          <w:rPr>
            <w:rStyle w:val="Hyperlink"/>
            <w:rFonts w:ascii="Verdana" w:hAnsi="Verdana"/>
            <w:noProof/>
          </w:rPr>
          <w:t>Related Documents</w:t>
        </w:r>
      </w:hyperlink>
    </w:p>
    <w:p w14:paraId="728BE2EF" w14:textId="76139550" w:rsidR="000E2186" w:rsidRPr="008106D6" w:rsidRDefault="009401FC" w:rsidP="00AF5048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  <w:bookmarkStart w:id="2" w:name="_Overview"/>
      <w:bookmarkEnd w:id="2"/>
    </w:p>
    <w:p w14:paraId="7B8DF22D" w14:textId="55BC6336" w:rsidR="00583E36" w:rsidRDefault="00D47A1D" w:rsidP="00AF5048">
      <w:pPr>
        <w:spacing w:before="120" w:after="120"/>
        <w:rPr>
          <w:rFonts w:ascii="Verdana" w:hAnsi="Verdana"/>
        </w:rPr>
      </w:pPr>
      <w:bookmarkStart w:id="3" w:name="_Definitions"/>
      <w:bookmarkEnd w:id="3"/>
      <w:r w:rsidRPr="00D47A1D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Pr="00D47A1D">
        <w:rPr>
          <w:rFonts w:ascii="Verdana" w:hAnsi="Verdana"/>
        </w:rPr>
        <w:t>Customer Experience guidelines and expectations for our colleagues to follow. We strive to ensure every</w:t>
      </w:r>
      <w:r w:rsidR="00563CC5">
        <w:rPr>
          <w:rFonts w:ascii="Verdana" w:hAnsi="Verdana"/>
        </w:rPr>
        <w:t>one</w:t>
      </w:r>
      <w:r w:rsidR="00563CC5" w:rsidRPr="00D47A1D">
        <w:rPr>
          <w:rFonts w:ascii="Verdana" w:hAnsi="Verdana"/>
        </w:rPr>
        <w:t xml:space="preserve"> </w:t>
      </w:r>
      <w:r w:rsidRPr="00D47A1D">
        <w:rPr>
          <w:rFonts w:ascii="Verdana" w:hAnsi="Verdana"/>
        </w:rPr>
        <w:t>(</w:t>
      </w:r>
      <w:r w:rsidRPr="00D47A1D">
        <w:rPr>
          <w:rFonts w:ascii="Verdana" w:hAnsi="Verdana"/>
          <w:b/>
          <w:bCs/>
        </w:rPr>
        <w:t>Examples:</w:t>
      </w:r>
      <w:r w:rsidRPr="00D47A1D">
        <w:rPr>
          <w:rFonts w:ascii="Verdana" w:hAnsi="Verdana"/>
        </w:rPr>
        <w:t xml:space="preserve"> Plan members, clients, internal business partners and peers) is highly satisfied with the experience provided to them by our colleagues.</w:t>
      </w:r>
    </w:p>
    <w:p w14:paraId="0F90A9E7" w14:textId="77777777" w:rsidR="00D47A1D" w:rsidRDefault="00D47A1D" w:rsidP="00AF5048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DE05E3" w14:paraId="1E024E7C" w14:textId="77777777" w:rsidTr="00D47A1D">
        <w:tc>
          <w:tcPr>
            <w:tcW w:w="5000" w:type="pct"/>
            <w:shd w:val="clear" w:color="auto" w:fill="C0C0C0"/>
          </w:tcPr>
          <w:p w14:paraId="3BD2B8A4" w14:textId="77777777" w:rsidR="00A97B7D" w:rsidRPr="00DE05E3" w:rsidRDefault="0077559D" w:rsidP="00AF504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Guidelines_and_Expectations"/>
            <w:bookmarkStart w:id="9" w:name="WI"/>
            <w:bookmarkStart w:id="10" w:name="_Toc196809293"/>
            <w:bookmarkEnd w:id="4"/>
            <w:bookmarkEnd w:id="5"/>
            <w:bookmarkEnd w:id="6"/>
            <w:bookmarkEnd w:id="7"/>
            <w:bookmarkEnd w:id="8"/>
            <w:r w:rsidRPr="00DE05E3">
              <w:rPr>
                <w:rFonts w:ascii="Verdana" w:hAnsi="Verdana"/>
                <w:i w:val="0"/>
                <w:iCs w:val="0"/>
              </w:rPr>
              <w:t>Guidelines</w:t>
            </w:r>
            <w:r w:rsidR="00A97B7D" w:rsidRPr="00DE05E3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9"/>
            <w:r w:rsidRPr="00DE05E3">
              <w:rPr>
                <w:rFonts w:ascii="Verdana" w:hAnsi="Verdana"/>
                <w:i w:val="0"/>
                <w:iCs w:val="0"/>
              </w:rPr>
              <w:t>and Expectations</w:t>
            </w:r>
            <w:bookmarkEnd w:id="10"/>
          </w:p>
        </w:tc>
      </w:tr>
    </w:tbl>
    <w:p w14:paraId="5989BBE5" w14:textId="77777777" w:rsidR="00A07F47" w:rsidRPr="00F778B1" w:rsidRDefault="00A07F47" w:rsidP="00AF5048">
      <w:pPr>
        <w:spacing w:before="120" w:after="120"/>
        <w:rPr>
          <w:rFonts w:ascii="Verdana" w:hAnsi="Verdana"/>
          <w:color w:val="000000"/>
        </w:rPr>
      </w:pPr>
      <w:r w:rsidRPr="00316B7C">
        <w:rPr>
          <w:rFonts w:ascii="Verdana" w:hAnsi="Verdana"/>
        </w:rPr>
        <w:t xml:space="preserve">Our expectation is that all </w:t>
      </w:r>
      <w:r w:rsidR="00AA322E">
        <w:rPr>
          <w:rFonts w:ascii="Verdana" w:hAnsi="Verdana"/>
        </w:rPr>
        <w:t>c</w:t>
      </w:r>
      <w:r w:rsidR="00A00BE7" w:rsidRPr="00F778B1">
        <w:rPr>
          <w:rFonts w:ascii="Verdana" w:hAnsi="Verdana"/>
          <w:color w:val="000000"/>
        </w:rPr>
        <w:t xml:space="preserve">olleagues </w:t>
      </w:r>
      <w:r w:rsidRPr="00F778B1">
        <w:rPr>
          <w:rFonts w:ascii="Verdana" w:hAnsi="Verdana"/>
          <w:color w:val="000000"/>
        </w:rPr>
        <w:t xml:space="preserve">will enhance </w:t>
      </w:r>
      <w:proofErr w:type="gramStart"/>
      <w:r w:rsidRPr="00F778B1">
        <w:rPr>
          <w:rFonts w:ascii="Verdana" w:hAnsi="Verdana"/>
          <w:color w:val="000000"/>
        </w:rPr>
        <w:t xml:space="preserve">the </w:t>
      </w:r>
      <w:r w:rsidR="00384786" w:rsidRPr="00F778B1">
        <w:rPr>
          <w:rFonts w:ascii="Verdana" w:hAnsi="Verdana"/>
          <w:color w:val="000000"/>
        </w:rPr>
        <w:t>Customer</w:t>
      </w:r>
      <w:proofErr w:type="gramEnd"/>
      <w:r w:rsidR="00E34DFF" w:rsidRPr="00F778B1">
        <w:rPr>
          <w:rFonts w:ascii="Verdana" w:hAnsi="Verdana"/>
          <w:color w:val="000000"/>
        </w:rPr>
        <w:t xml:space="preserve"> </w:t>
      </w:r>
      <w:r w:rsidRPr="00F778B1">
        <w:rPr>
          <w:rFonts w:ascii="Verdana" w:hAnsi="Verdana"/>
          <w:color w:val="000000"/>
        </w:rPr>
        <w:t>Experience by:</w:t>
      </w:r>
    </w:p>
    <w:p w14:paraId="13FA19A9" w14:textId="77777777" w:rsidR="00F443A3" w:rsidRDefault="00F443A3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Respond</w:t>
      </w:r>
      <w:r w:rsidR="00FF3B69">
        <w:rPr>
          <w:rFonts w:ascii="Verdana" w:hAnsi="Verdana"/>
          <w:color w:val="000000"/>
        </w:rPr>
        <w:t>ing</w:t>
      </w:r>
      <w:r>
        <w:rPr>
          <w:rFonts w:ascii="Verdana" w:hAnsi="Verdana"/>
          <w:color w:val="000000"/>
        </w:rPr>
        <w:t xml:space="preserve"> to the caller using</w:t>
      </w:r>
      <w:r w:rsidR="0007004D">
        <w:rPr>
          <w:rFonts w:ascii="Verdana" w:hAnsi="Verdana"/>
          <w:color w:val="000000"/>
        </w:rPr>
        <w:t xml:space="preserve"> their preferred name</w:t>
      </w:r>
      <w:r w:rsidR="006E5A12">
        <w:rPr>
          <w:rFonts w:ascii="Verdana" w:hAnsi="Verdana"/>
          <w:color w:val="000000"/>
        </w:rPr>
        <w:t xml:space="preserve"> </w:t>
      </w:r>
      <w:r w:rsidR="00933A6F">
        <w:rPr>
          <w:rFonts w:ascii="Verdana" w:hAnsi="Verdana"/>
          <w:color w:val="000000"/>
        </w:rPr>
        <w:t>or</w:t>
      </w:r>
      <w:r w:rsidR="006E5A12">
        <w:rPr>
          <w:rFonts w:ascii="Verdana" w:hAnsi="Verdana"/>
          <w:color w:val="000000"/>
        </w:rPr>
        <w:t xml:space="preserve"> first</w:t>
      </w:r>
      <w:r w:rsidR="00411FE5">
        <w:rPr>
          <w:rFonts w:ascii="Verdana" w:hAnsi="Verdana"/>
          <w:color w:val="000000"/>
        </w:rPr>
        <w:t xml:space="preserve"> and last</w:t>
      </w:r>
      <w:r w:rsidR="006E5A12">
        <w:rPr>
          <w:rFonts w:ascii="Verdana" w:hAnsi="Verdana"/>
          <w:color w:val="000000"/>
        </w:rPr>
        <w:t xml:space="preserve"> nam</w:t>
      </w:r>
      <w:r w:rsidR="00933A6F">
        <w:rPr>
          <w:rFonts w:ascii="Verdana" w:hAnsi="Verdana"/>
          <w:color w:val="000000"/>
        </w:rPr>
        <w:t>e</w:t>
      </w:r>
      <w:r>
        <w:rPr>
          <w:rFonts w:ascii="Verdana" w:hAnsi="Verdana"/>
          <w:color w:val="000000"/>
        </w:rPr>
        <w:t>.</w:t>
      </w:r>
      <w:r w:rsidR="00411FE5">
        <w:rPr>
          <w:rFonts w:ascii="Verdana" w:hAnsi="Verdana"/>
          <w:color w:val="000000"/>
        </w:rPr>
        <w:t xml:space="preserve"> Do not use Ma’am, Sir, Ms., Mr., Mrs. etc. unless the caller specifically requests you do so.</w:t>
      </w:r>
    </w:p>
    <w:p w14:paraId="7CB71739" w14:textId="77777777" w:rsidR="00EF3CF7" w:rsidRPr="00F778B1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778B1">
        <w:rPr>
          <w:rFonts w:ascii="Verdana" w:hAnsi="Verdana"/>
          <w:color w:val="000000"/>
        </w:rPr>
        <w:t>Demonstrating respect, courtesy, empathy, and accountability</w:t>
      </w:r>
      <w:r>
        <w:rPr>
          <w:rFonts w:ascii="Verdana" w:hAnsi="Verdana"/>
          <w:color w:val="000000"/>
        </w:rPr>
        <w:t>.</w:t>
      </w:r>
    </w:p>
    <w:p w14:paraId="1702D3B4" w14:textId="77777777" w:rsidR="00EF3CF7" w:rsidRPr="00F778B1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778B1">
        <w:rPr>
          <w:rFonts w:ascii="Verdana" w:hAnsi="Verdana"/>
          <w:color w:val="000000"/>
        </w:rPr>
        <w:t xml:space="preserve">Ensuring </w:t>
      </w:r>
      <w:r w:rsidR="008A47AC">
        <w:rPr>
          <w:rFonts w:ascii="Verdana" w:hAnsi="Verdana"/>
          <w:color w:val="000000"/>
        </w:rPr>
        <w:t>customer</w:t>
      </w:r>
      <w:r w:rsidR="00325B31" w:rsidRPr="00F778B1">
        <w:rPr>
          <w:rFonts w:ascii="Verdana" w:hAnsi="Verdana"/>
          <w:color w:val="000000"/>
        </w:rPr>
        <w:t xml:space="preserve"> </w:t>
      </w:r>
      <w:r w:rsidRPr="00F778B1">
        <w:rPr>
          <w:rFonts w:ascii="Verdana" w:hAnsi="Verdana"/>
          <w:color w:val="000000"/>
        </w:rPr>
        <w:t>safety and confidentiality by appropriately authenticating callers</w:t>
      </w:r>
      <w:r w:rsidR="00325B31">
        <w:rPr>
          <w:rFonts w:ascii="Verdana" w:hAnsi="Verdana"/>
          <w:color w:val="000000"/>
        </w:rPr>
        <w:t>. This</w:t>
      </w:r>
      <w:r>
        <w:rPr>
          <w:rFonts w:ascii="Verdana" w:hAnsi="Verdana"/>
          <w:color w:val="000000"/>
        </w:rPr>
        <w:t xml:space="preserve"> includ</w:t>
      </w:r>
      <w:r w:rsidR="00325B31">
        <w:rPr>
          <w:rFonts w:ascii="Verdana" w:hAnsi="Verdana"/>
          <w:color w:val="000000"/>
        </w:rPr>
        <w:t>es</w:t>
      </w:r>
      <w:r w:rsidRPr="00F778B1">
        <w:rPr>
          <w:rFonts w:ascii="Verdana" w:hAnsi="Verdana"/>
          <w:color w:val="000000"/>
        </w:rPr>
        <w:t xml:space="preserve"> attempting to access an account during each interaction</w:t>
      </w:r>
      <w:r>
        <w:rPr>
          <w:rFonts w:ascii="Verdana" w:hAnsi="Verdana"/>
          <w:color w:val="000000"/>
        </w:rPr>
        <w:t>.</w:t>
      </w:r>
    </w:p>
    <w:p w14:paraId="62806CBE" w14:textId="3FC8F49F" w:rsidR="00161510" w:rsidRPr="005B3350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Own r</w:t>
      </w:r>
      <w:r w:rsidRPr="00F778B1">
        <w:rPr>
          <w:rFonts w:ascii="Verdana" w:hAnsi="Verdana"/>
          <w:color w:val="000000"/>
        </w:rPr>
        <w:t>esolving issues or concerns</w:t>
      </w:r>
      <w:r w:rsidR="009D3816">
        <w:rPr>
          <w:rFonts w:ascii="Verdana" w:hAnsi="Verdana"/>
          <w:color w:val="000000"/>
        </w:rPr>
        <w:t>,</w:t>
      </w:r>
      <w:r w:rsidRPr="00F778B1">
        <w:rPr>
          <w:rFonts w:ascii="Verdana" w:hAnsi="Verdana"/>
          <w:color w:val="000000"/>
        </w:rPr>
        <w:t xml:space="preserve"> when </w:t>
      </w:r>
      <w:r w:rsidR="00924AC5" w:rsidRPr="00F778B1">
        <w:rPr>
          <w:rFonts w:ascii="Verdana" w:hAnsi="Verdana"/>
          <w:color w:val="000000"/>
        </w:rPr>
        <w:t>possible,</w:t>
      </w:r>
      <w:r w:rsidRPr="00F778B1">
        <w:rPr>
          <w:rFonts w:ascii="Verdana" w:hAnsi="Verdana"/>
          <w:color w:val="000000"/>
        </w:rPr>
        <w:t xml:space="preserve"> on the first contact</w:t>
      </w:r>
      <w:r>
        <w:rPr>
          <w:rFonts w:ascii="Verdana" w:hAnsi="Verdana"/>
          <w:color w:val="000000"/>
        </w:rPr>
        <w:t>.</w:t>
      </w:r>
      <w:r w:rsidR="0049067F">
        <w:rPr>
          <w:rFonts w:ascii="Verdana" w:hAnsi="Verdana"/>
          <w:color w:val="000000"/>
        </w:rPr>
        <w:t xml:space="preserve"> </w:t>
      </w:r>
      <w:r w:rsidR="00161510">
        <w:rPr>
          <w:rFonts w:ascii="Verdana" w:hAnsi="Verdana"/>
          <w:color w:val="000000"/>
        </w:rPr>
        <w:br/>
      </w:r>
      <w:r w:rsidR="00161510">
        <w:rPr>
          <w:rFonts w:ascii="Verdana" w:hAnsi="Verdana"/>
          <w:b/>
          <w:bCs/>
          <w:color w:val="000000"/>
        </w:rPr>
        <w:t xml:space="preserve">Examples: </w:t>
      </w:r>
    </w:p>
    <w:p w14:paraId="73D89262" w14:textId="77777777" w:rsidR="00161510" w:rsidRDefault="00161510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5B3350">
        <w:rPr>
          <w:rFonts w:ascii="Verdana" w:hAnsi="Verdana"/>
          <w:color w:val="000000"/>
        </w:rPr>
        <w:t>R</w:t>
      </w:r>
      <w:r w:rsidR="0049067F" w:rsidRPr="005B3350">
        <w:rPr>
          <w:rFonts w:ascii="Verdana" w:hAnsi="Verdana"/>
          <w:color w:val="000000"/>
        </w:rPr>
        <w:t>eaching out to local pharmacies to assist with issue resolution</w:t>
      </w:r>
      <w:r w:rsidR="00924AC5" w:rsidRPr="005B3350">
        <w:rPr>
          <w:rFonts w:ascii="Verdana" w:hAnsi="Verdana"/>
          <w:color w:val="000000"/>
        </w:rPr>
        <w:t xml:space="preserve">. </w:t>
      </w:r>
    </w:p>
    <w:p w14:paraId="56749FE1" w14:textId="77777777" w:rsidR="00EF3CF7" w:rsidRPr="005B3350" w:rsidRDefault="009B60EB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924AC5" w:rsidRPr="005B3350">
        <w:rPr>
          <w:rFonts w:ascii="Verdana" w:hAnsi="Verdana"/>
          <w:color w:val="000000"/>
        </w:rPr>
        <w:t>nding each call with a resolution question, such as, “Have I fully resolved the reason for your call?”</w:t>
      </w:r>
    </w:p>
    <w:p w14:paraId="53265254" w14:textId="77777777" w:rsidR="00EF3CF7" w:rsidRPr="00F778B1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778B1">
        <w:rPr>
          <w:rFonts w:ascii="Verdana" w:hAnsi="Verdana"/>
          <w:color w:val="000000"/>
        </w:rPr>
        <w:t>Pro-actively educating members on the most effective use of their benefit</w:t>
      </w:r>
      <w:r>
        <w:rPr>
          <w:rFonts w:ascii="Verdana" w:hAnsi="Verdana"/>
          <w:color w:val="000000"/>
        </w:rPr>
        <w:t>.</w:t>
      </w:r>
    </w:p>
    <w:p w14:paraId="00314752" w14:textId="65B176E2" w:rsidR="00161510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778B1">
        <w:rPr>
          <w:rFonts w:ascii="Verdana" w:hAnsi="Verdana"/>
          <w:color w:val="000000"/>
        </w:rPr>
        <w:t>Providing a hassle</w:t>
      </w:r>
      <w:r>
        <w:rPr>
          <w:rFonts w:ascii="Verdana" w:hAnsi="Verdana"/>
          <w:color w:val="000000"/>
        </w:rPr>
        <w:t>-</w:t>
      </w:r>
      <w:r w:rsidRPr="00F778B1">
        <w:rPr>
          <w:rFonts w:ascii="Verdana" w:hAnsi="Verdana"/>
          <w:color w:val="000000"/>
        </w:rPr>
        <w:t>free experienc</w:t>
      </w:r>
      <w:r w:rsidR="00867404">
        <w:rPr>
          <w:rFonts w:ascii="Verdana" w:hAnsi="Verdana"/>
          <w:color w:val="000000"/>
        </w:rPr>
        <w:t>e</w:t>
      </w:r>
      <w:r w:rsidR="00924AC5">
        <w:rPr>
          <w:rFonts w:ascii="Verdana" w:hAnsi="Verdana"/>
          <w:color w:val="000000"/>
        </w:rPr>
        <w:t xml:space="preserve">. </w:t>
      </w:r>
      <w:r w:rsidR="00924AC5">
        <w:rPr>
          <w:rFonts w:ascii="Verdana" w:hAnsi="Verdana"/>
          <w:color w:val="000000"/>
        </w:rPr>
        <w:br/>
      </w:r>
      <w:r w:rsidR="00924AC5" w:rsidRPr="005B3350">
        <w:rPr>
          <w:rFonts w:ascii="Verdana" w:hAnsi="Verdana"/>
          <w:b/>
          <w:bCs/>
          <w:color w:val="000000"/>
        </w:rPr>
        <w:t>Examples:</w:t>
      </w:r>
      <w:r w:rsidR="00924AC5">
        <w:rPr>
          <w:rFonts w:ascii="Verdana" w:hAnsi="Verdana"/>
          <w:color w:val="000000"/>
        </w:rPr>
        <w:t xml:space="preserve"> </w:t>
      </w:r>
    </w:p>
    <w:p w14:paraId="7D89D05B" w14:textId="77777777" w:rsidR="000A0793" w:rsidRDefault="00924AC5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5B3350">
        <w:rPr>
          <w:rFonts w:ascii="Verdana" w:hAnsi="Verdana"/>
          <w:color w:val="000000"/>
        </w:rPr>
        <w:t>Re</w:t>
      </w:r>
      <w:r w:rsidR="00867404" w:rsidRPr="005B3350">
        <w:rPr>
          <w:rFonts w:ascii="Verdana" w:hAnsi="Verdana"/>
          <w:color w:val="000000"/>
        </w:rPr>
        <w:t>sponding to the member’s need with positive, definitive support statements, such as, “Yes, I can help</w:t>
      </w:r>
      <w:r w:rsidR="00DF2E48" w:rsidRPr="005B3350">
        <w:rPr>
          <w:rFonts w:ascii="Verdana" w:hAnsi="Verdana"/>
          <w:color w:val="000000"/>
        </w:rPr>
        <w:t>!</w:t>
      </w:r>
      <w:r w:rsidR="00867404" w:rsidRPr="005B3350">
        <w:rPr>
          <w:rFonts w:ascii="Verdana" w:hAnsi="Verdana"/>
          <w:color w:val="000000"/>
        </w:rPr>
        <w:t>”</w:t>
      </w:r>
    </w:p>
    <w:p w14:paraId="158FDE1F" w14:textId="4933DEFE" w:rsidR="00343871" w:rsidRDefault="009C009A" w:rsidP="00AF5048">
      <w:pPr>
        <w:pStyle w:val="ListParagraph"/>
        <w:numPr>
          <w:ilvl w:val="1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43F44739" wp14:editId="0D5D273C">
            <wp:extent cx="304762" cy="304762"/>
            <wp:effectExtent l="0" t="0" r="635" b="635"/>
            <wp:docPr id="3816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283" name="Picture 1731575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27C">
        <w:rPr>
          <w:rFonts w:ascii="Verdana" w:hAnsi="Verdana"/>
          <w:color w:val="000000"/>
        </w:rPr>
        <w:t xml:space="preserve">The Reassurance </w:t>
      </w:r>
      <w:r w:rsidR="007810D4">
        <w:rPr>
          <w:rFonts w:ascii="Verdana" w:hAnsi="Verdana"/>
          <w:color w:val="000000"/>
        </w:rPr>
        <w:t>S</w:t>
      </w:r>
      <w:r w:rsidR="003F527C">
        <w:rPr>
          <w:rFonts w:ascii="Verdana" w:hAnsi="Verdana"/>
          <w:color w:val="000000"/>
        </w:rPr>
        <w:t>tatement is meant to provide</w:t>
      </w:r>
      <w:r w:rsidR="006D5D89">
        <w:rPr>
          <w:rFonts w:ascii="Verdana" w:hAnsi="Verdana"/>
          <w:color w:val="000000"/>
        </w:rPr>
        <w:t xml:space="preserve"> the </w:t>
      </w:r>
      <w:proofErr w:type="gramStart"/>
      <w:r w:rsidR="006D5D89">
        <w:rPr>
          <w:rFonts w:ascii="Verdana" w:hAnsi="Verdana"/>
          <w:color w:val="000000"/>
        </w:rPr>
        <w:t>member</w:t>
      </w:r>
      <w:proofErr w:type="gramEnd"/>
      <w:r w:rsidR="006D5D89">
        <w:rPr>
          <w:rFonts w:ascii="Verdana" w:hAnsi="Verdana"/>
          <w:color w:val="000000"/>
        </w:rPr>
        <w:t xml:space="preserve"> with </w:t>
      </w:r>
      <w:proofErr w:type="gramStart"/>
      <w:r w:rsidR="001631AD">
        <w:rPr>
          <w:rFonts w:ascii="Verdana" w:hAnsi="Verdana"/>
          <w:color w:val="000000"/>
        </w:rPr>
        <w:t xml:space="preserve">the </w:t>
      </w:r>
      <w:r w:rsidR="006D5D89">
        <w:rPr>
          <w:rFonts w:ascii="Verdana" w:hAnsi="Verdana"/>
          <w:color w:val="000000"/>
        </w:rPr>
        <w:t>confidence</w:t>
      </w:r>
      <w:proofErr w:type="gramEnd"/>
      <w:r w:rsidR="006D5D89">
        <w:rPr>
          <w:rFonts w:ascii="Verdana" w:hAnsi="Verdana"/>
          <w:color w:val="000000"/>
        </w:rPr>
        <w:t xml:space="preserve"> and </w:t>
      </w:r>
      <w:r w:rsidR="00D8611E">
        <w:rPr>
          <w:rFonts w:ascii="Verdana" w:hAnsi="Verdana"/>
          <w:color w:val="000000"/>
        </w:rPr>
        <w:t>assur</w:t>
      </w:r>
      <w:r w:rsidR="00D15CBA">
        <w:rPr>
          <w:rFonts w:ascii="Verdana" w:hAnsi="Verdana"/>
          <w:color w:val="000000"/>
        </w:rPr>
        <w:t>ance that we are going to help.  Re</w:t>
      </w:r>
      <w:r w:rsidR="00444564">
        <w:rPr>
          <w:rFonts w:ascii="Verdana" w:hAnsi="Verdana"/>
          <w:color w:val="000000"/>
        </w:rPr>
        <w:t xml:space="preserve">assure the caller that </w:t>
      </w:r>
      <w:r w:rsidR="0056484F">
        <w:rPr>
          <w:rFonts w:ascii="Verdana" w:hAnsi="Verdana"/>
          <w:color w:val="000000"/>
        </w:rPr>
        <w:t xml:space="preserve">they have reached the correct person to assist and resolve their inquiry. </w:t>
      </w:r>
      <w:r w:rsidR="008A5E8B">
        <w:rPr>
          <w:rFonts w:ascii="Verdana" w:hAnsi="Verdana"/>
          <w:color w:val="000000"/>
        </w:rPr>
        <w:t xml:space="preserve">You are reassuring the caller and </w:t>
      </w:r>
      <w:proofErr w:type="gramStart"/>
      <w:r w:rsidR="008A5E8B">
        <w:rPr>
          <w:rFonts w:ascii="Verdana" w:hAnsi="Verdana"/>
          <w:color w:val="000000"/>
        </w:rPr>
        <w:t>stating</w:t>
      </w:r>
      <w:proofErr w:type="gramEnd"/>
      <w:r w:rsidR="008A5E8B">
        <w:rPr>
          <w:rFonts w:ascii="Verdana" w:hAnsi="Verdana"/>
          <w:color w:val="000000"/>
        </w:rPr>
        <w:t xml:space="preserve"> “I am the right person to help you.”</w:t>
      </w:r>
    </w:p>
    <w:p w14:paraId="75299302" w14:textId="62B66CED" w:rsidR="00436574" w:rsidRDefault="009C009A" w:rsidP="00AF5048">
      <w:pPr>
        <w:pStyle w:val="ListParagraph"/>
        <w:numPr>
          <w:ilvl w:val="1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0B7DB5F7" wp14:editId="70BA6D7D">
            <wp:extent cx="304762" cy="304762"/>
            <wp:effectExtent l="0" t="0" r="635" b="635"/>
            <wp:docPr id="201852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283" name="Picture 1731575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722">
        <w:rPr>
          <w:rFonts w:ascii="Verdana" w:hAnsi="Verdana"/>
          <w:color w:val="000000"/>
        </w:rPr>
        <w:t xml:space="preserve">Say </w:t>
      </w:r>
      <w:r w:rsidR="00E44BFA">
        <w:rPr>
          <w:rFonts w:ascii="Verdana" w:hAnsi="Verdana"/>
          <w:color w:val="000000"/>
        </w:rPr>
        <w:t>the Reassurance Statement at the right time</w:t>
      </w:r>
      <w:r w:rsidR="00BB79DC">
        <w:rPr>
          <w:rFonts w:ascii="Verdana" w:hAnsi="Verdana"/>
          <w:color w:val="000000"/>
        </w:rPr>
        <w:t>:</w:t>
      </w:r>
    </w:p>
    <w:p w14:paraId="686985C8" w14:textId="38715BAF" w:rsidR="00BB79DC" w:rsidRDefault="006B710C" w:rsidP="00AF5048">
      <w:pPr>
        <w:pStyle w:val="ListParagraph"/>
        <w:numPr>
          <w:ilvl w:val="2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the caller </w:t>
      </w:r>
      <w:proofErr w:type="gramStart"/>
      <w:r>
        <w:rPr>
          <w:rFonts w:ascii="Verdana" w:hAnsi="Verdana"/>
          <w:color w:val="000000"/>
        </w:rPr>
        <w:t>has explained</w:t>
      </w:r>
      <w:proofErr w:type="gramEnd"/>
      <w:r>
        <w:rPr>
          <w:rFonts w:ascii="Verdana" w:hAnsi="Verdana"/>
          <w:color w:val="000000"/>
        </w:rPr>
        <w:t xml:space="preserve"> </w:t>
      </w:r>
      <w:r w:rsidR="00D875C9">
        <w:rPr>
          <w:rFonts w:ascii="Verdana" w:hAnsi="Verdana"/>
          <w:color w:val="000000"/>
        </w:rPr>
        <w:t>the reason for their call</w:t>
      </w:r>
    </w:p>
    <w:p w14:paraId="0CF57F90" w14:textId="7353FF32" w:rsidR="00591873" w:rsidRDefault="00591873" w:rsidP="00AF5048">
      <w:pPr>
        <w:pStyle w:val="ListParagraph"/>
        <w:numPr>
          <w:ilvl w:val="2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Reassure the member with a </w:t>
      </w:r>
      <w:r w:rsidR="00300B55">
        <w:rPr>
          <w:rFonts w:ascii="Verdana" w:hAnsi="Verdana"/>
          <w:color w:val="000000"/>
        </w:rPr>
        <w:t>positive “I can help” statement</w:t>
      </w:r>
    </w:p>
    <w:p w14:paraId="639E6C88" w14:textId="5582DB99" w:rsidR="002979D4" w:rsidRDefault="002979D4" w:rsidP="00AF5048">
      <w:pPr>
        <w:pStyle w:val="ListParagraph"/>
        <w:numPr>
          <w:ilvl w:val="2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Say it with confidence</w:t>
      </w:r>
      <w:r w:rsidR="008C33DB">
        <w:rPr>
          <w:rFonts w:ascii="Verdana" w:hAnsi="Verdana"/>
          <w:color w:val="000000"/>
        </w:rPr>
        <w:t>; your tone matters just as much as your words</w:t>
      </w:r>
    </w:p>
    <w:p w14:paraId="5EEC59A9" w14:textId="2C67B9E4" w:rsidR="00795707" w:rsidRDefault="009C009A" w:rsidP="00AF5048">
      <w:pPr>
        <w:spacing w:before="120" w:after="120"/>
        <w:ind w:left="22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000000" w:themeColor="text1"/>
        </w:rPr>
        <w:drawing>
          <wp:inline distT="0" distB="0" distL="0" distR="0" wp14:anchorId="2253254A" wp14:editId="6ACA49F8">
            <wp:extent cx="304762" cy="304762"/>
            <wp:effectExtent l="0" t="0" r="635" b="635"/>
            <wp:docPr id="56019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283" name="Picture 1731575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07">
        <w:rPr>
          <w:rFonts w:ascii="Verdana" w:hAnsi="Verdana"/>
          <w:color w:val="000000"/>
        </w:rPr>
        <w:t>Examples of Reassurance Statements:</w:t>
      </w:r>
    </w:p>
    <w:p w14:paraId="541DA9C7" w14:textId="031E9B71" w:rsidR="00BA7CAF" w:rsidRDefault="000C2961" w:rsidP="00AF5048">
      <w:pPr>
        <w:pStyle w:val="ListParagraph"/>
        <w:numPr>
          <w:ilvl w:val="0"/>
          <w:numId w:val="14"/>
        </w:numPr>
        <w:spacing w:before="120" w:after="120"/>
        <w:ind w:left="3060"/>
        <w:rPr>
          <w:rFonts w:ascii="Verdana" w:hAnsi="Verdana"/>
          <w:color w:val="000000"/>
        </w:rPr>
      </w:pPr>
      <w:r w:rsidRPr="00122F8F">
        <w:rPr>
          <w:rFonts w:ascii="Verdana" w:hAnsi="Verdana"/>
          <w:color w:val="000000"/>
        </w:rPr>
        <w:t>Absolutely, I’ll be happy to assist</w:t>
      </w:r>
      <w:r w:rsidR="009A2226" w:rsidRPr="00122F8F">
        <w:rPr>
          <w:rFonts w:ascii="Verdana" w:hAnsi="Verdana"/>
          <w:color w:val="000000"/>
        </w:rPr>
        <w:t xml:space="preserve"> </w:t>
      </w:r>
    </w:p>
    <w:p w14:paraId="0BCE01AB" w14:textId="6FD4E02F" w:rsidR="0077266B" w:rsidRDefault="0077266B" w:rsidP="00AF5048">
      <w:pPr>
        <w:pStyle w:val="ListParagraph"/>
        <w:numPr>
          <w:ilvl w:val="0"/>
          <w:numId w:val="14"/>
        </w:numPr>
        <w:spacing w:before="120" w:after="120"/>
        <w:ind w:left="30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 can </w:t>
      </w:r>
      <w:proofErr w:type="gramStart"/>
      <w:r>
        <w:rPr>
          <w:rFonts w:ascii="Verdana" w:hAnsi="Verdana"/>
          <w:color w:val="000000"/>
        </w:rPr>
        <w:t>definitely help</w:t>
      </w:r>
      <w:proofErr w:type="gramEnd"/>
      <w:r>
        <w:rPr>
          <w:rFonts w:ascii="Verdana" w:hAnsi="Verdana"/>
          <w:color w:val="000000"/>
        </w:rPr>
        <w:t xml:space="preserve"> you with your drug coverage question…</w:t>
      </w:r>
    </w:p>
    <w:p w14:paraId="44BB702E" w14:textId="0E286200" w:rsidR="0077266B" w:rsidRDefault="0077266B" w:rsidP="00AF5048">
      <w:pPr>
        <w:pStyle w:val="ListParagraph"/>
        <w:numPr>
          <w:ilvl w:val="0"/>
          <w:numId w:val="14"/>
        </w:numPr>
        <w:spacing w:before="120" w:after="120"/>
        <w:ind w:left="30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Yes, I can help you with your refill…</w:t>
      </w:r>
    </w:p>
    <w:p w14:paraId="01B1E25B" w14:textId="3F789FB4" w:rsidR="0077266B" w:rsidRDefault="00D66E9C" w:rsidP="00AF5048">
      <w:pPr>
        <w:pStyle w:val="ListParagraph"/>
        <w:spacing w:before="120" w:after="120"/>
        <w:ind w:left="3060"/>
        <w:rPr>
          <w:rFonts w:ascii="Verdana" w:hAnsi="Verdana"/>
          <w:color w:val="000000"/>
        </w:rPr>
      </w:pPr>
      <w:r w:rsidRPr="00122F8F"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Reassurance Statements do not need to be verbatim; however, they should include </w:t>
      </w:r>
      <w:r w:rsidR="00565D09">
        <w:rPr>
          <w:rFonts w:ascii="Verdana" w:hAnsi="Verdana"/>
          <w:color w:val="000000"/>
        </w:rPr>
        <w:t xml:space="preserve">both </w:t>
      </w:r>
      <w:proofErr w:type="gramStart"/>
      <w:r w:rsidR="00565D09">
        <w:rPr>
          <w:rFonts w:ascii="Verdana" w:hAnsi="Verdana"/>
          <w:color w:val="000000"/>
        </w:rPr>
        <w:t>a positive</w:t>
      </w:r>
      <w:proofErr w:type="gramEnd"/>
      <w:r w:rsidR="00565D09">
        <w:rPr>
          <w:rFonts w:ascii="Verdana" w:hAnsi="Verdana"/>
          <w:color w:val="000000"/>
        </w:rPr>
        <w:t xml:space="preserve"> affirmation and an assurance of our ability to assist the </w:t>
      </w:r>
      <w:proofErr w:type="gramStart"/>
      <w:r w:rsidR="00565D09">
        <w:rPr>
          <w:rFonts w:ascii="Verdana" w:hAnsi="Verdana"/>
          <w:color w:val="000000"/>
        </w:rPr>
        <w:t>member</w:t>
      </w:r>
      <w:proofErr w:type="gramEnd"/>
      <w:r w:rsidR="00122F8F">
        <w:rPr>
          <w:rFonts w:ascii="Verdana" w:hAnsi="Verdana"/>
          <w:color w:val="000000"/>
        </w:rPr>
        <w:t>.</w:t>
      </w:r>
    </w:p>
    <w:p w14:paraId="4EBFBDA9" w14:textId="11939B05" w:rsidR="00565D09" w:rsidRDefault="00565D09" w:rsidP="00AF5048">
      <w:pPr>
        <w:pStyle w:val="ListParagraph"/>
        <w:numPr>
          <w:ilvl w:val="0"/>
          <w:numId w:val="14"/>
        </w:numPr>
        <w:spacing w:before="120" w:after="120"/>
        <w:ind w:left="30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a best practic</w:t>
      </w:r>
      <w:r w:rsidR="00AA0C4D">
        <w:rPr>
          <w:rFonts w:ascii="Verdana" w:hAnsi="Verdana"/>
          <w:color w:val="000000"/>
        </w:rPr>
        <w:t xml:space="preserve">e: Elevating the MEMBER Experience can be accomplished by </w:t>
      </w:r>
      <w:r w:rsidR="003178E1">
        <w:rPr>
          <w:rFonts w:ascii="Verdana" w:hAnsi="Verdana"/>
          <w:color w:val="000000"/>
        </w:rPr>
        <w:t>elevating the Reassurance Statement:</w:t>
      </w:r>
    </w:p>
    <w:p w14:paraId="23CED262" w14:textId="1E48D07D" w:rsidR="003178E1" w:rsidRDefault="00653E7E" w:rsidP="00AF5048">
      <w:pPr>
        <w:pStyle w:val="ListParagraph"/>
        <w:numPr>
          <w:ilvl w:val="1"/>
          <w:numId w:val="16"/>
        </w:numPr>
        <w:spacing w:before="120" w:after="120"/>
        <w:ind w:left="351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“Absolutely!  I can help you with your refill for </w:t>
      </w:r>
      <w:r w:rsidR="00122F8F">
        <w:rPr>
          <w:rFonts w:ascii="Verdana" w:hAnsi="Verdana"/>
          <w:color w:val="000000"/>
        </w:rPr>
        <w:t>&lt;</w:t>
      </w:r>
      <w:r w:rsidR="005F2E1A">
        <w:rPr>
          <w:rFonts w:ascii="Verdana" w:hAnsi="Verdana"/>
          <w:color w:val="000000"/>
        </w:rPr>
        <w:t>medication</w:t>
      </w:r>
      <w:r w:rsidR="00122F8F">
        <w:rPr>
          <w:rFonts w:ascii="Verdana" w:hAnsi="Verdana"/>
          <w:color w:val="000000"/>
        </w:rPr>
        <w:t>&gt;</w:t>
      </w:r>
      <w:r w:rsidR="005F2E1A">
        <w:rPr>
          <w:rFonts w:ascii="Verdana" w:hAnsi="Verdana"/>
          <w:color w:val="000000"/>
        </w:rPr>
        <w:t>.”</w:t>
      </w:r>
    </w:p>
    <w:p w14:paraId="56BA3BE1" w14:textId="6D754D38" w:rsidR="00BB5806" w:rsidRPr="00122F8F" w:rsidRDefault="005F2E1A" w:rsidP="00AF5048">
      <w:pPr>
        <w:pStyle w:val="ListParagraph"/>
        <w:numPr>
          <w:ilvl w:val="1"/>
          <w:numId w:val="16"/>
        </w:numPr>
        <w:spacing w:before="120" w:after="120"/>
        <w:ind w:left="351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“I am happy to help you with your drug coverage question for </w:t>
      </w:r>
      <w:r w:rsidR="00122F8F">
        <w:rPr>
          <w:rFonts w:ascii="Verdana" w:hAnsi="Verdana"/>
          <w:color w:val="000000"/>
        </w:rPr>
        <w:t>&lt;</w:t>
      </w:r>
      <w:r>
        <w:rPr>
          <w:rFonts w:ascii="Verdana" w:hAnsi="Verdana"/>
          <w:color w:val="000000"/>
        </w:rPr>
        <w:t>medication</w:t>
      </w:r>
      <w:r w:rsidR="00122F8F">
        <w:rPr>
          <w:rFonts w:ascii="Verdana" w:hAnsi="Verdana"/>
          <w:color w:val="000000"/>
        </w:rPr>
        <w:t>&gt;</w:t>
      </w:r>
      <w:r w:rsidR="00E3095D">
        <w:rPr>
          <w:rFonts w:ascii="Verdana" w:hAnsi="Verdana"/>
          <w:color w:val="000000"/>
        </w:rPr>
        <w:t>.”</w:t>
      </w:r>
    </w:p>
    <w:p w14:paraId="2B0B1C69" w14:textId="4F238366" w:rsidR="00FB07ED" w:rsidRPr="008C5273" w:rsidRDefault="009C009A" w:rsidP="00AF5048">
      <w:pPr>
        <w:pStyle w:val="ListParagraph"/>
        <w:numPr>
          <w:ilvl w:val="1"/>
          <w:numId w:val="14"/>
        </w:numPr>
        <w:spacing w:before="120" w:after="120"/>
        <w:ind w:left="450"/>
        <w:rPr>
          <w:rFonts w:ascii="Verdana" w:hAnsi="Verdana"/>
          <w:color w:val="000000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78339AF" wp14:editId="4048B77B">
            <wp:extent cx="304762" cy="304762"/>
            <wp:effectExtent l="0" t="0" r="635" b="635"/>
            <wp:docPr id="88273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283" name="Picture 1731575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DBE">
        <w:rPr>
          <w:rFonts w:ascii="Verdana" w:hAnsi="Verdana"/>
          <w:color w:val="000000"/>
        </w:rPr>
        <w:t xml:space="preserve"> </w:t>
      </w:r>
      <w:r w:rsidR="00690527" w:rsidRPr="008C5273">
        <w:rPr>
          <w:rFonts w:ascii="Verdana" w:hAnsi="Verdana"/>
          <w:color w:val="000000"/>
        </w:rPr>
        <w:t xml:space="preserve">Attempting to </w:t>
      </w:r>
      <w:r w:rsidR="007E6B36" w:rsidRPr="008C5273">
        <w:rPr>
          <w:rFonts w:ascii="Verdana" w:hAnsi="Verdana"/>
          <w:color w:val="000000"/>
        </w:rPr>
        <w:t>p</w:t>
      </w:r>
      <w:r w:rsidR="00FC73A3" w:rsidRPr="008C5273">
        <w:rPr>
          <w:rFonts w:ascii="Verdana" w:hAnsi="Verdana"/>
          <w:color w:val="000000"/>
        </w:rPr>
        <w:t>rovid</w:t>
      </w:r>
      <w:r w:rsidR="00690527" w:rsidRPr="008C5273">
        <w:rPr>
          <w:rFonts w:ascii="Verdana" w:hAnsi="Verdana"/>
          <w:color w:val="000000"/>
        </w:rPr>
        <w:t xml:space="preserve">e </w:t>
      </w:r>
      <w:r w:rsidR="00FC73A3" w:rsidRPr="008C5273">
        <w:rPr>
          <w:rFonts w:ascii="Verdana" w:hAnsi="Verdana"/>
          <w:color w:val="000000"/>
        </w:rPr>
        <w:t xml:space="preserve">a clear </w:t>
      </w:r>
      <w:r w:rsidR="00690527" w:rsidRPr="008C5273">
        <w:rPr>
          <w:rFonts w:ascii="Verdana" w:hAnsi="Verdana"/>
          <w:color w:val="000000"/>
        </w:rPr>
        <w:t>Summary/</w:t>
      </w:r>
      <w:r w:rsidR="00687109" w:rsidRPr="008C5273">
        <w:rPr>
          <w:rFonts w:ascii="Verdana" w:hAnsi="Verdana"/>
          <w:color w:val="000000"/>
        </w:rPr>
        <w:t>R</w:t>
      </w:r>
      <w:r w:rsidR="00FC73A3" w:rsidRPr="008C5273">
        <w:rPr>
          <w:rFonts w:ascii="Verdana" w:hAnsi="Verdana"/>
          <w:color w:val="000000"/>
        </w:rPr>
        <w:t>ecap before ending each call.</w:t>
      </w:r>
    </w:p>
    <w:p w14:paraId="7A8F5225" w14:textId="48205D8C" w:rsidR="00AF5794" w:rsidRDefault="00312177" w:rsidP="00AF5048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REASON: Include why the Member called (when appropriate</w:t>
      </w:r>
      <w:r w:rsidR="001451AF">
        <w:rPr>
          <w:rFonts w:ascii="Verdana" w:hAnsi="Verdana"/>
          <w:color w:val="000000"/>
        </w:rPr>
        <w:t>/when applicable)</w:t>
      </w:r>
    </w:p>
    <w:p w14:paraId="60DB777D" w14:textId="1CB1959C" w:rsidR="001451AF" w:rsidRDefault="001451AF" w:rsidP="00AF5048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ACTION/INFORMATION SHARED: The information you provided to the caller</w:t>
      </w:r>
    </w:p>
    <w:p w14:paraId="16062121" w14:textId="63C53BAA" w:rsidR="001451AF" w:rsidRPr="00122F8F" w:rsidRDefault="00501BA4" w:rsidP="00AF5048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RESULTS – NEXT STEPS/TAT: What was done for the Member and the turnaround time</w:t>
      </w:r>
      <w:r w:rsidR="004445EF">
        <w:rPr>
          <w:rFonts w:ascii="Verdana" w:hAnsi="Verdana"/>
          <w:color w:val="000000"/>
        </w:rPr>
        <w:t xml:space="preserve"> (i.e., New RX Request, EPA Request, etc.).</w:t>
      </w:r>
    </w:p>
    <w:p w14:paraId="2D06E5D9" w14:textId="77777777" w:rsidR="00E0499B" w:rsidRDefault="00E0499B" w:rsidP="00AF5048">
      <w:pPr>
        <w:spacing w:before="120" w:after="120"/>
        <w:ind w:left="432"/>
        <w:rPr>
          <w:rFonts w:ascii="Verdana" w:hAnsi="Verdana"/>
          <w:color w:val="000000"/>
        </w:rPr>
      </w:pPr>
    </w:p>
    <w:p w14:paraId="644DB8D7" w14:textId="0B072AF0" w:rsidR="003C7E89" w:rsidRDefault="00EF3CF7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 w:rsidRPr="00FB07ED">
        <w:rPr>
          <w:rFonts w:ascii="Verdana" w:hAnsi="Verdana"/>
          <w:color w:val="000000"/>
        </w:rPr>
        <w:t xml:space="preserve">Providing accurate information while utilizing </w:t>
      </w:r>
      <w:r w:rsidR="00FB07ED" w:rsidRPr="00FB07ED">
        <w:rPr>
          <w:rFonts w:ascii="Verdana" w:hAnsi="Verdana"/>
          <w:color w:val="000000"/>
        </w:rPr>
        <w:t>the CIF and appropriate work instruction.</w:t>
      </w:r>
      <w:r w:rsidR="00FB07ED">
        <w:rPr>
          <w:rFonts w:ascii="Verdana" w:hAnsi="Verdana"/>
          <w:color w:val="000000"/>
        </w:rPr>
        <w:t xml:space="preserve"> Each call is required to utilize the appropriate work instruction based on the call type. </w:t>
      </w:r>
    </w:p>
    <w:p w14:paraId="14B90200" w14:textId="77777777" w:rsidR="003C7E89" w:rsidRPr="003C7E89" w:rsidRDefault="003C7E89" w:rsidP="00AF5048">
      <w:pPr>
        <w:numPr>
          <w:ilvl w:val="0"/>
          <w:numId w:val="1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Completing member requests before closing the call.</w:t>
      </w:r>
    </w:p>
    <w:p w14:paraId="188E7113" w14:textId="77777777" w:rsidR="00DA3306" w:rsidRPr="00FB07ED" w:rsidRDefault="00DA3306" w:rsidP="00AF5048">
      <w:pPr>
        <w:spacing w:before="120" w:after="120"/>
        <w:rPr>
          <w:rFonts w:ascii="Verdana" w:hAnsi="Verdana"/>
          <w:color w:val="000000"/>
        </w:rPr>
      </w:pPr>
    </w:p>
    <w:p w14:paraId="2B94ACC9" w14:textId="30905132" w:rsidR="00DA3306" w:rsidRDefault="00A50B76" w:rsidP="00AF5048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="00DA3306" w:rsidRPr="00A50B7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DA3306" w:rsidRPr="00CC37EB" w14:paraId="2859B8B8" w14:textId="77777777" w:rsidTr="00E6013D">
        <w:tc>
          <w:tcPr>
            <w:tcW w:w="5000" w:type="pct"/>
            <w:shd w:val="clear" w:color="auto" w:fill="BFBFBF"/>
          </w:tcPr>
          <w:p w14:paraId="01B56E6B" w14:textId="77777777" w:rsidR="00DA3306" w:rsidRPr="00AD5C55" w:rsidRDefault="00610244" w:rsidP="00AF504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96809294"/>
            <w:r>
              <w:rPr>
                <w:rFonts w:ascii="Verdana" w:hAnsi="Verdana"/>
                <w:i w:val="0"/>
                <w:iCs w:val="0"/>
              </w:rPr>
              <w:t>Unacceptable</w:t>
            </w:r>
            <w:r w:rsidRPr="00AD5C55">
              <w:rPr>
                <w:rFonts w:ascii="Verdana" w:hAnsi="Verdana"/>
                <w:i w:val="0"/>
                <w:iCs w:val="0"/>
              </w:rPr>
              <w:t xml:space="preserve"> </w:t>
            </w:r>
            <w:r w:rsidR="00DA3306" w:rsidRPr="00AD5C55">
              <w:rPr>
                <w:rFonts w:ascii="Verdana" w:hAnsi="Verdana"/>
                <w:i w:val="0"/>
                <w:iCs w:val="0"/>
              </w:rPr>
              <w:t>Behaviors</w:t>
            </w:r>
            <w:bookmarkEnd w:id="11"/>
          </w:p>
        </w:tc>
      </w:tr>
    </w:tbl>
    <w:p w14:paraId="15102704" w14:textId="2B7D1900" w:rsidR="006377EF" w:rsidRDefault="007976FF" w:rsidP="00AF5048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D267193" wp14:editId="26DFF24A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2A2">
        <w:rPr>
          <w:rFonts w:ascii="Verdana" w:hAnsi="Verdana"/>
          <w:color w:val="000000"/>
        </w:rPr>
        <w:t xml:space="preserve"> </w:t>
      </w:r>
      <w:r w:rsidR="00A07F47" w:rsidRPr="00B3616B">
        <w:rPr>
          <w:rFonts w:ascii="Verdana" w:hAnsi="Verdana"/>
          <w:bCs/>
          <w:color w:val="000000"/>
        </w:rPr>
        <w:t>In addition to the expectations listed above,</w:t>
      </w:r>
      <w:r w:rsidR="00A07F47" w:rsidRPr="00F778B1">
        <w:rPr>
          <w:rFonts w:ascii="Verdana" w:hAnsi="Verdana"/>
          <w:color w:val="000000"/>
        </w:rPr>
        <w:t xml:space="preserve"> </w:t>
      </w:r>
      <w:r w:rsidR="003E3F60" w:rsidRPr="00F778B1">
        <w:rPr>
          <w:rFonts w:ascii="Verdana" w:hAnsi="Verdana"/>
          <w:color w:val="000000"/>
        </w:rPr>
        <w:t>and those identified in the</w:t>
      </w:r>
      <w:r w:rsidR="00033AC0">
        <w:rPr>
          <w:rFonts w:ascii="Verdana" w:hAnsi="Verdana"/>
          <w:color w:val="000000"/>
        </w:rPr>
        <w:t xml:space="preserve"> </w:t>
      </w:r>
      <w:r w:rsidR="00033AC0" w:rsidRPr="00033AC0">
        <w:rPr>
          <w:rFonts w:ascii="Verdana" w:hAnsi="Verdana"/>
          <w:color w:val="000000"/>
        </w:rPr>
        <w:t xml:space="preserve">Colleague Handbook </w:t>
      </w:r>
      <w:r w:rsidR="00A82871">
        <w:rPr>
          <w:rFonts w:ascii="Verdana" w:hAnsi="Verdana"/>
          <w:color w:val="000000"/>
        </w:rPr>
        <w:t>(</w:t>
      </w:r>
      <w:r w:rsidR="00A82871" w:rsidRPr="00A82871">
        <w:rPr>
          <w:rFonts w:ascii="Verdana" w:hAnsi="Verdana"/>
          <w:color w:val="000000"/>
        </w:rPr>
        <w:t xml:space="preserve">viewable on </w:t>
      </w:r>
      <w:hyperlink r:id="rId10" w:history="1">
        <w:proofErr w:type="spellStart"/>
        <w:r w:rsidR="00187082" w:rsidRPr="00187082">
          <w:rPr>
            <w:rStyle w:val="Hyperlink"/>
            <w:rFonts w:ascii="Verdana" w:hAnsi="Verdana"/>
          </w:rPr>
          <w:t>ColleagueZone</w:t>
        </w:r>
        <w:proofErr w:type="spellEnd"/>
      </w:hyperlink>
      <w:r w:rsidR="00A82871" w:rsidRPr="00A82871">
        <w:rPr>
          <w:rFonts w:ascii="Verdana" w:hAnsi="Verdana"/>
          <w:color w:val="000000"/>
        </w:rPr>
        <w:t xml:space="preserve"> and the </w:t>
      </w:r>
      <w:hyperlink r:id="rId11" w:history="1">
        <w:r w:rsidR="00A82871" w:rsidRPr="00A82871">
          <w:rPr>
            <w:rStyle w:val="Hyperlink"/>
            <w:rFonts w:ascii="Verdana" w:hAnsi="Verdana"/>
          </w:rPr>
          <w:t>Policy and Procedure Portal</w:t>
        </w:r>
      </w:hyperlink>
      <w:r w:rsidR="00A82871" w:rsidRPr="00A82871">
        <w:rPr>
          <w:rFonts w:ascii="Verdana" w:hAnsi="Verdana"/>
          <w:color w:val="000000"/>
        </w:rPr>
        <w:t>)</w:t>
      </w:r>
      <w:r w:rsidR="003E3F60" w:rsidRPr="00F778B1">
        <w:rPr>
          <w:rFonts w:ascii="Verdana" w:hAnsi="Verdana"/>
          <w:color w:val="000000"/>
        </w:rPr>
        <w:t xml:space="preserve">, </w:t>
      </w:r>
      <w:r w:rsidR="000D28F1" w:rsidRPr="00F778B1">
        <w:rPr>
          <w:rFonts w:ascii="Verdana" w:hAnsi="Verdana"/>
          <w:color w:val="000000"/>
        </w:rPr>
        <w:t>we</w:t>
      </w:r>
      <w:r w:rsidR="00A07F47" w:rsidRPr="00F778B1">
        <w:rPr>
          <w:rFonts w:ascii="Verdana" w:hAnsi="Verdana"/>
          <w:color w:val="000000"/>
        </w:rPr>
        <w:t xml:space="preserve"> expect </w:t>
      </w:r>
      <w:r w:rsidR="000D28F1" w:rsidRPr="00F778B1">
        <w:rPr>
          <w:rFonts w:ascii="Verdana" w:hAnsi="Verdana"/>
          <w:color w:val="000000"/>
        </w:rPr>
        <w:t>our Colleagues</w:t>
      </w:r>
      <w:r w:rsidR="00A07F47" w:rsidRPr="00F778B1">
        <w:rPr>
          <w:rFonts w:ascii="Verdana" w:hAnsi="Verdana"/>
          <w:color w:val="000000"/>
        </w:rPr>
        <w:t xml:space="preserve"> </w:t>
      </w:r>
      <w:r w:rsidR="00BB2D06">
        <w:rPr>
          <w:rFonts w:ascii="Verdana" w:hAnsi="Verdana"/>
          <w:color w:val="000000"/>
        </w:rPr>
        <w:t xml:space="preserve">to </w:t>
      </w:r>
      <w:r w:rsidR="00A07F47" w:rsidRPr="00F778B1">
        <w:rPr>
          <w:rFonts w:ascii="Verdana" w:hAnsi="Verdana"/>
          <w:color w:val="000000"/>
        </w:rPr>
        <w:t xml:space="preserve">refrain from </w:t>
      </w:r>
      <w:r w:rsidR="00BB2D06">
        <w:rPr>
          <w:rFonts w:ascii="Verdana" w:hAnsi="Verdana"/>
          <w:color w:val="000000"/>
        </w:rPr>
        <w:t xml:space="preserve">engaging in </w:t>
      </w:r>
      <w:r w:rsidR="00A07F47" w:rsidRPr="00F778B1">
        <w:rPr>
          <w:rFonts w:ascii="Verdana" w:hAnsi="Verdana"/>
          <w:color w:val="000000"/>
        </w:rPr>
        <w:t xml:space="preserve">any behavior that does not support a positive </w:t>
      </w:r>
      <w:r w:rsidR="00F778B1">
        <w:rPr>
          <w:rFonts w:ascii="Verdana" w:hAnsi="Verdana"/>
          <w:color w:val="000000"/>
        </w:rPr>
        <w:t xml:space="preserve">Member </w:t>
      </w:r>
      <w:r w:rsidR="00A07F47" w:rsidRPr="00F778B1">
        <w:rPr>
          <w:rFonts w:ascii="Verdana" w:hAnsi="Verdana"/>
          <w:color w:val="000000"/>
        </w:rPr>
        <w:t xml:space="preserve">Experience. </w:t>
      </w:r>
    </w:p>
    <w:p w14:paraId="27B58977" w14:textId="77777777" w:rsidR="006377EF" w:rsidRDefault="006377EF" w:rsidP="00AF5048">
      <w:pPr>
        <w:spacing w:before="120" w:after="120"/>
        <w:rPr>
          <w:rFonts w:ascii="Verdana" w:hAnsi="Verdana"/>
          <w:color w:val="000000"/>
        </w:rPr>
      </w:pPr>
    </w:p>
    <w:p w14:paraId="7A6758DE" w14:textId="77777777" w:rsidR="00A07F47" w:rsidRDefault="0082476A" w:rsidP="00AF504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In that regard, the </w:t>
      </w:r>
      <w:r w:rsidRPr="00AD5C55">
        <w:rPr>
          <w:rFonts w:ascii="Verdana" w:hAnsi="Verdana"/>
          <w:b/>
          <w:color w:val="FF0000"/>
        </w:rPr>
        <w:t>following conduct is</w:t>
      </w:r>
      <w:r w:rsidR="001A3314">
        <w:rPr>
          <w:rFonts w:ascii="Verdana" w:hAnsi="Verdana"/>
          <w:b/>
          <w:color w:val="FF0000"/>
        </w:rPr>
        <w:t xml:space="preserve"> </w:t>
      </w:r>
      <w:r w:rsidR="00610244">
        <w:rPr>
          <w:rFonts w:ascii="Verdana" w:hAnsi="Verdana"/>
          <w:b/>
          <w:color w:val="FF0000"/>
        </w:rPr>
        <w:t>unacceptable</w:t>
      </w:r>
      <w:r w:rsidRPr="00AD5C55">
        <w:rPr>
          <w:rFonts w:ascii="Verdana" w:hAnsi="Verdana"/>
          <w:b/>
        </w:rPr>
        <w:t xml:space="preserve"> </w:t>
      </w:r>
      <w:r w:rsidRPr="00B3616B">
        <w:rPr>
          <w:rFonts w:ascii="Verdana" w:hAnsi="Verdana"/>
          <w:bCs/>
        </w:rPr>
        <w:t xml:space="preserve">and will </w:t>
      </w:r>
      <w:r w:rsidR="003E3F60" w:rsidRPr="00B3616B">
        <w:rPr>
          <w:rFonts w:ascii="Verdana" w:hAnsi="Verdana"/>
          <w:bCs/>
        </w:rPr>
        <w:t>lead to</w:t>
      </w:r>
      <w:r w:rsidR="00A07F47" w:rsidRPr="00B3616B">
        <w:rPr>
          <w:rFonts w:ascii="Verdana" w:hAnsi="Verdana"/>
          <w:bCs/>
        </w:rPr>
        <w:t xml:space="preserve"> </w:t>
      </w:r>
      <w:r w:rsidR="00A00BE7" w:rsidRPr="00B3616B">
        <w:rPr>
          <w:rFonts w:ascii="Verdana" w:hAnsi="Verdana"/>
          <w:bCs/>
        </w:rPr>
        <w:t xml:space="preserve">corrective </w:t>
      </w:r>
      <w:r w:rsidR="00A07F47" w:rsidRPr="00B3616B">
        <w:rPr>
          <w:rFonts w:ascii="Verdana" w:hAnsi="Verdana"/>
          <w:bCs/>
        </w:rPr>
        <w:t>action</w:t>
      </w:r>
      <w:r w:rsidR="001A3314" w:rsidRPr="00B3616B">
        <w:rPr>
          <w:rFonts w:ascii="Verdana" w:hAnsi="Verdana"/>
          <w:bCs/>
        </w:rPr>
        <w:t>,</w:t>
      </w:r>
      <w:r w:rsidR="00A07F47" w:rsidRPr="00B3616B">
        <w:rPr>
          <w:rFonts w:ascii="Verdana" w:hAnsi="Verdana"/>
          <w:bCs/>
        </w:rPr>
        <w:t xml:space="preserve"> up to and including termination</w:t>
      </w:r>
      <w:r w:rsidR="001A3314" w:rsidRPr="00B3616B">
        <w:rPr>
          <w:rFonts w:ascii="Verdana" w:hAnsi="Verdana"/>
          <w:bCs/>
        </w:rPr>
        <w:t>.</w:t>
      </w:r>
    </w:p>
    <w:p w14:paraId="69C93727" w14:textId="77777777" w:rsidR="000715FE" w:rsidRDefault="000715FE" w:rsidP="00AF5048">
      <w:pPr>
        <w:spacing w:before="120" w:after="120"/>
        <w:rPr>
          <w:rFonts w:ascii="Verdana" w:hAnsi="Verdana"/>
        </w:rPr>
      </w:pPr>
    </w:p>
    <w:p w14:paraId="6755D2C5" w14:textId="77777777" w:rsidR="000715FE" w:rsidRPr="00316B7C" w:rsidRDefault="007976FF" w:rsidP="00AF5048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85ECB35" wp14:editId="67A6B7A6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5FE">
        <w:rPr>
          <w:rFonts w:ascii="Verdana" w:hAnsi="Verdana"/>
        </w:rPr>
        <w:t xml:space="preserve"> </w:t>
      </w:r>
      <w:r w:rsidR="00BB2D06">
        <w:rPr>
          <w:rFonts w:ascii="Verdana" w:hAnsi="Verdana"/>
        </w:rPr>
        <w:t xml:space="preserve">The following </w:t>
      </w:r>
      <w:r w:rsidR="00DA3306">
        <w:rPr>
          <w:rFonts w:ascii="Verdana" w:hAnsi="Verdana"/>
        </w:rPr>
        <w:t xml:space="preserve">behaviors </w:t>
      </w:r>
      <w:r w:rsidR="000715FE">
        <w:rPr>
          <w:rFonts w:ascii="Verdana" w:hAnsi="Verdana"/>
        </w:rPr>
        <w:t xml:space="preserve">are inclusive when </w:t>
      </w:r>
      <w:r w:rsidR="00B31E93" w:rsidRPr="00B3616B">
        <w:rPr>
          <w:rFonts w:ascii="Verdana" w:hAnsi="Verdana"/>
        </w:rPr>
        <w:t xml:space="preserve">interacting </w:t>
      </w:r>
      <w:r w:rsidR="000715FE" w:rsidRPr="00B3616B">
        <w:rPr>
          <w:rFonts w:ascii="Verdana" w:hAnsi="Verdana"/>
        </w:rPr>
        <w:t xml:space="preserve">with the </w:t>
      </w:r>
      <w:r w:rsidR="00B31E93" w:rsidRPr="00B3616B">
        <w:rPr>
          <w:rFonts w:ascii="Verdana" w:hAnsi="Verdana"/>
        </w:rPr>
        <w:t xml:space="preserve">customer </w:t>
      </w:r>
      <w:r w:rsidR="000715FE" w:rsidRPr="00B3616B">
        <w:rPr>
          <w:rFonts w:ascii="Verdana" w:hAnsi="Verdana"/>
        </w:rPr>
        <w:t xml:space="preserve">on the phone or </w:t>
      </w:r>
      <w:r w:rsidR="00EF5FA0" w:rsidRPr="00B3616B">
        <w:rPr>
          <w:rFonts w:ascii="Verdana" w:hAnsi="Verdana"/>
        </w:rPr>
        <w:t>via</w:t>
      </w:r>
      <w:r w:rsidR="000715FE" w:rsidRPr="00B3616B">
        <w:rPr>
          <w:rFonts w:ascii="Verdana" w:hAnsi="Verdana"/>
        </w:rPr>
        <w:t xml:space="preserve"> email/chat, during hold times,</w:t>
      </w:r>
      <w:r w:rsidR="000715FE">
        <w:rPr>
          <w:rFonts w:ascii="Verdana" w:hAnsi="Verdana"/>
        </w:rPr>
        <w:t xml:space="preserve"> </w:t>
      </w:r>
      <w:r w:rsidR="00BB2D06">
        <w:rPr>
          <w:rFonts w:ascii="Verdana" w:hAnsi="Verdana"/>
        </w:rPr>
        <w:t xml:space="preserve">or </w:t>
      </w:r>
      <w:r w:rsidR="00743160">
        <w:rPr>
          <w:rFonts w:ascii="Verdana" w:hAnsi="Verdana"/>
        </w:rPr>
        <w:t xml:space="preserve">documenting </w:t>
      </w:r>
      <w:r w:rsidR="00BB2D06">
        <w:rPr>
          <w:rFonts w:ascii="Verdana" w:hAnsi="Verdana"/>
        </w:rPr>
        <w:t xml:space="preserve">within any </w:t>
      </w:r>
      <w:r w:rsidR="00610244">
        <w:rPr>
          <w:rFonts w:ascii="Verdana" w:hAnsi="Verdana"/>
        </w:rPr>
        <w:t>PBM</w:t>
      </w:r>
      <w:r w:rsidR="00BB2D06">
        <w:rPr>
          <w:rFonts w:ascii="Verdana" w:hAnsi="Verdana"/>
        </w:rPr>
        <w:t xml:space="preserve"> system</w:t>
      </w:r>
      <w:r w:rsidR="00743160" w:rsidRPr="00A82871">
        <w:rPr>
          <w:rFonts w:ascii="Verdana" w:hAnsi="Verdana"/>
        </w:rPr>
        <w:t>.</w:t>
      </w:r>
      <w:r w:rsidR="00743160">
        <w:rPr>
          <w:rFonts w:ascii="Verdana" w:hAnsi="Verdana"/>
          <w:b/>
          <w:bCs/>
        </w:rPr>
        <w:t xml:space="preserve"> </w:t>
      </w:r>
      <w:r w:rsidR="00743160">
        <w:rPr>
          <w:rFonts w:ascii="Verdana" w:hAnsi="Verdana"/>
        </w:rPr>
        <w:t>This extends to all electronic communication tools such as email or chat functions.</w:t>
      </w:r>
    </w:p>
    <w:p w14:paraId="6283B637" w14:textId="77777777" w:rsidR="000715FE" w:rsidRPr="00316B7C" w:rsidRDefault="000715FE" w:rsidP="00AF5048">
      <w:pPr>
        <w:spacing w:before="120" w:after="120"/>
        <w:rPr>
          <w:rFonts w:ascii="Verdana" w:hAnsi="Verdana"/>
        </w:rPr>
      </w:pPr>
    </w:p>
    <w:p w14:paraId="71F25656" w14:textId="77777777" w:rsidR="00EF5FA0" w:rsidRDefault="00EF5FA0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</w:t>
      </w:r>
      <w:r w:rsidRPr="00316B7C">
        <w:rPr>
          <w:rFonts w:ascii="Verdana" w:hAnsi="Verdana"/>
        </w:rPr>
        <w:t>voiding calls</w:t>
      </w:r>
      <w:r w:rsidR="00EF3CF7">
        <w:rPr>
          <w:rFonts w:ascii="Verdana" w:hAnsi="Verdana"/>
        </w:rPr>
        <w:t>,</w:t>
      </w:r>
      <w:r w:rsidRPr="00316B7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including but </w:t>
      </w:r>
      <w:r w:rsidRPr="00316B7C">
        <w:rPr>
          <w:rFonts w:ascii="Verdana" w:hAnsi="Verdana"/>
        </w:rPr>
        <w:t>not limited to</w:t>
      </w:r>
      <w:r>
        <w:rPr>
          <w:rFonts w:ascii="Verdana" w:hAnsi="Verdana"/>
        </w:rPr>
        <w:t>:</w:t>
      </w:r>
    </w:p>
    <w:p w14:paraId="78E712D5" w14:textId="77777777" w:rsidR="0050552F" w:rsidRPr="00EF3CF7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proofErr w:type="gramStart"/>
      <w:r w:rsidRPr="002909DE">
        <w:rPr>
          <w:rFonts w:ascii="Verdana" w:hAnsi="Verdana"/>
        </w:rPr>
        <w:t>Cold</w:t>
      </w:r>
      <w:proofErr w:type="gramEnd"/>
      <w:r w:rsidRPr="002909DE">
        <w:rPr>
          <w:rFonts w:ascii="Verdana" w:hAnsi="Verdana"/>
        </w:rPr>
        <w:t xml:space="preserve"> </w:t>
      </w:r>
      <w:proofErr w:type="gramStart"/>
      <w:r w:rsidRPr="002909DE">
        <w:rPr>
          <w:rFonts w:ascii="Verdana" w:hAnsi="Verdana"/>
        </w:rPr>
        <w:t>transferring</w:t>
      </w:r>
      <w:proofErr w:type="gramEnd"/>
      <w:r w:rsidRPr="002909DE">
        <w:rPr>
          <w:rFonts w:ascii="Verdana" w:hAnsi="Verdana"/>
        </w:rPr>
        <w:t xml:space="preserve"> a member to an internal department</w:t>
      </w:r>
      <w:r>
        <w:rPr>
          <w:rFonts w:ascii="Verdana" w:hAnsi="Verdana"/>
        </w:rPr>
        <w:t xml:space="preserve"> without authorization or </w:t>
      </w:r>
      <w:r w:rsidRPr="00EF3CF7">
        <w:rPr>
          <w:rFonts w:ascii="Verdana" w:hAnsi="Verdana"/>
        </w:rPr>
        <w:t xml:space="preserve">to the Senior Team for any reason. </w:t>
      </w:r>
    </w:p>
    <w:p w14:paraId="53CA5D4E" w14:textId="77777777" w:rsidR="0050552F" w:rsidRPr="00F778B1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Disconnecting or hanging up on a caller at any point during a call.</w:t>
      </w:r>
    </w:p>
    <w:p w14:paraId="156A50C8" w14:textId="77777777" w:rsidR="0050552F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Failing to greet the caller</w:t>
      </w:r>
      <w:r w:rsidRPr="00F77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immediately </w:t>
      </w:r>
      <w:r w:rsidRPr="00F778B1">
        <w:rPr>
          <w:rFonts w:ascii="Verdana" w:hAnsi="Verdana"/>
          <w:color w:val="000000"/>
        </w:rPr>
        <w:t>when the line goes live</w:t>
      </w:r>
      <w:r>
        <w:rPr>
          <w:rFonts w:ascii="Verdana" w:hAnsi="Verdana"/>
          <w:color w:val="000000"/>
        </w:rPr>
        <w:t>.</w:t>
      </w:r>
      <w:r w:rsidRPr="00F778B1">
        <w:rPr>
          <w:rFonts w:ascii="Verdana" w:hAnsi="Verdana"/>
          <w:color w:val="000000"/>
        </w:rPr>
        <w:t xml:space="preserve">  </w:t>
      </w:r>
    </w:p>
    <w:p w14:paraId="2AA9BB29" w14:textId="77777777" w:rsidR="0050552F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Failing to release the line when transferring a call</w:t>
      </w:r>
      <w:r w:rsidR="00DB57E4">
        <w:rPr>
          <w:rFonts w:ascii="Verdana" w:hAnsi="Verdana"/>
        </w:rPr>
        <w:t>,</w:t>
      </w:r>
      <w:r>
        <w:rPr>
          <w:rFonts w:ascii="Verdana" w:hAnsi="Verdana"/>
        </w:rPr>
        <w:t xml:space="preserve"> unless asked to stay on the call.</w:t>
      </w:r>
    </w:p>
    <w:p w14:paraId="4C7DD7B4" w14:textId="77777777" w:rsidR="00415D6F" w:rsidRPr="00415D6F" w:rsidRDefault="00415D6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B3616B">
        <w:rPr>
          <w:rFonts w:ascii="Verdana" w:hAnsi="Verdana"/>
        </w:rPr>
        <w:t>Failing to release the line after closing the call (aka Hang Out Time)</w:t>
      </w:r>
      <w:r w:rsidR="00DF39B0">
        <w:rPr>
          <w:rFonts w:ascii="Verdana" w:hAnsi="Verdana"/>
        </w:rPr>
        <w:t>.</w:t>
      </w:r>
    </w:p>
    <w:p w14:paraId="12C8FCFE" w14:textId="77777777" w:rsidR="0050552F" w:rsidRPr="00AD5C55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Failure to be in the appropriate AUX state to take calls.</w:t>
      </w:r>
    </w:p>
    <w:p w14:paraId="439E65A1" w14:textId="3736F5F2" w:rsidR="0050552F" w:rsidRPr="00F778B1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color w:val="000000"/>
        </w:rPr>
      </w:pPr>
      <w:r w:rsidRPr="00F778B1">
        <w:rPr>
          <w:rFonts w:ascii="Verdana" w:hAnsi="Verdana"/>
          <w:color w:val="000000"/>
        </w:rPr>
        <w:t xml:space="preserve">Inefficient </w:t>
      </w:r>
      <w:r>
        <w:rPr>
          <w:rFonts w:ascii="Verdana" w:hAnsi="Verdana"/>
          <w:color w:val="000000"/>
        </w:rPr>
        <w:t>call management</w:t>
      </w:r>
      <w:r w:rsidRPr="00F778B1">
        <w:rPr>
          <w:rFonts w:ascii="Verdana" w:hAnsi="Verdana"/>
          <w:color w:val="000000"/>
        </w:rPr>
        <w:t xml:space="preserve"> (</w:t>
      </w:r>
      <w:r w:rsidR="00080915" w:rsidRPr="00FF3B69">
        <w:rPr>
          <w:rFonts w:ascii="Verdana" w:hAnsi="Verdana"/>
          <w:b/>
          <w:bCs/>
          <w:color w:val="000000"/>
        </w:rPr>
        <w:t>Example:</w:t>
      </w:r>
      <w:r w:rsidR="00080915">
        <w:rPr>
          <w:rFonts w:ascii="Verdana" w:hAnsi="Verdana"/>
          <w:color w:val="000000"/>
        </w:rPr>
        <w:t xml:space="preserve"> E</w:t>
      </w:r>
      <w:r>
        <w:rPr>
          <w:rFonts w:ascii="Verdana" w:hAnsi="Verdana"/>
          <w:color w:val="000000"/>
        </w:rPr>
        <w:t xml:space="preserve">xcessive </w:t>
      </w:r>
      <w:r w:rsidRPr="00F778B1">
        <w:rPr>
          <w:rFonts w:ascii="Verdana" w:hAnsi="Verdana"/>
          <w:color w:val="000000"/>
        </w:rPr>
        <w:t>non</w:t>
      </w:r>
      <w:r>
        <w:rPr>
          <w:rFonts w:ascii="Verdana" w:hAnsi="Verdana"/>
          <w:color w:val="000000"/>
        </w:rPr>
        <w:t>-</w:t>
      </w:r>
      <w:r w:rsidRPr="00F778B1">
        <w:rPr>
          <w:rFonts w:ascii="Verdana" w:hAnsi="Verdana"/>
          <w:color w:val="000000"/>
        </w:rPr>
        <w:t>business conversation</w:t>
      </w:r>
      <w:r>
        <w:rPr>
          <w:rFonts w:ascii="Verdana" w:hAnsi="Verdana"/>
          <w:color w:val="000000"/>
        </w:rPr>
        <w:t xml:space="preserve"> during the call</w:t>
      </w:r>
      <w:r w:rsidR="00DB57E4">
        <w:rPr>
          <w:rFonts w:ascii="Verdana" w:hAnsi="Verdana"/>
          <w:color w:val="000000"/>
        </w:rPr>
        <w:t>. This does include, but is not limited to, Microsoft Teams chat</w:t>
      </w:r>
      <w:r w:rsidRPr="00F778B1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>.</w:t>
      </w:r>
    </w:p>
    <w:p w14:paraId="2EADA4A9" w14:textId="77777777" w:rsidR="0050552F" w:rsidRPr="00DA3306" w:rsidRDefault="0050552F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2909DE">
        <w:rPr>
          <w:rFonts w:ascii="Verdana" w:hAnsi="Verdana"/>
        </w:rPr>
        <w:t>Placing a member on</w:t>
      </w:r>
      <w:r>
        <w:rPr>
          <w:rFonts w:ascii="Verdana" w:hAnsi="Verdana"/>
        </w:rPr>
        <w:t xml:space="preserve"> an excessive</w:t>
      </w:r>
      <w:r w:rsidRPr="002909DE">
        <w:rPr>
          <w:rFonts w:ascii="Verdana" w:hAnsi="Verdana"/>
        </w:rPr>
        <w:t xml:space="preserve"> hold</w:t>
      </w:r>
      <w:r>
        <w:rPr>
          <w:rFonts w:ascii="Verdana" w:hAnsi="Verdana"/>
        </w:rPr>
        <w:t xml:space="preserve"> (as outlined in business appropriate work instructions)</w:t>
      </w:r>
      <w:r>
        <w:rPr>
          <w:noProof/>
        </w:rPr>
        <w:t>.</w:t>
      </w:r>
    </w:p>
    <w:p w14:paraId="5692B2B2" w14:textId="77777777" w:rsidR="0050552F" w:rsidRPr="00D914D5" w:rsidRDefault="0050552F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 w:rsidRPr="000715FE">
        <w:rPr>
          <w:rFonts w:ascii="Verdana" w:hAnsi="Verdana"/>
        </w:rPr>
        <w:t>Avoiding action</w:t>
      </w:r>
      <w:r>
        <w:rPr>
          <w:rFonts w:ascii="Verdana" w:hAnsi="Verdana"/>
        </w:rPr>
        <w:t xml:space="preserve"> such as choosing not to assist a caller or b</w:t>
      </w:r>
      <w:r w:rsidRPr="00D914D5">
        <w:rPr>
          <w:rFonts w:ascii="Verdana" w:hAnsi="Verdana"/>
        </w:rPr>
        <w:t xml:space="preserve">eing resistant in offering </w:t>
      </w:r>
      <w:proofErr w:type="gramStart"/>
      <w:r w:rsidRPr="00D914D5">
        <w:rPr>
          <w:rFonts w:ascii="Verdana" w:hAnsi="Verdana"/>
        </w:rPr>
        <w:t>a caller</w:t>
      </w:r>
      <w:proofErr w:type="gramEnd"/>
      <w:r w:rsidRPr="00D914D5">
        <w:rPr>
          <w:rFonts w:ascii="Verdana" w:hAnsi="Verdana"/>
        </w:rPr>
        <w:t xml:space="preserve"> help or resolution which includes</w:t>
      </w:r>
      <w:r>
        <w:rPr>
          <w:rFonts w:ascii="Verdana" w:hAnsi="Verdana"/>
        </w:rPr>
        <w:t>,</w:t>
      </w:r>
      <w:r w:rsidRPr="00D914D5">
        <w:rPr>
          <w:rFonts w:ascii="Verdana" w:hAnsi="Verdana"/>
        </w:rPr>
        <w:t xml:space="preserve"> but is not limited to</w:t>
      </w:r>
      <w:r>
        <w:rPr>
          <w:rFonts w:ascii="Verdana" w:hAnsi="Verdana"/>
        </w:rPr>
        <w:t>,</w:t>
      </w:r>
      <w:r w:rsidRPr="00D914D5">
        <w:rPr>
          <w:rFonts w:ascii="Verdana" w:hAnsi="Verdana"/>
        </w:rPr>
        <w:t xml:space="preserve"> the </w:t>
      </w:r>
      <w:r w:rsidRPr="00D914D5">
        <w:rPr>
          <w:rFonts w:ascii="Verdana" w:hAnsi="Verdana"/>
          <w:bCs/>
        </w:rPr>
        <w:t>refusal</w:t>
      </w:r>
      <w:r w:rsidRPr="00D914D5">
        <w:rPr>
          <w:rFonts w:ascii="Verdana" w:hAnsi="Verdana"/>
        </w:rPr>
        <w:t xml:space="preserve"> to escalate the call to the next level when appropriate or specifically requested</w:t>
      </w:r>
      <w:r>
        <w:rPr>
          <w:rFonts w:ascii="Verdana" w:hAnsi="Verdana"/>
        </w:rPr>
        <w:t>.</w:t>
      </w:r>
    </w:p>
    <w:p w14:paraId="54DE458F" w14:textId="53D7CCEA" w:rsidR="0050552F" w:rsidRPr="00316B7C" w:rsidRDefault="0050552F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D</w:t>
      </w:r>
      <w:r w:rsidRPr="00316B7C">
        <w:rPr>
          <w:rFonts w:ascii="Verdana" w:hAnsi="Verdana"/>
        </w:rPr>
        <w:t>elivering misleading</w:t>
      </w:r>
      <w:r>
        <w:rPr>
          <w:rFonts w:ascii="Verdana" w:hAnsi="Verdana"/>
        </w:rPr>
        <w:t>, false, or</w:t>
      </w:r>
      <w:r w:rsidRPr="00316B7C">
        <w:rPr>
          <w:rFonts w:ascii="Verdana" w:hAnsi="Verdana"/>
        </w:rPr>
        <w:t xml:space="preserve"> information that cannot be substantiated</w:t>
      </w:r>
      <w:r>
        <w:rPr>
          <w:rFonts w:ascii="Verdana" w:hAnsi="Verdana"/>
        </w:rPr>
        <w:t>.</w:t>
      </w:r>
    </w:p>
    <w:p w14:paraId="6E1F5231" w14:textId="762AF8A9" w:rsidR="0050552F" w:rsidRPr="00EF3CF7" w:rsidRDefault="0050552F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 w:rsidRPr="00EF3CF7">
        <w:rPr>
          <w:rFonts w:ascii="Verdana" w:hAnsi="Verdana"/>
        </w:rPr>
        <w:t xml:space="preserve">Demonstrating rude, inappropriate, unprofessional, or offensive behavior which includes cursing, mocking, patronizing or belittling </w:t>
      </w:r>
      <w:r w:rsidR="000A2B18">
        <w:rPr>
          <w:rFonts w:ascii="Verdana" w:hAnsi="Verdana"/>
        </w:rPr>
        <w:t>anyone</w:t>
      </w:r>
      <w:r w:rsidRPr="00EF3CF7">
        <w:rPr>
          <w:rFonts w:ascii="Verdana" w:hAnsi="Verdana"/>
        </w:rPr>
        <w:t xml:space="preserve">, shortness of response (curt or abrupt), rendering </w:t>
      </w:r>
      <w:proofErr w:type="gramStart"/>
      <w:r w:rsidRPr="00EF3CF7">
        <w:rPr>
          <w:rFonts w:ascii="Verdana" w:hAnsi="Verdana"/>
        </w:rPr>
        <w:t>personal opinion</w:t>
      </w:r>
      <w:proofErr w:type="gramEnd"/>
      <w:r w:rsidRPr="00EF3CF7">
        <w:rPr>
          <w:rFonts w:ascii="Verdana" w:hAnsi="Verdana"/>
        </w:rPr>
        <w:t xml:space="preserve">, using negative voice inflection, consistently interrupting or talking over </w:t>
      </w:r>
      <w:r w:rsidR="000A2B18">
        <w:rPr>
          <w:rFonts w:ascii="Verdana" w:hAnsi="Verdana"/>
        </w:rPr>
        <w:t>others</w:t>
      </w:r>
      <w:r w:rsidRPr="00EF3CF7">
        <w:rPr>
          <w:rFonts w:ascii="Verdana" w:hAnsi="Verdana"/>
        </w:rPr>
        <w:t xml:space="preserve">, or </w:t>
      </w:r>
      <w:r>
        <w:rPr>
          <w:rFonts w:ascii="Verdana" w:hAnsi="Verdana"/>
        </w:rPr>
        <w:t>m</w:t>
      </w:r>
      <w:r w:rsidRPr="00EF3CF7">
        <w:rPr>
          <w:rFonts w:ascii="Verdana" w:hAnsi="Verdana"/>
        </w:rPr>
        <w:t>inimizing the seriousness of the issue (brushing off)</w:t>
      </w:r>
      <w:r>
        <w:rPr>
          <w:rFonts w:ascii="Verdana" w:hAnsi="Verdana"/>
        </w:rPr>
        <w:t>.</w:t>
      </w:r>
      <w:r w:rsidRPr="00EF3CF7">
        <w:rPr>
          <w:rFonts w:ascii="Verdana" w:hAnsi="Verdana"/>
        </w:rPr>
        <w:t xml:space="preserve"> </w:t>
      </w:r>
    </w:p>
    <w:p w14:paraId="42A11A6F" w14:textId="2EC11A94" w:rsidR="0050552F" w:rsidRDefault="0050552F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 w:rsidRPr="0087027B">
        <w:rPr>
          <w:rFonts w:ascii="Verdana" w:hAnsi="Verdana"/>
        </w:rPr>
        <w:t>Fail</w:t>
      </w:r>
      <w:r>
        <w:rPr>
          <w:rFonts w:ascii="Verdana" w:hAnsi="Verdana"/>
        </w:rPr>
        <w:t>ure to keep</w:t>
      </w:r>
      <w:r w:rsidRPr="0087027B">
        <w:rPr>
          <w:rFonts w:ascii="Verdana" w:hAnsi="Verdana"/>
        </w:rPr>
        <w:t xml:space="preserve"> </w:t>
      </w:r>
      <w:r w:rsidRPr="002909DE">
        <w:rPr>
          <w:rFonts w:ascii="Verdana" w:hAnsi="Verdana"/>
        </w:rPr>
        <w:t>commitments that have been made</w:t>
      </w:r>
      <w:r>
        <w:rPr>
          <w:rFonts w:ascii="Verdana" w:hAnsi="Verdana"/>
        </w:rPr>
        <w:t>.</w:t>
      </w:r>
      <w:r w:rsidRPr="00316B7C">
        <w:rPr>
          <w:rFonts w:ascii="Verdana" w:hAnsi="Verdana"/>
        </w:rPr>
        <w:t xml:space="preserve"> </w:t>
      </w:r>
    </w:p>
    <w:p w14:paraId="397FFF3F" w14:textId="52860AE5" w:rsidR="007976FF" w:rsidRDefault="004E2A15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Callbacks to Members: </w:t>
      </w:r>
      <w:r>
        <w:rPr>
          <w:rFonts w:ascii="Verdana" w:hAnsi="Verdana"/>
        </w:rPr>
        <w:t>If a callback to the member is required, identify who will call the member back and when they should expect that communication.</w:t>
      </w:r>
    </w:p>
    <w:p w14:paraId="7E6FF571" w14:textId="7B5CE60E" w:rsidR="004E2A15" w:rsidRDefault="004E2A15" w:rsidP="00AF5048">
      <w:pPr>
        <w:spacing w:before="120" w:after="120"/>
        <w:ind w:left="720" w:firstLine="72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Example: </w:t>
      </w:r>
      <w:r w:rsidR="00FF3B69">
        <w:rPr>
          <w:rFonts w:ascii="Verdana" w:hAnsi="Verdana"/>
          <w:noProof/>
        </w:rPr>
        <w:drawing>
          <wp:inline distT="0" distB="0" distL="0" distR="0" wp14:anchorId="580A8906" wp14:editId="273795CE">
            <wp:extent cx="238158" cy="2095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B69"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Our pharmacy will call you back within 10 business days or you will receive an automated call regarding your request within 10 business days.</w:t>
      </w:r>
    </w:p>
    <w:p w14:paraId="2827DCEC" w14:textId="619A8C3B" w:rsidR="0050552F" w:rsidRDefault="0050552F" w:rsidP="00AF5048">
      <w:pPr>
        <w:numPr>
          <w:ilvl w:val="0"/>
          <w:numId w:val="13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Lack of active listening, engagement, and/or fully utilizing all tools and resources to resolve the caller’s inquiry on the first contact</w:t>
      </w:r>
      <w:r w:rsidR="00187082">
        <w:rPr>
          <w:rFonts w:ascii="Verdana" w:hAnsi="Verdana"/>
        </w:rPr>
        <w:t>.</w:t>
      </w:r>
    </w:p>
    <w:p w14:paraId="1C5320BB" w14:textId="77777777" w:rsidR="005A5EFC" w:rsidRPr="0002415D" w:rsidRDefault="003C7E89" w:rsidP="00AF5048">
      <w:pPr>
        <w:numPr>
          <w:ilvl w:val="0"/>
          <w:numId w:val="13"/>
        </w:numPr>
        <w:spacing w:before="120" w:after="120"/>
      </w:pPr>
      <w:r w:rsidRPr="00301C79">
        <w:rPr>
          <w:rFonts w:ascii="Verdana" w:hAnsi="Verdana"/>
          <w:color w:val="000000"/>
        </w:rPr>
        <w:t>Completing account changes/fulfillment requests after a call is released.</w:t>
      </w:r>
      <w:r w:rsidR="008436C2">
        <w:rPr>
          <w:rFonts w:ascii="Verdana" w:hAnsi="Verdana"/>
          <w:color w:val="000000"/>
        </w:rPr>
        <w:t xml:space="preserve"> Changes to a member’s account should only be made with the fully authenticated caller on the line, or when directed by </w:t>
      </w:r>
      <w:r w:rsidR="00617469">
        <w:rPr>
          <w:rFonts w:ascii="Verdana" w:hAnsi="Verdana"/>
          <w:color w:val="000000"/>
        </w:rPr>
        <w:t>leadership</w:t>
      </w:r>
      <w:r w:rsidR="008436C2">
        <w:rPr>
          <w:rFonts w:ascii="Verdana" w:hAnsi="Verdana"/>
          <w:color w:val="000000"/>
        </w:rPr>
        <w:t>.</w:t>
      </w:r>
    </w:p>
    <w:p w14:paraId="3C1B54FD" w14:textId="1E411817" w:rsidR="00033574" w:rsidRPr="002D61E8" w:rsidRDefault="00033574" w:rsidP="00AF5048">
      <w:pPr>
        <w:numPr>
          <w:ilvl w:val="0"/>
          <w:numId w:val="13"/>
        </w:numPr>
        <w:spacing w:before="120" w:after="120"/>
        <w:rPr>
          <w:rFonts w:ascii="Calibri" w:eastAsia="Calibri" w:hAnsi="Calibri" w:cs="Calibri"/>
          <w:sz w:val="22"/>
          <w:szCs w:val="22"/>
        </w:rPr>
      </w:pPr>
      <w:r w:rsidRPr="2C425C3C">
        <w:rPr>
          <w:rFonts w:ascii="Verdana" w:hAnsi="Verdana"/>
          <w:b/>
          <w:bCs/>
          <w:color w:val="000000" w:themeColor="text1"/>
        </w:rPr>
        <w:t>Do not</w:t>
      </w:r>
      <w:r w:rsidRPr="2C425C3C">
        <w:rPr>
          <w:rFonts w:ascii="Verdana" w:hAnsi="Verdana"/>
          <w:b/>
          <w:bCs/>
          <w:i/>
          <w:iCs/>
          <w:color w:val="000000" w:themeColor="text1"/>
        </w:rPr>
        <w:t> </w:t>
      </w:r>
      <w:proofErr w:type="gramStart"/>
      <w:r w:rsidRPr="2C425C3C">
        <w:rPr>
          <w:rFonts w:ascii="Verdana" w:hAnsi="Verdana"/>
          <w:color w:val="000000" w:themeColor="text1"/>
        </w:rPr>
        <w:t>provide your email</w:t>
      </w:r>
      <w:proofErr w:type="gramEnd"/>
      <w:r w:rsidRPr="2C425C3C">
        <w:rPr>
          <w:rFonts w:ascii="Verdana" w:hAnsi="Verdana"/>
          <w:color w:val="000000" w:themeColor="text1"/>
        </w:rPr>
        <w:t xml:space="preserve"> or send emails to members or other callers.</w:t>
      </w:r>
      <w:r w:rsidR="7079E490" w:rsidRPr="2C425C3C">
        <w:rPr>
          <w:rFonts w:ascii="Verdana" w:hAnsi="Verdana"/>
          <w:color w:val="000000" w:themeColor="text1"/>
        </w:rPr>
        <w:t xml:space="preserve"> </w:t>
      </w:r>
    </w:p>
    <w:p w14:paraId="7F984A71" w14:textId="3840410C" w:rsidR="00033574" w:rsidRPr="00410DBE" w:rsidRDefault="7079E490" w:rsidP="00AF5048">
      <w:pPr>
        <w:pStyle w:val="ListParagraph"/>
        <w:numPr>
          <w:ilvl w:val="0"/>
          <w:numId w:val="10"/>
        </w:numPr>
        <w:spacing w:before="120" w:after="120"/>
        <w:rPr>
          <w:rFonts w:ascii="Verdana" w:eastAsia="Verdana" w:hAnsi="Verdana" w:cs="Verdana"/>
          <w:b/>
          <w:bCs/>
        </w:rPr>
      </w:pPr>
      <w:r w:rsidRPr="00410DBE">
        <w:rPr>
          <w:rFonts w:ascii="Verdana" w:hAnsi="Verdana"/>
          <w:color w:val="000000" w:themeColor="text1"/>
        </w:rPr>
        <w:t>For additional reference on what</w:t>
      </w:r>
      <w:r w:rsidR="00E58F95" w:rsidRPr="00410DBE">
        <w:rPr>
          <w:rFonts w:ascii="Verdana" w:hAnsi="Verdana"/>
          <w:color w:val="000000" w:themeColor="text1"/>
        </w:rPr>
        <w:t xml:space="preserve"> information</w:t>
      </w:r>
      <w:r w:rsidRPr="00410DBE">
        <w:rPr>
          <w:rFonts w:ascii="Verdana" w:hAnsi="Verdana"/>
          <w:color w:val="000000" w:themeColor="text1"/>
        </w:rPr>
        <w:t xml:space="preserve"> you can</w:t>
      </w:r>
      <w:r w:rsidR="69A63D48" w:rsidRPr="00410DBE">
        <w:rPr>
          <w:rFonts w:ascii="Verdana" w:hAnsi="Verdana"/>
          <w:color w:val="000000" w:themeColor="text1"/>
        </w:rPr>
        <w:t xml:space="preserve"> </w:t>
      </w:r>
      <w:r w:rsidRPr="00410DBE">
        <w:rPr>
          <w:rFonts w:ascii="Verdana" w:hAnsi="Verdana"/>
          <w:color w:val="000000" w:themeColor="text1"/>
        </w:rPr>
        <w:t xml:space="preserve">provide </w:t>
      </w:r>
      <w:r w:rsidR="790872C0" w:rsidRPr="00410DBE">
        <w:rPr>
          <w:rFonts w:ascii="Verdana" w:hAnsi="Verdana"/>
          <w:color w:val="000000" w:themeColor="text1"/>
        </w:rPr>
        <w:t>on a call</w:t>
      </w:r>
      <w:r w:rsidR="00410DBE" w:rsidRPr="00410DBE">
        <w:rPr>
          <w:rFonts w:ascii="Verdana" w:hAnsi="Verdana"/>
          <w:color w:val="000000" w:themeColor="text1"/>
        </w:rPr>
        <w:t>,</w:t>
      </w:r>
      <w:r w:rsidR="790872C0" w:rsidRPr="00410DBE">
        <w:rPr>
          <w:rFonts w:ascii="Verdana" w:hAnsi="Verdana"/>
          <w:color w:val="000000" w:themeColor="text1"/>
        </w:rPr>
        <w:t xml:space="preserve"> </w:t>
      </w:r>
      <w:r w:rsidRPr="00410DBE">
        <w:rPr>
          <w:rFonts w:ascii="Verdana" w:hAnsi="Verdana"/>
          <w:color w:val="000000" w:themeColor="text1"/>
        </w:rPr>
        <w:t xml:space="preserve">refer to </w:t>
      </w:r>
      <w:hyperlink r:id="rId13" w:anchor="!/view?docid=65e9d0fd-2937-4aad-879a-e50f2482eec2" w:history="1">
        <w:r w:rsidRPr="00410DBE">
          <w:rPr>
            <w:rStyle w:val="Hyperlink"/>
            <w:rFonts w:ascii="Verdana" w:eastAsia="Verdana" w:hAnsi="Verdana" w:cs="Verdana"/>
          </w:rPr>
          <w:t>Compass - Requests for Representative's Name, ID, Location, Or Call Reference Number</w:t>
        </w:r>
        <w:r w:rsidR="004B20C5" w:rsidRPr="00410DBE">
          <w:rPr>
            <w:rStyle w:val="Hyperlink"/>
            <w:rFonts w:ascii="Verdana" w:eastAsia="Verdana" w:hAnsi="Verdana" w:cs="Verdana"/>
          </w:rPr>
          <w:t xml:space="preserve"> (068256)</w:t>
        </w:r>
      </w:hyperlink>
      <w:r w:rsidR="00410DBE" w:rsidRPr="00410DBE">
        <w:rPr>
          <w:rFonts w:ascii="Verdana" w:hAnsi="Verdana"/>
        </w:rPr>
        <w:t>.</w:t>
      </w:r>
    </w:p>
    <w:p w14:paraId="106CDDC5" w14:textId="77777777" w:rsidR="002618BC" w:rsidRPr="003C7E89" w:rsidRDefault="002618BC" w:rsidP="00AF5048">
      <w:pPr>
        <w:pStyle w:val="ListParagraph"/>
        <w:spacing w:before="120" w:after="120"/>
      </w:pPr>
    </w:p>
    <w:p w14:paraId="3B8486D7" w14:textId="77777777" w:rsidR="00D50090" w:rsidRDefault="007976FF" w:rsidP="00AF5048">
      <w:pPr>
        <w:spacing w:before="120" w:after="120"/>
        <w:rPr>
          <w:rFonts w:ascii="Verdana" w:hAnsi="Verdana"/>
        </w:rPr>
      </w:pPr>
      <w:r w:rsidRPr="007A48A0">
        <w:rPr>
          <w:rFonts w:ascii="Verdana" w:hAnsi="Verdana"/>
          <w:b/>
          <w:noProof/>
          <w:color w:val="000000"/>
        </w:rPr>
        <w:drawing>
          <wp:inline distT="0" distB="0" distL="0" distR="0" wp14:anchorId="1A7AC586" wp14:editId="72F8564E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2A2">
        <w:rPr>
          <w:rFonts w:ascii="Verdana" w:hAnsi="Verdana"/>
          <w:b/>
          <w:color w:val="000000"/>
        </w:rPr>
        <w:t xml:space="preserve"> </w:t>
      </w:r>
      <w:r w:rsidR="00A07F47" w:rsidRPr="00316B7C">
        <w:rPr>
          <w:rFonts w:ascii="Verdana" w:hAnsi="Verdana"/>
        </w:rPr>
        <w:t xml:space="preserve">The Company reserves the right to bypass disciplinary steps and base its </w:t>
      </w:r>
      <w:r w:rsidR="003E3F60">
        <w:rPr>
          <w:rFonts w:ascii="Verdana" w:hAnsi="Verdana"/>
        </w:rPr>
        <w:t>corrective</w:t>
      </w:r>
      <w:r w:rsidR="003E3F60" w:rsidRPr="00316B7C">
        <w:rPr>
          <w:rFonts w:ascii="Verdana" w:hAnsi="Verdana"/>
        </w:rPr>
        <w:t xml:space="preserve"> </w:t>
      </w:r>
      <w:r w:rsidR="00A07F47" w:rsidRPr="00316B7C">
        <w:rPr>
          <w:rFonts w:ascii="Verdana" w:hAnsi="Verdana"/>
        </w:rPr>
        <w:t>action on the severity, frequency, or combination of infractions when circumstances warrant immediate action.</w:t>
      </w:r>
    </w:p>
    <w:p w14:paraId="6635A964" w14:textId="77777777" w:rsidR="004B12DC" w:rsidRDefault="004B12DC" w:rsidP="00AF5048">
      <w:pPr>
        <w:spacing w:before="120" w:after="120"/>
        <w:rPr>
          <w:rFonts w:ascii="Verdana" w:hAnsi="Verdana"/>
        </w:rPr>
      </w:pPr>
    </w:p>
    <w:p w14:paraId="33B03F84" w14:textId="6C470FAF" w:rsidR="000372A2" w:rsidRPr="008106D6" w:rsidRDefault="00A50B76" w:rsidP="00AF5048">
      <w:pPr>
        <w:spacing w:before="120" w:after="120"/>
        <w:jc w:val="right"/>
        <w:rPr>
          <w:rStyle w:val="Hyperlink"/>
        </w:rPr>
      </w:pPr>
      <w:hyperlink w:anchor="_top" w:history="1">
        <w:r w:rsidR="00D6695B" w:rsidRPr="00A50B76">
          <w:rPr>
            <w:rStyle w:val="Hyperlink"/>
            <w:rFonts w:ascii="Verdana" w:hAnsi="Verdana"/>
          </w:rPr>
          <w:t>Top of the Document</w:t>
        </w:r>
      </w:hyperlink>
      <w:r w:rsidR="00EF1FA7" w:rsidRPr="008106D6" w:rsidDel="00EF1FA7">
        <w:rPr>
          <w:rStyle w:val="Hyperlink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B20C5" w14:paraId="323580C5" w14:textId="77777777" w:rsidTr="004B20C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4BC0EF" w14:textId="77777777" w:rsidR="004B20C5" w:rsidRDefault="004B20C5" w:rsidP="00AF504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2" w:name="_Toc525628632"/>
            <w:bookmarkStart w:id="13" w:name="_Toc109818683"/>
            <w:bookmarkStart w:id="14" w:name="_Toc196809295"/>
            <w:r>
              <w:rPr>
                <w:rFonts w:ascii="Verdana" w:hAnsi="Verdana"/>
                <w:i w:val="0"/>
              </w:rPr>
              <w:t>Related Document</w:t>
            </w:r>
            <w:bookmarkEnd w:id="12"/>
            <w:r>
              <w:rPr>
                <w:rFonts w:ascii="Verdana" w:hAnsi="Verdana"/>
                <w:i w:val="0"/>
              </w:rPr>
              <w:t>s</w:t>
            </w:r>
            <w:bookmarkEnd w:id="13"/>
            <w:bookmarkEnd w:id="14"/>
          </w:p>
        </w:tc>
      </w:tr>
    </w:tbl>
    <w:p w14:paraId="4999C747" w14:textId="4E9A1981" w:rsidR="004B20C5" w:rsidRPr="00DE7A25" w:rsidRDefault="004B20C5" w:rsidP="00AF5048">
      <w:pPr>
        <w:spacing w:before="120" w:after="120"/>
        <w:rPr>
          <w:rFonts w:ascii="Verdana" w:hAnsi="Verdana"/>
          <w:b/>
        </w:rPr>
      </w:pPr>
      <w:hyperlink r:id="rId14" w:anchor="!/view?docid=65e9d0fd-2937-4aad-879a-e50f2482eec2" w:history="1">
        <w:r w:rsidRPr="004B20C5">
          <w:rPr>
            <w:rStyle w:val="Hyperlink"/>
            <w:rFonts w:ascii="Verdana" w:eastAsia="Verdana" w:hAnsi="Verdana" w:cs="Verdana"/>
          </w:rPr>
          <w:t>Compass - Requests for Representative's Name, ID, Location, Or Call Reference Number (068256)</w:t>
        </w:r>
      </w:hyperlink>
    </w:p>
    <w:p w14:paraId="4ABCE286" w14:textId="614F4C2D" w:rsidR="006E0F6A" w:rsidRPr="006E0F6A" w:rsidRDefault="006E0F6A" w:rsidP="00AF5048">
      <w:pPr>
        <w:spacing w:before="120" w:after="120"/>
      </w:pPr>
      <w:r w:rsidRPr="00DE7A25">
        <w:rPr>
          <w:rFonts w:ascii="Verdana" w:hAnsi="Verdana"/>
          <w:b/>
        </w:rPr>
        <w:t>Parent Document:</w:t>
      </w:r>
      <w:r w:rsidRPr="00DE7A25">
        <w:rPr>
          <w:rFonts w:ascii="Verdana" w:hAnsi="Verdana"/>
        </w:rPr>
        <w:t xml:space="preserve"> </w:t>
      </w:r>
      <w:hyperlink r:id="rId15" w:history="1">
        <w:r w:rsidRPr="006E0F6A">
          <w:rPr>
            <w:rStyle w:val="Hyperlink"/>
            <w:rFonts w:ascii="Verdana" w:hAnsi="Verdana"/>
          </w:rPr>
          <w:t>HR-049558 CVS Health Colleague Handbook</w:t>
        </w:r>
      </w:hyperlink>
    </w:p>
    <w:p w14:paraId="2EB369E1" w14:textId="00B7EC20" w:rsidR="004B20C5" w:rsidRDefault="00A50B76" w:rsidP="00AF5048">
      <w:pPr>
        <w:spacing w:before="120" w:after="120"/>
        <w:jc w:val="right"/>
        <w:rPr>
          <w:rFonts w:ascii="Verdana" w:hAnsi="Verdana"/>
        </w:rPr>
      </w:pPr>
      <w:hyperlink w:anchor="_top" w:history="1">
        <w:r w:rsidR="004B20C5" w:rsidRPr="00A50B76">
          <w:rPr>
            <w:rStyle w:val="Hyperlink"/>
            <w:rFonts w:ascii="Verdana" w:hAnsi="Verdana"/>
          </w:rPr>
          <w:t>Top of the Document</w:t>
        </w:r>
        <w:bookmarkStart w:id="15" w:name="_Override_Reference_Table"/>
        <w:bookmarkEnd w:id="15"/>
      </w:hyperlink>
      <w:r w:rsidR="004B20C5" w:rsidRPr="00DE7A25">
        <w:rPr>
          <w:rFonts w:ascii="Verdana" w:hAnsi="Verdana"/>
        </w:rPr>
        <w:t xml:space="preserve"> </w:t>
      </w:r>
    </w:p>
    <w:p w14:paraId="0B816ACC" w14:textId="77777777" w:rsidR="000372A2" w:rsidRPr="00C247CB" w:rsidRDefault="000372A2" w:rsidP="00AF5048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EEABE4A" w14:textId="77777777" w:rsidR="000372A2" w:rsidRDefault="000372A2" w:rsidP="00AF5048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0372A2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2996B" w14:textId="77777777" w:rsidR="001C725A" w:rsidRDefault="001C725A">
      <w:r>
        <w:separator/>
      </w:r>
    </w:p>
  </w:endnote>
  <w:endnote w:type="continuationSeparator" w:id="0">
    <w:p w14:paraId="175D18BE" w14:textId="77777777" w:rsidR="001C725A" w:rsidRDefault="001C725A">
      <w:r>
        <w:continuationSeparator/>
      </w:r>
    </w:p>
  </w:endnote>
  <w:endnote w:type="continuationNotice" w:id="1">
    <w:p w14:paraId="100558D5" w14:textId="77777777" w:rsidR="001C725A" w:rsidRDefault="001C72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AB8E4" w14:textId="77777777" w:rsidR="001C725A" w:rsidRDefault="001C725A">
      <w:r>
        <w:separator/>
      </w:r>
    </w:p>
  </w:footnote>
  <w:footnote w:type="continuationSeparator" w:id="0">
    <w:p w14:paraId="611EEBC2" w14:textId="77777777" w:rsidR="001C725A" w:rsidRDefault="001C725A">
      <w:r>
        <w:continuationSeparator/>
      </w:r>
    </w:p>
  </w:footnote>
  <w:footnote w:type="continuationNotice" w:id="1">
    <w:p w14:paraId="1F854D0B" w14:textId="77777777" w:rsidR="001C725A" w:rsidRDefault="001C72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76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4282E54"/>
    <w:multiLevelType w:val="hybridMultilevel"/>
    <w:tmpl w:val="4EBE4F56"/>
    <w:lvl w:ilvl="0" w:tplc="E20A2186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B262A"/>
    <w:multiLevelType w:val="hybridMultilevel"/>
    <w:tmpl w:val="861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6A72"/>
    <w:multiLevelType w:val="hybridMultilevel"/>
    <w:tmpl w:val="67386126"/>
    <w:lvl w:ilvl="0" w:tplc="B83E956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4212"/>
    <w:multiLevelType w:val="hybridMultilevel"/>
    <w:tmpl w:val="E59ACDB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09B6"/>
    <w:multiLevelType w:val="hybridMultilevel"/>
    <w:tmpl w:val="99863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F1500E"/>
    <w:multiLevelType w:val="hybridMultilevel"/>
    <w:tmpl w:val="AF4A2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EC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BC7"/>
    <w:multiLevelType w:val="hybridMultilevel"/>
    <w:tmpl w:val="A738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144EC"/>
    <w:multiLevelType w:val="hybridMultilevel"/>
    <w:tmpl w:val="DC4E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33274"/>
    <w:multiLevelType w:val="multilevel"/>
    <w:tmpl w:val="6D2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3F7E09"/>
    <w:multiLevelType w:val="hybridMultilevel"/>
    <w:tmpl w:val="D9F2B5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B7ACB"/>
    <w:multiLevelType w:val="hybridMultilevel"/>
    <w:tmpl w:val="8AFC7242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C346DC6"/>
    <w:multiLevelType w:val="hybridMultilevel"/>
    <w:tmpl w:val="78828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EC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56FE7"/>
    <w:multiLevelType w:val="hybridMultilevel"/>
    <w:tmpl w:val="666E1C04"/>
    <w:lvl w:ilvl="0" w:tplc="45F089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183A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7E0C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02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AAC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00C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9C3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2A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E6B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467713D"/>
    <w:multiLevelType w:val="hybridMultilevel"/>
    <w:tmpl w:val="1FE62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F42CA"/>
    <w:multiLevelType w:val="hybridMultilevel"/>
    <w:tmpl w:val="2D64C73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98400771">
    <w:abstractNumId w:val="8"/>
  </w:num>
  <w:num w:numId="2" w16cid:durableId="1836993284">
    <w:abstractNumId w:val="3"/>
  </w:num>
  <w:num w:numId="3" w16cid:durableId="325208037">
    <w:abstractNumId w:val="14"/>
  </w:num>
  <w:num w:numId="4" w16cid:durableId="604729478">
    <w:abstractNumId w:val="12"/>
  </w:num>
  <w:num w:numId="5" w16cid:durableId="1363901035">
    <w:abstractNumId w:val="7"/>
  </w:num>
  <w:num w:numId="6" w16cid:durableId="2008288375">
    <w:abstractNumId w:val="5"/>
  </w:num>
  <w:num w:numId="7" w16cid:durableId="519780566">
    <w:abstractNumId w:val="13"/>
  </w:num>
  <w:num w:numId="8" w16cid:durableId="1522040522">
    <w:abstractNumId w:val="6"/>
  </w:num>
  <w:num w:numId="9" w16cid:durableId="668483151">
    <w:abstractNumId w:val="1"/>
  </w:num>
  <w:num w:numId="10" w16cid:durableId="2103183453">
    <w:abstractNumId w:val="0"/>
  </w:num>
  <w:num w:numId="11" w16cid:durableId="20398599">
    <w:abstractNumId w:val="10"/>
  </w:num>
  <w:num w:numId="12" w16cid:durableId="800221617">
    <w:abstractNumId w:val="9"/>
  </w:num>
  <w:num w:numId="13" w16cid:durableId="1825661402">
    <w:abstractNumId w:val="2"/>
  </w:num>
  <w:num w:numId="14" w16cid:durableId="2119715340">
    <w:abstractNumId w:val="15"/>
  </w:num>
  <w:num w:numId="15" w16cid:durableId="476462528">
    <w:abstractNumId w:val="4"/>
  </w:num>
  <w:num w:numId="16" w16cid:durableId="2125342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415D"/>
    <w:rsid w:val="00033574"/>
    <w:rsid w:val="00033AC0"/>
    <w:rsid w:val="00035D17"/>
    <w:rsid w:val="000372A2"/>
    <w:rsid w:val="000373F7"/>
    <w:rsid w:val="0004633E"/>
    <w:rsid w:val="0005084F"/>
    <w:rsid w:val="00063C64"/>
    <w:rsid w:val="00063F95"/>
    <w:rsid w:val="0006443D"/>
    <w:rsid w:val="0007004D"/>
    <w:rsid w:val="000715FE"/>
    <w:rsid w:val="00077CCE"/>
    <w:rsid w:val="00080915"/>
    <w:rsid w:val="000825E5"/>
    <w:rsid w:val="0008665F"/>
    <w:rsid w:val="000A0793"/>
    <w:rsid w:val="000A10B4"/>
    <w:rsid w:val="000A2B18"/>
    <w:rsid w:val="000A6B19"/>
    <w:rsid w:val="000B3C4C"/>
    <w:rsid w:val="000C2961"/>
    <w:rsid w:val="000C4946"/>
    <w:rsid w:val="000D28F1"/>
    <w:rsid w:val="000D5687"/>
    <w:rsid w:val="000D6714"/>
    <w:rsid w:val="000E0C7C"/>
    <w:rsid w:val="000E2186"/>
    <w:rsid w:val="000E3687"/>
    <w:rsid w:val="000F13F2"/>
    <w:rsid w:val="00104879"/>
    <w:rsid w:val="00114F3E"/>
    <w:rsid w:val="00117B72"/>
    <w:rsid w:val="00120713"/>
    <w:rsid w:val="00122F8F"/>
    <w:rsid w:val="00143395"/>
    <w:rsid w:val="00144044"/>
    <w:rsid w:val="001451AF"/>
    <w:rsid w:val="001523DA"/>
    <w:rsid w:val="00161510"/>
    <w:rsid w:val="0016273A"/>
    <w:rsid w:val="001631AD"/>
    <w:rsid w:val="0016736C"/>
    <w:rsid w:val="00177E7C"/>
    <w:rsid w:val="001815B3"/>
    <w:rsid w:val="00187082"/>
    <w:rsid w:val="0019353A"/>
    <w:rsid w:val="00197D50"/>
    <w:rsid w:val="001A3314"/>
    <w:rsid w:val="001A3941"/>
    <w:rsid w:val="001B0742"/>
    <w:rsid w:val="001B42C0"/>
    <w:rsid w:val="001B4CF7"/>
    <w:rsid w:val="001C61A5"/>
    <w:rsid w:val="001C725A"/>
    <w:rsid w:val="001D1A67"/>
    <w:rsid w:val="001E3010"/>
    <w:rsid w:val="001F4AEA"/>
    <w:rsid w:val="002016B4"/>
    <w:rsid w:val="002116E7"/>
    <w:rsid w:val="00215763"/>
    <w:rsid w:val="00241291"/>
    <w:rsid w:val="00243647"/>
    <w:rsid w:val="00244496"/>
    <w:rsid w:val="002445FD"/>
    <w:rsid w:val="0024463F"/>
    <w:rsid w:val="0024569F"/>
    <w:rsid w:val="002609A1"/>
    <w:rsid w:val="002618BC"/>
    <w:rsid w:val="002719D6"/>
    <w:rsid w:val="002909DE"/>
    <w:rsid w:val="00292A48"/>
    <w:rsid w:val="00295D8D"/>
    <w:rsid w:val="002979D4"/>
    <w:rsid w:val="002B1718"/>
    <w:rsid w:val="002B593E"/>
    <w:rsid w:val="002B6D09"/>
    <w:rsid w:val="002C67CD"/>
    <w:rsid w:val="002D61E8"/>
    <w:rsid w:val="002D6F46"/>
    <w:rsid w:val="002E4DFD"/>
    <w:rsid w:val="00300B55"/>
    <w:rsid w:val="00301C79"/>
    <w:rsid w:val="00303F88"/>
    <w:rsid w:val="00311330"/>
    <w:rsid w:val="00312177"/>
    <w:rsid w:val="0031528D"/>
    <w:rsid w:val="00316B7C"/>
    <w:rsid w:val="003178E1"/>
    <w:rsid w:val="003217DC"/>
    <w:rsid w:val="00325B31"/>
    <w:rsid w:val="003357CC"/>
    <w:rsid w:val="00343871"/>
    <w:rsid w:val="00352EB1"/>
    <w:rsid w:val="00362CFE"/>
    <w:rsid w:val="00365BD4"/>
    <w:rsid w:val="00376895"/>
    <w:rsid w:val="00384786"/>
    <w:rsid w:val="00390707"/>
    <w:rsid w:val="0039701F"/>
    <w:rsid w:val="003A01BF"/>
    <w:rsid w:val="003A5359"/>
    <w:rsid w:val="003B5D10"/>
    <w:rsid w:val="003C7E89"/>
    <w:rsid w:val="003E3D95"/>
    <w:rsid w:val="003E3F60"/>
    <w:rsid w:val="003F527C"/>
    <w:rsid w:val="00406DB5"/>
    <w:rsid w:val="00410DBE"/>
    <w:rsid w:val="00411FE5"/>
    <w:rsid w:val="00415D6F"/>
    <w:rsid w:val="004211F4"/>
    <w:rsid w:val="00436574"/>
    <w:rsid w:val="0043711C"/>
    <w:rsid w:val="00443C7F"/>
    <w:rsid w:val="00444564"/>
    <w:rsid w:val="004445EF"/>
    <w:rsid w:val="0044615E"/>
    <w:rsid w:val="00457EAE"/>
    <w:rsid w:val="00480A97"/>
    <w:rsid w:val="004852D0"/>
    <w:rsid w:val="00485A27"/>
    <w:rsid w:val="0049067F"/>
    <w:rsid w:val="00490FFA"/>
    <w:rsid w:val="004B12DC"/>
    <w:rsid w:val="004B20C5"/>
    <w:rsid w:val="004B7719"/>
    <w:rsid w:val="004E2A15"/>
    <w:rsid w:val="004F475D"/>
    <w:rsid w:val="00501BA4"/>
    <w:rsid w:val="0050552F"/>
    <w:rsid w:val="00524CDD"/>
    <w:rsid w:val="0054662A"/>
    <w:rsid w:val="0055640B"/>
    <w:rsid w:val="00563CC5"/>
    <w:rsid w:val="0056484F"/>
    <w:rsid w:val="00565D09"/>
    <w:rsid w:val="005721B9"/>
    <w:rsid w:val="00581089"/>
    <w:rsid w:val="00583E36"/>
    <w:rsid w:val="00585A4D"/>
    <w:rsid w:val="005910B5"/>
    <w:rsid w:val="00591873"/>
    <w:rsid w:val="00597CB8"/>
    <w:rsid w:val="005A5532"/>
    <w:rsid w:val="005A5EFC"/>
    <w:rsid w:val="005B3350"/>
    <w:rsid w:val="005B5A37"/>
    <w:rsid w:val="005C3C51"/>
    <w:rsid w:val="005F2E1A"/>
    <w:rsid w:val="005F3792"/>
    <w:rsid w:val="00601838"/>
    <w:rsid w:val="006045E5"/>
    <w:rsid w:val="0060533A"/>
    <w:rsid w:val="006073A6"/>
    <w:rsid w:val="00610244"/>
    <w:rsid w:val="00617469"/>
    <w:rsid w:val="00622D77"/>
    <w:rsid w:val="00636B18"/>
    <w:rsid w:val="006377EF"/>
    <w:rsid w:val="00637CA1"/>
    <w:rsid w:val="0064299C"/>
    <w:rsid w:val="00653E7E"/>
    <w:rsid w:val="00660332"/>
    <w:rsid w:val="00674FF3"/>
    <w:rsid w:val="00687109"/>
    <w:rsid w:val="0068735D"/>
    <w:rsid w:val="00690527"/>
    <w:rsid w:val="006A0481"/>
    <w:rsid w:val="006A1B47"/>
    <w:rsid w:val="006B710C"/>
    <w:rsid w:val="006D162D"/>
    <w:rsid w:val="006D5D89"/>
    <w:rsid w:val="006E0F6A"/>
    <w:rsid w:val="006E4E64"/>
    <w:rsid w:val="006E5A12"/>
    <w:rsid w:val="006F2CFB"/>
    <w:rsid w:val="006F581F"/>
    <w:rsid w:val="006F5C4D"/>
    <w:rsid w:val="00704AF2"/>
    <w:rsid w:val="00704C99"/>
    <w:rsid w:val="00710D88"/>
    <w:rsid w:val="007172A1"/>
    <w:rsid w:val="007232BD"/>
    <w:rsid w:val="0073294A"/>
    <w:rsid w:val="00733A2C"/>
    <w:rsid w:val="0074108C"/>
    <w:rsid w:val="00743160"/>
    <w:rsid w:val="00747BA7"/>
    <w:rsid w:val="00752801"/>
    <w:rsid w:val="00752AE3"/>
    <w:rsid w:val="00757D53"/>
    <w:rsid w:val="0077266B"/>
    <w:rsid w:val="00773526"/>
    <w:rsid w:val="007752F9"/>
    <w:rsid w:val="0077559D"/>
    <w:rsid w:val="007810D4"/>
    <w:rsid w:val="007836B5"/>
    <w:rsid w:val="00786BEB"/>
    <w:rsid w:val="00792EA0"/>
    <w:rsid w:val="00795707"/>
    <w:rsid w:val="00797157"/>
    <w:rsid w:val="007976FF"/>
    <w:rsid w:val="007B28FC"/>
    <w:rsid w:val="007C33C1"/>
    <w:rsid w:val="007E2C94"/>
    <w:rsid w:val="007E5EEF"/>
    <w:rsid w:val="007E6B36"/>
    <w:rsid w:val="007F24B8"/>
    <w:rsid w:val="00805948"/>
    <w:rsid w:val="00806B9D"/>
    <w:rsid w:val="008106D6"/>
    <w:rsid w:val="00810822"/>
    <w:rsid w:val="00816686"/>
    <w:rsid w:val="0082476A"/>
    <w:rsid w:val="008370A3"/>
    <w:rsid w:val="008436C2"/>
    <w:rsid w:val="008463C9"/>
    <w:rsid w:val="00862268"/>
    <w:rsid w:val="00866272"/>
    <w:rsid w:val="00866881"/>
    <w:rsid w:val="00867404"/>
    <w:rsid w:val="0087027B"/>
    <w:rsid w:val="008739E5"/>
    <w:rsid w:val="00874B6D"/>
    <w:rsid w:val="00877414"/>
    <w:rsid w:val="00884722"/>
    <w:rsid w:val="0088711F"/>
    <w:rsid w:val="008A47AC"/>
    <w:rsid w:val="008A5E8B"/>
    <w:rsid w:val="008C2197"/>
    <w:rsid w:val="008C33DB"/>
    <w:rsid w:val="008C3493"/>
    <w:rsid w:val="008C489F"/>
    <w:rsid w:val="008C5273"/>
    <w:rsid w:val="008C5504"/>
    <w:rsid w:val="008C7CC0"/>
    <w:rsid w:val="008D11A6"/>
    <w:rsid w:val="008D229C"/>
    <w:rsid w:val="008D2D64"/>
    <w:rsid w:val="008D46DE"/>
    <w:rsid w:val="008E5D28"/>
    <w:rsid w:val="008F23A2"/>
    <w:rsid w:val="00900A65"/>
    <w:rsid w:val="009022AC"/>
    <w:rsid w:val="00902E07"/>
    <w:rsid w:val="00904AA0"/>
    <w:rsid w:val="00905C71"/>
    <w:rsid w:val="009079D3"/>
    <w:rsid w:val="00910170"/>
    <w:rsid w:val="0091171A"/>
    <w:rsid w:val="009203E1"/>
    <w:rsid w:val="009227BB"/>
    <w:rsid w:val="00924AC5"/>
    <w:rsid w:val="00924DB4"/>
    <w:rsid w:val="00930A24"/>
    <w:rsid w:val="00933A6F"/>
    <w:rsid w:val="00934F41"/>
    <w:rsid w:val="009401FC"/>
    <w:rsid w:val="00946D04"/>
    <w:rsid w:val="00985D98"/>
    <w:rsid w:val="009A2226"/>
    <w:rsid w:val="009B60EB"/>
    <w:rsid w:val="009B7EAA"/>
    <w:rsid w:val="009C009A"/>
    <w:rsid w:val="009C3A6A"/>
    <w:rsid w:val="009C503C"/>
    <w:rsid w:val="009C6337"/>
    <w:rsid w:val="009D3816"/>
    <w:rsid w:val="009D5BC4"/>
    <w:rsid w:val="009D5E04"/>
    <w:rsid w:val="009E55A2"/>
    <w:rsid w:val="009F078D"/>
    <w:rsid w:val="009F7686"/>
    <w:rsid w:val="00A00BE7"/>
    <w:rsid w:val="00A06B9C"/>
    <w:rsid w:val="00A07F47"/>
    <w:rsid w:val="00A10069"/>
    <w:rsid w:val="00A141FD"/>
    <w:rsid w:val="00A31BD9"/>
    <w:rsid w:val="00A31D87"/>
    <w:rsid w:val="00A40253"/>
    <w:rsid w:val="00A40E31"/>
    <w:rsid w:val="00A50B76"/>
    <w:rsid w:val="00A7166B"/>
    <w:rsid w:val="00A82871"/>
    <w:rsid w:val="00A85045"/>
    <w:rsid w:val="00A929D6"/>
    <w:rsid w:val="00A947C3"/>
    <w:rsid w:val="00A97B7D"/>
    <w:rsid w:val="00AA0C4D"/>
    <w:rsid w:val="00AA322E"/>
    <w:rsid w:val="00AB33E1"/>
    <w:rsid w:val="00AB4BB3"/>
    <w:rsid w:val="00AC1631"/>
    <w:rsid w:val="00AC2A58"/>
    <w:rsid w:val="00AD1646"/>
    <w:rsid w:val="00AD1B93"/>
    <w:rsid w:val="00AD3523"/>
    <w:rsid w:val="00AD5C55"/>
    <w:rsid w:val="00AD7F74"/>
    <w:rsid w:val="00AE18C5"/>
    <w:rsid w:val="00AF057A"/>
    <w:rsid w:val="00AF5048"/>
    <w:rsid w:val="00AF5794"/>
    <w:rsid w:val="00AF73EC"/>
    <w:rsid w:val="00B15031"/>
    <w:rsid w:val="00B26045"/>
    <w:rsid w:val="00B31E93"/>
    <w:rsid w:val="00B352FC"/>
    <w:rsid w:val="00B3616B"/>
    <w:rsid w:val="00B46A95"/>
    <w:rsid w:val="00B548B1"/>
    <w:rsid w:val="00B54C9B"/>
    <w:rsid w:val="00B604E5"/>
    <w:rsid w:val="00B6381D"/>
    <w:rsid w:val="00B70D96"/>
    <w:rsid w:val="00B718E0"/>
    <w:rsid w:val="00B72B4F"/>
    <w:rsid w:val="00B77345"/>
    <w:rsid w:val="00B8207D"/>
    <w:rsid w:val="00B822C9"/>
    <w:rsid w:val="00BA27A0"/>
    <w:rsid w:val="00BA4525"/>
    <w:rsid w:val="00BA7CAF"/>
    <w:rsid w:val="00BB2D06"/>
    <w:rsid w:val="00BB371A"/>
    <w:rsid w:val="00BB5806"/>
    <w:rsid w:val="00BB724D"/>
    <w:rsid w:val="00BB79DC"/>
    <w:rsid w:val="00BD6799"/>
    <w:rsid w:val="00BE4806"/>
    <w:rsid w:val="00BE4C20"/>
    <w:rsid w:val="00BF4F2E"/>
    <w:rsid w:val="00BF6FE5"/>
    <w:rsid w:val="00BF74E9"/>
    <w:rsid w:val="00C12C1D"/>
    <w:rsid w:val="00C313B5"/>
    <w:rsid w:val="00C35E3B"/>
    <w:rsid w:val="00C369C7"/>
    <w:rsid w:val="00C373A2"/>
    <w:rsid w:val="00C45FE4"/>
    <w:rsid w:val="00C525BB"/>
    <w:rsid w:val="00C566B3"/>
    <w:rsid w:val="00C66095"/>
    <w:rsid w:val="00C67B32"/>
    <w:rsid w:val="00C70D40"/>
    <w:rsid w:val="00C87F5B"/>
    <w:rsid w:val="00CA0146"/>
    <w:rsid w:val="00CA55A1"/>
    <w:rsid w:val="00CB0C1D"/>
    <w:rsid w:val="00CB6D70"/>
    <w:rsid w:val="00CC37EB"/>
    <w:rsid w:val="00CC49A4"/>
    <w:rsid w:val="00CC7235"/>
    <w:rsid w:val="00CD0A15"/>
    <w:rsid w:val="00CE6219"/>
    <w:rsid w:val="00CE6BDA"/>
    <w:rsid w:val="00CF390C"/>
    <w:rsid w:val="00D024F0"/>
    <w:rsid w:val="00D049CC"/>
    <w:rsid w:val="00D060AA"/>
    <w:rsid w:val="00D15CBA"/>
    <w:rsid w:val="00D226FE"/>
    <w:rsid w:val="00D32F2C"/>
    <w:rsid w:val="00D36733"/>
    <w:rsid w:val="00D41E80"/>
    <w:rsid w:val="00D43A40"/>
    <w:rsid w:val="00D44332"/>
    <w:rsid w:val="00D471B5"/>
    <w:rsid w:val="00D47A1D"/>
    <w:rsid w:val="00D50090"/>
    <w:rsid w:val="00D52930"/>
    <w:rsid w:val="00D571DB"/>
    <w:rsid w:val="00D6695B"/>
    <w:rsid w:val="00D66E9C"/>
    <w:rsid w:val="00D85254"/>
    <w:rsid w:val="00D8611E"/>
    <w:rsid w:val="00D875C9"/>
    <w:rsid w:val="00D914D5"/>
    <w:rsid w:val="00D975B0"/>
    <w:rsid w:val="00DA3306"/>
    <w:rsid w:val="00DA6847"/>
    <w:rsid w:val="00DA7460"/>
    <w:rsid w:val="00DB36F6"/>
    <w:rsid w:val="00DB57E4"/>
    <w:rsid w:val="00DD3676"/>
    <w:rsid w:val="00DD5EF8"/>
    <w:rsid w:val="00DE05E3"/>
    <w:rsid w:val="00DE2960"/>
    <w:rsid w:val="00DE2FAD"/>
    <w:rsid w:val="00DE3DC2"/>
    <w:rsid w:val="00DE46A8"/>
    <w:rsid w:val="00DF2E48"/>
    <w:rsid w:val="00DF39B0"/>
    <w:rsid w:val="00E0499B"/>
    <w:rsid w:val="00E06563"/>
    <w:rsid w:val="00E10953"/>
    <w:rsid w:val="00E1543D"/>
    <w:rsid w:val="00E2476A"/>
    <w:rsid w:val="00E3095D"/>
    <w:rsid w:val="00E34DFF"/>
    <w:rsid w:val="00E44BFA"/>
    <w:rsid w:val="00E57588"/>
    <w:rsid w:val="00E58F95"/>
    <w:rsid w:val="00E6013D"/>
    <w:rsid w:val="00E7154A"/>
    <w:rsid w:val="00E84341"/>
    <w:rsid w:val="00EA1F9E"/>
    <w:rsid w:val="00EB52F0"/>
    <w:rsid w:val="00EB57EB"/>
    <w:rsid w:val="00EC5177"/>
    <w:rsid w:val="00EE6DEA"/>
    <w:rsid w:val="00EF1FA7"/>
    <w:rsid w:val="00EF3CF7"/>
    <w:rsid w:val="00EF4A50"/>
    <w:rsid w:val="00EF5FA0"/>
    <w:rsid w:val="00EF7AEC"/>
    <w:rsid w:val="00F00459"/>
    <w:rsid w:val="00F145A0"/>
    <w:rsid w:val="00F156EE"/>
    <w:rsid w:val="00F17073"/>
    <w:rsid w:val="00F26757"/>
    <w:rsid w:val="00F3035E"/>
    <w:rsid w:val="00F320AF"/>
    <w:rsid w:val="00F324C9"/>
    <w:rsid w:val="00F34890"/>
    <w:rsid w:val="00F353FB"/>
    <w:rsid w:val="00F443A3"/>
    <w:rsid w:val="00F51150"/>
    <w:rsid w:val="00F62F89"/>
    <w:rsid w:val="00F67BD0"/>
    <w:rsid w:val="00F70E55"/>
    <w:rsid w:val="00F71FAE"/>
    <w:rsid w:val="00F778B1"/>
    <w:rsid w:val="00F82D33"/>
    <w:rsid w:val="00F837DA"/>
    <w:rsid w:val="00F84D13"/>
    <w:rsid w:val="00F859B7"/>
    <w:rsid w:val="00F86918"/>
    <w:rsid w:val="00FA2AFB"/>
    <w:rsid w:val="00FB07ED"/>
    <w:rsid w:val="00FC1C44"/>
    <w:rsid w:val="00FC49D1"/>
    <w:rsid w:val="00FC73A3"/>
    <w:rsid w:val="00FD3FC1"/>
    <w:rsid w:val="00FF3B69"/>
    <w:rsid w:val="00FF4D23"/>
    <w:rsid w:val="0630C277"/>
    <w:rsid w:val="1B9CCCC8"/>
    <w:rsid w:val="1BC16571"/>
    <w:rsid w:val="2C425C3C"/>
    <w:rsid w:val="30EE8BF5"/>
    <w:rsid w:val="56D18E04"/>
    <w:rsid w:val="69A63D48"/>
    <w:rsid w:val="6F2768B4"/>
    <w:rsid w:val="7079E490"/>
    <w:rsid w:val="790872C0"/>
    <w:rsid w:val="7FC3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61B1A81"/>
  <w15:chartTrackingRefBased/>
  <w15:docId w15:val="{9010C642-01A6-43A1-9F64-1E55B069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77559D"/>
    <w:pPr>
      <w:spacing w:before="100" w:beforeAutospacing="1" w:after="100" w:afterAutospacing="1"/>
    </w:pPr>
  </w:style>
  <w:style w:type="paragraph" w:styleId="PlainText">
    <w:name w:val="Plain Text"/>
    <w:basedOn w:val="Normal"/>
    <w:rsid w:val="00316B7C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rsid w:val="000E218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04633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DA3306"/>
    <w:pPr>
      <w:tabs>
        <w:tab w:val="right" w:leader="dot" w:pos="12950"/>
      </w:tabs>
    </w:pPr>
  </w:style>
  <w:style w:type="paragraph" w:styleId="BodyTextIndent2">
    <w:name w:val="Body Text Indent 2"/>
    <w:basedOn w:val="Normal"/>
    <w:link w:val="BodyTextIndent2Char"/>
    <w:rsid w:val="004B12DC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4B12DC"/>
    <w:rPr>
      <w:sz w:val="24"/>
      <w:szCs w:val="24"/>
    </w:rPr>
  </w:style>
  <w:style w:type="character" w:customStyle="1" w:styleId="Heading2Char">
    <w:name w:val="Heading 2 Char"/>
    <w:link w:val="Heading2"/>
    <w:rsid w:val="000372A2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rsid w:val="000715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15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715FE"/>
  </w:style>
  <w:style w:type="paragraph" w:styleId="CommentSubject">
    <w:name w:val="annotation subject"/>
    <w:basedOn w:val="CommentText"/>
    <w:next w:val="CommentText"/>
    <w:link w:val="CommentSubjectChar"/>
    <w:rsid w:val="000715FE"/>
    <w:rPr>
      <w:b/>
      <w:bCs/>
    </w:rPr>
  </w:style>
  <w:style w:type="character" w:customStyle="1" w:styleId="CommentSubjectChar">
    <w:name w:val="Comment Subject Char"/>
    <w:link w:val="CommentSubject"/>
    <w:rsid w:val="000715FE"/>
    <w:rPr>
      <w:b/>
      <w:bCs/>
    </w:rPr>
  </w:style>
  <w:style w:type="paragraph" w:styleId="Revision">
    <w:name w:val="Revision"/>
    <w:hidden/>
    <w:uiPriority w:val="99"/>
    <w:semiHidden/>
    <w:rsid w:val="000715F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A3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HR-0495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HR-049558" TargetMode="External"/><Relationship Id="rId10" Type="http://schemas.openxmlformats.org/officeDocument/2006/relationships/hyperlink" Target="https://colleaguezone.cvs.com/$viewer.do?sysparm_stack=no&amp;sysparm_sys_id=5fcefa702bc8aa9058bbf138ce91bf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1809-0C98-4D1F-831E-8C9AC392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1035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7457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7471216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https://policy.corp.cvscaremark.com/pnp/faces/DocRenderer?documentId=HR-049558</vt:lpwstr>
      </vt:variant>
      <vt:variant>
        <vt:lpwstr/>
      </vt:variant>
      <vt:variant>
        <vt:i4>1900573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!/view?docid=65e9d0fd-2937-4aad-879a-e50f2482eec2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1900573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!/view?docid=65e9d0fd-2937-4aad-879a-e50f2482eec2</vt:lpwstr>
      </vt:variant>
      <vt:variant>
        <vt:i4>7471216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https://policy.corp.cvscaremark.com/pnp/faces/DocRenderer?documentId=HR-049558</vt:lpwstr>
      </vt:variant>
      <vt:variant>
        <vt:lpwstr/>
      </vt:variant>
      <vt:variant>
        <vt:i4>1572910</vt:i4>
      </vt:variant>
      <vt:variant>
        <vt:i4>15</vt:i4>
      </vt:variant>
      <vt:variant>
        <vt:i4>0</vt:i4>
      </vt:variant>
      <vt:variant>
        <vt:i4>5</vt:i4>
      </vt:variant>
      <vt:variant>
        <vt:lpwstr>https://colleaguezone.cvs.com/$viewer.do?sysparm_stack=no&amp;sysparm_sys_id=5fcefa702bc8aa9058bbf138ce91bfdd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_Toc196809295</vt:lpwstr>
      </vt:variant>
      <vt:variant>
        <vt:i4>1441845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_Toc196809294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_Toc196809293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2</cp:revision>
  <dcterms:created xsi:type="dcterms:W3CDTF">2025-08-20T14:28:00Z</dcterms:created>
  <dcterms:modified xsi:type="dcterms:W3CDTF">2025-08-20T14:28:00Z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2021-11-23T15:44:16Z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4483149c-1ea4-4dbe-b97e-c881ea8cf1b4</vt:lpwstr>
  </property>
  <property fmtid="{D5CDD505-2E9C-101B-9397-08002B2CF9AE}" pid="8" name="MSIP_Label_67599526-06ca-49cc-9fa9-5307800a949a_ContentBits">
    <vt:lpwstr>0</vt:lpwstr>
  </property>
</Properties>
</file>