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111F" w14:textId="77777777" w:rsidR="00255C6B" w:rsidRPr="00812777" w:rsidRDefault="00505DD3" w:rsidP="00255C6B">
      <w:pPr>
        <w:pStyle w:val="Heading1"/>
        <w:rPr>
          <w:rFonts w:ascii="Verdana" w:hAnsi="Verdana"/>
          <w:color w:val="000000"/>
          <w:sz w:val="36"/>
          <w:szCs w:val="36"/>
        </w:rPr>
      </w:pPr>
      <w:bookmarkStart w:id="0" w:name="_top"/>
      <w:bookmarkEnd w:id="0"/>
      <w:r>
        <w:rPr>
          <w:rFonts w:ascii="Verdana" w:hAnsi="Verdana"/>
          <w:color w:val="000000"/>
          <w:sz w:val="36"/>
          <w:szCs w:val="36"/>
        </w:rPr>
        <w:t>CCR Knows the Caller Personally</w:t>
      </w:r>
    </w:p>
    <w:p w14:paraId="6356DC4C" w14:textId="474C69D8" w:rsidR="002D52EC" w:rsidRDefault="00135948">
      <w:pPr>
        <w:pStyle w:val="TOC2"/>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61654200" w:history="1">
        <w:r w:rsidR="002D52EC" w:rsidRPr="00165287">
          <w:rPr>
            <w:rStyle w:val="Hyperlink"/>
            <w:rFonts w:ascii="Verdana" w:hAnsi="Verdana"/>
            <w:noProof/>
          </w:rPr>
          <w:t>Process</w:t>
        </w:r>
      </w:hyperlink>
    </w:p>
    <w:p w14:paraId="164E434D" w14:textId="6DD2006D" w:rsidR="002D52EC" w:rsidRDefault="008061AB">
      <w:pPr>
        <w:pStyle w:val="TOC2"/>
        <w:rPr>
          <w:rFonts w:asciiTheme="minorHAnsi" w:eastAsiaTheme="minorEastAsia" w:hAnsiTheme="minorHAnsi" w:cstheme="minorBidi"/>
          <w:noProof/>
          <w:sz w:val="22"/>
          <w:szCs w:val="22"/>
        </w:rPr>
      </w:pPr>
      <w:hyperlink w:anchor="_Toc161654201" w:history="1">
        <w:r w:rsidR="002D52EC" w:rsidRPr="00165287">
          <w:rPr>
            <w:rStyle w:val="Hyperlink"/>
            <w:rFonts w:ascii="Verdana" w:hAnsi="Verdana"/>
            <w:noProof/>
          </w:rPr>
          <w:t>Related Documents</w:t>
        </w:r>
      </w:hyperlink>
    </w:p>
    <w:p w14:paraId="798FED02" w14:textId="5378A5D5" w:rsidR="00346C84" w:rsidRPr="0098160B" w:rsidRDefault="00135948" w:rsidP="005A6118">
      <w:pPr>
        <w:rPr>
          <w:rFonts w:ascii="Verdana" w:hAnsi="Verdana"/>
        </w:rPr>
      </w:pPr>
      <w:r>
        <w:rPr>
          <w:rFonts w:ascii="Verdana" w:hAnsi="Verdana"/>
        </w:rPr>
        <w:fldChar w:fldCharType="end"/>
      </w:r>
      <w:r w:rsidR="00A327B6">
        <w:rPr>
          <w:rFonts w:ascii="Verdana" w:hAnsi="Verdana"/>
          <w:b/>
        </w:rPr>
        <w:t xml:space="preserve"> </w:t>
      </w:r>
    </w:p>
    <w:p w14:paraId="0A595CDD" w14:textId="7FB88F7C" w:rsidR="00BF0AF0" w:rsidRDefault="00C02F24" w:rsidP="004370BE">
      <w:pPr>
        <w:pStyle w:val="BodyTextIndent2"/>
        <w:spacing w:before="120" w:line="240" w:lineRule="auto"/>
        <w:ind w:left="0"/>
        <w:rPr>
          <w:rFonts w:ascii="Verdana" w:hAnsi="Verdana"/>
        </w:rPr>
      </w:pPr>
      <w:bookmarkStart w:id="1" w:name="_Overview"/>
      <w:bookmarkEnd w:id="1"/>
      <w:r w:rsidRPr="007B108C">
        <w:rPr>
          <w:rFonts w:ascii="Verdana" w:hAnsi="Verdana"/>
          <w:b/>
          <w:bCs/>
        </w:rPr>
        <w:t>Description:</w:t>
      </w:r>
      <w:r>
        <w:rPr>
          <w:rFonts w:ascii="Verdana" w:hAnsi="Verdana"/>
        </w:rPr>
        <w:t xml:space="preserve">  </w:t>
      </w:r>
      <w:r w:rsidR="00D16B36">
        <w:rPr>
          <w:rFonts w:ascii="Verdana" w:hAnsi="Verdana"/>
        </w:rPr>
        <w:t>I</w:t>
      </w:r>
      <w:r w:rsidR="004370BE">
        <w:rPr>
          <w:rFonts w:ascii="Verdana" w:hAnsi="Verdana"/>
        </w:rPr>
        <w:t xml:space="preserve">nstructions on how to handle a call where you personally know the caller.   </w:t>
      </w:r>
      <w:bookmarkStart w:id="2" w:name="_Rationale"/>
      <w:bookmarkStart w:id="3" w:name="_Definitions"/>
      <w:bookmarkStart w:id="4" w:name="_Definitions/Abbreviations"/>
      <w:bookmarkStart w:id="5" w:name="_Abbreviations_/_Definitions"/>
      <w:bookmarkEnd w:id="2"/>
      <w:bookmarkEnd w:id="3"/>
      <w:bookmarkEnd w:id="4"/>
      <w:bookmarkEnd w:id="5"/>
    </w:p>
    <w:p w14:paraId="214C3A3E" w14:textId="47FA194F" w:rsidR="005A64DA" w:rsidRDefault="005A64DA" w:rsidP="004370BE">
      <w:pPr>
        <w:spacing w:before="120"/>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A64DA" w:rsidRPr="00757127" w14:paraId="68D9911E" w14:textId="77777777" w:rsidTr="002D52EC">
        <w:tc>
          <w:tcPr>
            <w:tcW w:w="5000" w:type="pct"/>
            <w:shd w:val="clear" w:color="auto" w:fill="BFBFBF" w:themeFill="background1" w:themeFillShade="BF"/>
          </w:tcPr>
          <w:p w14:paraId="04631998" w14:textId="60A9B98C" w:rsidR="005A64DA" w:rsidRPr="00757127" w:rsidRDefault="004370BE" w:rsidP="004370BE">
            <w:pPr>
              <w:pStyle w:val="Heading2"/>
              <w:spacing w:before="120" w:after="120"/>
              <w:rPr>
                <w:rFonts w:ascii="Verdana" w:hAnsi="Verdana"/>
                <w:i w:val="0"/>
                <w:iCs w:val="0"/>
              </w:rPr>
            </w:pPr>
            <w:bookmarkStart w:id="6" w:name="_Process_for_Handling"/>
            <w:bookmarkStart w:id="7" w:name="_Process"/>
            <w:bookmarkEnd w:id="6"/>
            <w:bookmarkEnd w:id="7"/>
            <w:r>
              <w:rPr>
                <w:rFonts w:ascii="Verdana" w:hAnsi="Verdana"/>
                <w:i w:val="0"/>
                <w:iCs w:val="0"/>
              </w:rPr>
              <w:t xml:space="preserve"> </w:t>
            </w:r>
            <w:bookmarkStart w:id="8" w:name="_Toc161654200"/>
            <w:r w:rsidR="00505DD3" w:rsidRPr="00757127">
              <w:rPr>
                <w:rFonts w:ascii="Verdana" w:hAnsi="Verdana"/>
                <w:i w:val="0"/>
                <w:iCs w:val="0"/>
              </w:rPr>
              <w:t>Process</w:t>
            </w:r>
            <w:bookmarkEnd w:id="8"/>
            <w:r w:rsidR="001A118B">
              <w:rPr>
                <w:rFonts w:ascii="Verdana" w:hAnsi="Verdana"/>
                <w:i w:val="0"/>
                <w:iCs w:val="0"/>
              </w:rPr>
              <w:t xml:space="preserve"> </w:t>
            </w:r>
            <w:r>
              <w:rPr>
                <w:rFonts w:ascii="Verdana" w:hAnsi="Verdana"/>
                <w:i w:val="0"/>
                <w:iCs w:val="0"/>
              </w:rPr>
              <w:t xml:space="preserve"> </w:t>
            </w:r>
          </w:p>
        </w:tc>
      </w:tr>
    </w:tbl>
    <w:p w14:paraId="745E1FA2" w14:textId="157B5CBC" w:rsidR="004370BE" w:rsidRDefault="004370BE" w:rsidP="004370BE">
      <w:pPr>
        <w:pStyle w:val="BodyTextIndent2"/>
        <w:spacing w:before="120" w:line="240" w:lineRule="auto"/>
        <w:ind w:left="0"/>
        <w:rPr>
          <w:rFonts w:ascii="Verdana" w:hAnsi="Verdana"/>
        </w:rPr>
      </w:pPr>
      <w:r>
        <w:rPr>
          <w:rFonts w:ascii="Verdana" w:hAnsi="Verdana"/>
        </w:rPr>
        <w:t xml:space="preserve">HIPAA guidelines do not prevent a CCR from handling this type of call, because CCRs are expected to keep all PHI and PII strictly confidential, regardless of whether they know the caller.  However, if the CCR does not feel comfortable handling the call, or if the caller recognizes the CCR and is hesitant to continue, the CCR may offer to warm transfer the call </w:t>
      </w:r>
      <w:r w:rsidRPr="004370BE">
        <w:rPr>
          <w:rFonts w:ascii="Verdana" w:hAnsi="Verdana"/>
          <w:color w:val="000000" w:themeColor="text1"/>
        </w:rPr>
        <w:t>elsewhere for assistance</w:t>
      </w:r>
      <w:r>
        <w:rPr>
          <w:rFonts w:ascii="Verdana" w:hAnsi="Verdana"/>
          <w:color w:val="000000" w:themeColor="text1"/>
        </w:rPr>
        <w:t>.</w:t>
      </w:r>
    </w:p>
    <w:p w14:paraId="26C4A58E" w14:textId="18C944FC" w:rsidR="00505DD3" w:rsidRPr="00176400" w:rsidRDefault="00176400" w:rsidP="004370BE">
      <w:pPr>
        <w:spacing w:before="120" w:after="120"/>
        <w:rPr>
          <w:rFonts w:ascii="Verdana" w:hAnsi="Verdana"/>
        </w:rPr>
      </w:pPr>
      <w:r>
        <w:rPr>
          <w:rFonts w:ascii="Verdana" w:hAnsi="Verdana"/>
        </w:rPr>
        <w:t>Perform the steps below</w:t>
      </w:r>
      <w:r w:rsidR="004370BE">
        <w:rPr>
          <w:rFonts w:ascii="Verdana" w:hAnsi="Verdana"/>
        </w:rPr>
        <w:t>:</w:t>
      </w:r>
      <w:r w:rsidR="00BF0AF0">
        <w:rPr>
          <w:rFonts w:ascii="Verdana" w:hAnsi="Verdana"/>
        </w:rPr>
        <w:t xml:space="preserve"> </w:t>
      </w:r>
      <w:r w:rsidR="004370BE">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3271"/>
        <w:gridCol w:w="8159"/>
      </w:tblGrid>
      <w:tr w:rsidR="005A64DA" w:rsidRPr="00757127" w14:paraId="70DFAC03" w14:textId="77777777" w:rsidTr="008061AB">
        <w:tc>
          <w:tcPr>
            <w:tcW w:w="587" w:type="pct"/>
            <w:shd w:val="clear" w:color="auto" w:fill="D9D9D9" w:themeFill="background1" w:themeFillShade="D9"/>
          </w:tcPr>
          <w:p w14:paraId="61100DED" w14:textId="77777777" w:rsidR="005A64DA" w:rsidRPr="00757127" w:rsidRDefault="005A64DA" w:rsidP="004370BE">
            <w:pPr>
              <w:spacing w:before="120" w:after="120"/>
              <w:jc w:val="center"/>
              <w:rPr>
                <w:rFonts w:ascii="Verdana" w:hAnsi="Verdana"/>
                <w:b/>
              </w:rPr>
            </w:pPr>
            <w:r w:rsidRPr="00757127">
              <w:rPr>
                <w:rFonts w:ascii="Verdana" w:hAnsi="Verdana"/>
                <w:b/>
              </w:rPr>
              <w:t>Step</w:t>
            </w:r>
          </w:p>
        </w:tc>
        <w:tc>
          <w:tcPr>
            <w:tcW w:w="4413" w:type="pct"/>
            <w:gridSpan w:val="2"/>
            <w:shd w:val="clear" w:color="auto" w:fill="D9D9D9" w:themeFill="background1" w:themeFillShade="D9"/>
          </w:tcPr>
          <w:p w14:paraId="3FF33908" w14:textId="77777777" w:rsidR="005A64DA" w:rsidRPr="00757127" w:rsidRDefault="005A64DA" w:rsidP="004370BE">
            <w:pPr>
              <w:spacing w:before="120" w:after="120"/>
              <w:jc w:val="center"/>
              <w:rPr>
                <w:rFonts w:ascii="Verdana" w:hAnsi="Verdana"/>
                <w:b/>
              </w:rPr>
            </w:pPr>
            <w:r w:rsidRPr="00757127">
              <w:rPr>
                <w:rFonts w:ascii="Verdana" w:hAnsi="Verdana"/>
                <w:b/>
              </w:rPr>
              <w:t xml:space="preserve">Action </w:t>
            </w:r>
          </w:p>
        </w:tc>
      </w:tr>
      <w:tr w:rsidR="00E126E5" w:rsidRPr="00757127" w14:paraId="6DD1771A" w14:textId="77777777" w:rsidTr="008061AB">
        <w:tc>
          <w:tcPr>
            <w:tcW w:w="587" w:type="pct"/>
            <w:vMerge w:val="restart"/>
          </w:tcPr>
          <w:p w14:paraId="2A61F93E" w14:textId="77777777" w:rsidR="00E126E5" w:rsidRDefault="00673EE0" w:rsidP="004370BE">
            <w:pPr>
              <w:spacing w:before="120" w:after="120"/>
              <w:jc w:val="center"/>
              <w:rPr>
                <w:rFonts w:ascii="Verdana" w:hAnsi="Verdana"/>
                <w:b/>
              </w:rPr>
            </w:pPr>
            <w:r>
              <w:rPr>
                <w:rFonts w:ascii="Verdana" w:hAnsi="Verdana"/>
                <w:b/>
              </w:rPr>
              <w:t>1</w:t>
            </w:r>
          </w:p>
          <w:p w14:paraId="4FD6F390" w14:textId="235BECFF" w:rsidR="004370BE" w:rsidRPr="00757127" w:rsidRDefault="004370BE" w:rsidP="004370BE">
            <w:pPr>
              <w:spacing w:before="120" w:after="120"/>
              <w:jc w:val="center"/>
              <w:rPr>
                <w:rFonts w:ascii="Verdana" w:hAnsi="Verdana"/>
                <w:b/>
              </w:rPr>
            </w:pPr>
          </w:p>
        </w:tc>
        <w:tc>
          <w:tcPr>
            <w:tcW w:w="4413" w:type="pct"/>
            <w:gridSpan w:val="2"/>
            <w:tcBorders>
              <w:bottom w:val="single" w:sz="4" w:space="0" w:color="auto"/>
            </w:tcBorders>
          </w:tcPr>
          <w:p w14:paraId="41E36187" w14:textId="7DCED74C" w:rsidR="00366AA2" w:rsidRPr="00757127" w:rsidRDefault="006F7B5D" w:rsidP="004370BE">
            <w:pPr>
              <w:spacing w:before="120" w:after="120"/>
              <w:rPr>
                <w:rFonts w:ascii="Verdana" w:hAnsi="Verdana"/>
              </w:rPr>
            </w:pPr>
            <w:r>
              <w:rPr>
                <w:rFonts w:ascii="Verdana" w:hAnsi="Verdana"/>
                <w:noProof/>
              </w:rPr>
              <w:drawing>
                <wp:inline distT="0" distB="0" distL="0" distR="0" wp14:anchorId="760D6866" wp14:editId="7B6B0B8F">
                  <wp:extent cx="238760" cy="207010"/>
                  <wp:effectExtent l="0" t="0" r="8890" b="2540"/>
                  <wp:docPr id="2" name="Picture 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Conver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00DC70DF">
              <w:rPr>
                <w:rFonts w:ascii="Verdana" w:hAnsi="Verdana"/>
              </w:rPr>
              <w:t xml:space="preserve"> </w:t>
            </w:r>
            <w:r w:rsidR="00D91319">
              <w:rPr>
                <w:rFonts w:ascii="Verdana" w:hAnsi="Verdana"/>
              </w:rPr>
              <w:t>S</w:t>
            </w:r>
            <w:r w:rsidR="00E126E5" w:rsidRPr="00757127">
              <w:rPr>
                <w:rFonts w:ascii="Verdana" w:hAnsi="Verdana"/>
              </w:rPr>
              <w:t>ince we know each other, do you feel comfortable discussing your information with me?</w:t>
            </w:r>
          </w:p>
          <w:p w14:paraId="59C4CBF6" w14:textId="64364784" w:rsidR="00E126E5" w:rsidRPr="00757127" w:rsidRDefault="00DC70DF" w:rsidP="004370BE">
            <w:pPr>
              <w:spacing w:before="120" w:after="120"/>
              <w:rPr>
                <w:rFonts w:ascii="Verdana" w:hAnsi="Verdana"/>
              </w:rPr>
            </w:pPr>
            <w:r>
              <w:rPr>
                <w:rFonts w:ascii="Verdana" w:hAnsi="Verdana"/>
              </w:rPr>
              <w:t xml:space="preserve">Refer to </w:t>
            </w:r>
            <w:hyperlink r:id="rId9" w:anchor="!/view?docid=bcb8da72-5501-4631-b9fd-fe675bc4a1fd" w:history="1">
              <w:r w:rsidR="008061AB">
                <w:rPr>
                  <w:rStyle w:val="Hyperlink"/>
                  <w:rFonts w:ascii="Verdana" w:hAnsi="Verdana"/>
                </w:rPr>
                <w:t>Universal Care – Caller Authentication (004568)</w:t>
              </w:r>
            </w:hyperlink>
            <w:r w:rsidR="008061AB">
              <w:rPr>
                <w:rFonts w:ascii="Verdana" w:hAnsi="Verdana"/>
              </w:rPr>
              <w:t xml:space="preserve"> and</w:t>
            </w:r>
            <w:r w:rsidR="008061AB">
              <w:rPr>
                <w:rFonts w:ascii="Verdana" w:hAnsi="Verdana"/>
              </w:rPr>
              <w:t xml:space="preserve"> </w:t>
            </w:r>
            <w:hyperlink r:id="rId10" w:anchor="!/view?docid=c954b131-7884-494c-b4bb-dfc12fdc846f" w:history="1">
              <w:r w:rsidR="008061AB">
                <w:rPr>
                  <w:rStyle w:val="Hyperlink"/>
                  <w:rFonts w:ascii="Verdana" w:hAnsi="Verdana"/>
                  <w:shd w:val="clear" w:color="auto" w:fill="FFFFFF"/>
                </w:rPr>
                <w:t>Universal Care – Consultative Call Flow (</w:t>
              </w:r>
              <w:proofErr w:type="spellStart"/>
              <w:r w:rsidR="008061AB">
                <w:rPr>
                  <w:rStyle w:val="Hyperlink"/>
                  <w:rFonts w:ascii="Verdana" w:hAnsi="Verdana"/>
                  <w:shd w:val="clear" w:color="auto" w:fill="FFFFFF"/>
                </w:rPr>
                <w:t>CCF</w:t>
              </w:r>
              <w:proofErr w:type="spellEnd"/>
              <w:r w:rsidR="008061AB">
                <w:rPr>
                  <w:rStyle w:val="Hyperlink"/>
                  <w:rFonts w:ascii="Verdana" w:hAnsi="Verdana"/>
                  <w:shd w:val="clear" w:color="auto" w:fill="FFFFFF"/>
                </w:rPr>
                <w:t>) Process (095822)</w:t>
              </w:r>
            </w:hyperlink>
            <w:r>
              <w:rPr>
                <w:rFonts w:ascii="Verdana" w:hAnsi="Verdana" w:cs="Verdana"/>
              </w:rPr>
              <w:t>.</w:t>
            </w:r>
          </w:p>
        </w:tc>
      </w:tr>
      <w:tr w:rsidR="00E126E5" w:rsidRPr="00757127" w14:paraId="141C0F2E" w14:textId="77777777" w:rsidTr="008061AB">
        <w:trPr>
          <w:trHeight w:val="90"/>
        </w:trPr>
        <w:tc>
          <w:tcPr>
            <w:tcW w:w="587" w:type="pct"/>
            <w:vMerge/>
          </w:tcPr>
          <w:p w14:paraId="17D31F60" w14:textId="77777777" w:rsidR="00E126E5" w:rsidRPr="00757127" w:rsidRDefault="00E126E5" w:rsidP="004370BE">
            <w:pPr>
              <w:spacing w:before="120" w:after="120"/>
              <w:jc w:val="center"/>
              <w:rPr>
                <w:rFonts w:ascii="Verdana" w:hAnsi="Verdana"/>
                <w:b/>
              </w:rPr>
            </w:pPr>
            <w:bookmarkStart w:id="9" w:name="_Hlk55499938"/>
          </w:p>
        </w:tc>
        <w:tc>
          <w:tcPr>
            <w:tcW w:w="1263" w:type="pct"/>
            <w:shd w:val="clear" w:color="auto" w:fill="D9D9D9" w:themeFill="background1" w:themeFillShade="D9"/>
          </w:tcPr>
          <w:p w14:paraId="19677454" w14:textId="77777777" w:rsidR="00E126E5" w:rsidRPr="00757127" w:rsidRDefault="00E126E5" w:rsidP="004370BE">
            <w:pPr>
              <w:spacing w:before="120" w:after="120"/>
              <w:jc w:val="center"/>
              <w:rPr>
                <w:rFonts w:ascii="Verdana" w:hAnsi="Verdana"/>
                <w:b/>
              </w:rPr>
            </w:pPr>
            <w:r w:rsidRPr="00757127">
              <w:rPr>
                <w:rFonts w:ascii="Verdana" w:hAnsi="Verdana"/>
                <w:b/>
              </w:rPr>
              <w:t>If</w:t>
            </w:r>
            <w:r w:rsidR="00A327B6">
              <w:rPr>
                <w:rFonts w:ascii="Verdana" w:hAnsi="Verdana"/>
                <w:b/>
              </w:rPr>
              <w:t xml:space="preserve"> the member</w:t>
            </w:r>
            <w:r w:rsidRPr="00757127">
              <w:rPr>
                <w:rFonts w:ascii="Verdana" w:hAnsi="Verdana"/>
                <w:b/>
              </w:rPr>
              <w:t>…</w:t>
            </w:r>
          </w:p>
        </w:tc>
        <w:tc>
          <w:tcPr>
            <w:tcW w:w="3150" w:type="pct"/>
            <w:shd w:val="clear" w:color="auto" w:fill="D9D9D9" w:themeFill="background1" w:themeFillShade="D9"/>
          </w:tcPr>
          <w:p w14:paraId="30E674D0" w14:textId="77777777" w:rsidR="00E126E5" w:rsidRPr="00757127" w:rsidRDefault="00E126E5" w:rsidP="004370BE">
            <w:pPr>
              <w:spacing w:before="120" w:after="120"/>
              <w:jc w:val="center"/>
              <w:rPr>
                <w:rFonts w:ascii="Verdana" w:hAnsi="Verdana"/>
                <w:b/>
              </w:rPr>
            </w:pPr>
            <w:r w:rsidRPr="00757127">
              <w:rPr>
                <w:rFonts w:ascii="Verdana" w:hAnsi="Verdana"/>
                <w:b/>
              </w:rPr>
              <w:t>Then…</w:t>
            </w:r>
          </w:p>
        </w:tc>
      </w:tr>
      <w:tr w:rsidR="00E126E5" w:rsidRPr="00757127" w14:paraId="587419A3" w14:textId="77777777" w:rsidTr="008061AB">
        <w:trPr>
          <w:trHeight w:val="90"/>
        </w:trPr>
        <w:tc>
          <w:tcPr>
            <w:tcW w:w="587" w:type="pct"/>
            <w:vMerge/>
          </w:tcPr>
          <w:p w14:paraId="137F135B" w14:textId="77777777" w:rsidR="00E126E5" w:rsidRPr="00757127" w:rsidRDefault="00E126E5" w:rsidP="004370BE">
            <w:pPr>
              <w:spacing w:before="120" w:after="120"/>
              <w:jc w:val="center"/>
              <w:rPr>
                <w:rFonts w:ascii="Verdana" w:hAnsi="Verdana"/>
                <w:b/>
              </w:rPr>
            </w:pPr>
          </w:p>
        </w:tc>
        <w:tc>
          <w:tcPr>
            <w:tcW w:w="1263" w:type="pct"/>
          </w:tcPr>
          <w:p w14:paraId="0D165404" w14:textId="0A2B56B2" w:rsidR="00E126E5" w:rsidRPr="00757127" w:rsidRDefault="00A327B6" w:rsidP="004370BE">
            <w:pPr>
              <w:spacing w:before="120" w:after="120"/>
              <w:rPr>
                <w:rFonts w:ascii="Verdana" w:hAnsi="Verdana"/>
              </w:rPr>
            </w:pPr>
            <w:r>
              <w:rPr>
                <w:rFonts w:ascii="Verdana" w:hAnsi="Verdana"/>
              </w:rPr>
              <w:t>I</w:t>
            </w:r>
            <w:r w:rsidR="00E126E5" w:rsidRPr="00757127">
              <w:rPr>
                <w:rFonts w:ascii="Verdana" w:hAnsi="Verdana"/>
              </w:rPr>
              <w:t xml:space="preserve">s okay with the CCR continuing with the call, or prefers not to be transferred </w:t>
            </w:r>
            <w:r w:rsidR="004370BE">
              <w:rPr>
                <w:rFonts w:ascii="Verdana" w:hAnsi="Verdana"/>
                <w:b/>
                <w:bCs/>
                <w:strike/>
                <w:color w:val="FF0000"/>
              </w:rPr>
              <w:t xml:space="preserve"> </w:t>
            </w:r>
          </w:p>
        </w:tc>
        <w:tc>
          <w:tcPr>
            <w:tcW w:w="3150" w:type="pct"/>
          </w:tcPr>
          <w:p w14:paraId="2CA1DBA5" w14:textId="77777777" w:rsidR="00E126E5" w:rsidRPr="00757127" w:rsidRDefault="00E126E5" w:rsidP="004370BE">
            <w:pPr>
              <w:spacing w:before="120" w:after="120"/>
              <w:rPr>
                <w:rFonts w:ascii="Verdana" w:hAnsi="Verdana"/>
              </w:rPr>
            </w:pPr>
            <w:r w:rsidRPr="00757127">
              <w:rPr>
                <w:rFonts w:ascii="Verdana" w:hAnsi="Verdana"/>
              </w:rPr>
              <w:t>Handle the call as normal.</w:t>
            </w:r>
          </w:p>
        </w:tc>
      </w:tr>
      <w:tr w:rsidR="00E126E5" w:rsidRPr="00757127" w14:paraId="081623DB" w14:textId="77777777" w:rsidTr="008061AB">
        <w:trPr>
          <w:trHeight w:val="539"/>
        </w:trPr>
        <w:tc>
          <w:tcPr>
            <w:tcW w:w="587" w:type="pct"/>
            <w:vMerge/>
          </w:tcPr>
          <w:p w14:paraId="7908741A" w14:textId="77777777" w:rsidR="00E126E5" w:rsidRPr="00757127" w:rsidRDefault="00E126E5" w:rsidP="004370BE">
            <w:pPr>
              <w:spacing w:before="120" w:after="120"/>
              <w:jc w:val="center"/>
              <w:rPr>
                <w:rFonts w:ascii="Verdana" w:hAnsi="Verdana"/>
                <w:b/>
              </w:rPr>
            </w:pPr>
          </w:p>
        </w:tc>
        <w:tc>
          <w:tcPr>
            <w:tcW w:w="1263" w:type="pct"/>
          </w:tcPr>
          <w:p w14:paraId="545B0D3E" w14:textId="5BFDAB29" w:rsidR="00E126E5" w:rsidRPr="00757127" w:rsidRDefault="00A327B6" w:rsidP="004370BE">
            <w:pPr>
              <w:spacing w:before="120" w:after="120"/>
              <w:rPr>
                <w:rFonts w:ascii="Verdana" w:hAnsi="Verdana"/>
              </w:rPr>
            </w:pPr>
            <w:r>
              <w:rPr>
                <w:rFonts w:ascii="Verdana" w:hAnsi="Verdana"/>
              </w:rPr>
              <w:t>A</w:t>
            </w:r>
            <w:r w:rsidR="00E126E5" w:rsidRPr="00757127">
              <w:rPr>
                <w:rFonts w:ascii="Verdana" w:hAnsi="Verdana"/>
              </w:rPr>
              <w:t xml:space="preserve">sks for or agrees to be transferred </w:t>
            </w:r>
          </w:p>
        </w:tc>
        <w:tc>
          <w:tcPr>
            <w:tcW w:w="3150" w:type="pct"/>
          </w:tcPr>
          <w:p w14:paraId="1F5B2E91" w14:textId="5D482193" w:rsidR="00E126E5" w:rsidRPr="002D52EC" w:rsidRDefault="00171BE4" w:rsidP="004370BE">
            <w:pPr>
              <w:autoSpaceDE w:val="0"/>
              <w:autoSpaceDN w:val="0"/>
              <w:adjustRightInd w:val="0"/>
              <w:spacing w:before="120" w:after="120"/>
              <w:rPr>
                <w:rFonts w:ascii="Verdana" w:hAnsi="Verdana"/>
              </w:rPr>
            </w:pPr>
            <w:r w:rsidRPr="002D52EC">
              <w:rPr>
                <w:rFonts w:ascii="Verdana" w:hAnsi="Verdana"/>
              </w:rPr>
              <w:t>Warm transfer and properly introduce</w:t>
            </w:r>
            <w:r w:rsidR="004370BE" w:rsidRPr="002D52EC">
              <w:rPr>
                <w:rFonts w:ascii="Verdana" w:hAnsi="Verdana"/>
              </w:rPr>
              <w:t xml:space="preserve"> </w:t>
            </w:r>
            <w:r w:rsidR="00E126E5" w:rsidRPr="002D52EC">
              <w:rPr>
                <w:rFonts w:ascii="Verdana" w:hAnsi="Verdana"/>
              </w:rPr>
              <w:t xml:space="preserve"> the call</w:t>
            </w:r>
            <w:r w:rsidR="004370BE" w:rsidRPr="002D52EC">
              <w:rPr>
                <w:rFonts w:ascii="Verdana" w:hAnsi="Verdana"/>
              </w:rPr>
              <w:t>er</w:t>
            </w:r>
            <w:r w:rsidR="00E126E5" w:rsidRPr="002D52EC">
              <w:rPr>
                <w:rFonts w:ascii="Verdana" w:hAnsi="Verdana"/>
              </w:rPr>
              <w:t xml:space="preserve"> to </w:t>
            </w:r>
            <w:r w:rsidR="004370BE" w:rsidRPr="002D52EC">
              <w:rPr>
                <w:rFonts w:ascii="Verdana" w:hAnsi="Verdana"/>
              </w:rPr>
              <w:t xml:space="preserve">the </w:t>
            </w:r>
            <w:hyperlink r:id="rId11" w:anchor="!/view?docid=9eef064d-c7d7-42f7-9026-1497496b4d51" w:history="1">
              <w:r w:rsidR="002009C2" w:rsidRPr="002D52EC">
                <w:rPr>
                  <w:rStyle w:val="Hyperlink"/>
                  <w:rFonts w:ascii="Verdana" w:hAnsi="Verdana"/>
                </w:rPr>
                <w:t>Senior Team (016311)</w:t>
              </w:r>
            </w:hyperlink>
            <w:r w:rsidR="001A118B" w:rsidRPr="002D52EC">
              <w:rPr>
                <w:rFonts w:ascii="Verdana" w:hAnsi="Verdana"/>
              </w:rPr>
              <w:t xml:space="preserve"> and advise</w:t>
            </w:r>
            <w:r w:rsidR="00E126E5" w:rsidRPr="002D52EC">
              <w:rPr>
                <w:rFonts w:ascii="Verdana" w:hAnsi="Verdana"/>
              </w:rPr>
              <w:t xml:space="preserve"> them of the situation.</w:t>
            </w:r>
            <w:r w:rsidR="00CA2157" w:rsidRPr="002D52EC">
              <w:rPr>
                <w:rFonts w:ascii="Verdana" w:hAnsi="Verdana" w:cs="Helvetica"/>
                <w:bCs/>
                <w:color w:val="000000"/>
              </w:rPr>
              <w:t xml:space="preserve"> </w:t>
            </w:r>
            <w:r w:rsidR="004370BE" w:rsidRPr="002D52EC">
              <w:rPr>
                <w:rFonts w:ascii="Verdana" w:hAnsi="Verdana"/>
                <w:color w:val="333333"/>
              </w:rPr>
              <w:t xml:space="preserve"> </w:t>
            </w:r>
          </w:p>
        </w:tc>
      </w:tr>
      <w:bookmarkEnd w:id="9"/>
    </w:tbl>
    <w:p w14:paraId="546A3E5B" w14:textId="77777777" w:rsidR="00E126E5" w:rsidRDefault="00E126E5" w:rsidP="005A64DA">
      <w:pPr>
        <w:jc w:val="right"/>
        <w:rPr>
          <w:rFonts w:ascii="Verdana" w:hAnsi="Verdana"/>
        </w:rPr>
      </w:pPr>
    </w:p>
    <w:bookmarkStart w:id="10" w:name="_Log_Activity"/>
    <w:bookmarkStart w:id="11" w:name="_Parent_SOP"/>
    <w:bookmarkEnd w:id="10"/>
    <w:bookmarkEnd w:id="11"/>
    <w:p w14:paraId="0AE712F0" w14:textId="16E90CFD" w:rsidR="00A327B6" w:rsidRDefault="002D52EC" w:rsidP="00A327B6">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A327B6" w:rsidRPr="002D52EC">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327B6" w:rsidRPr="00757127" w14:paraId="48D02610" w14:textId="77777777" w:rsidTr="002D52EC">
        <w:tc>
          <w:tcPr>
            <w:tcW w:w="5000" w:type="pct"/>
            <w:shd w:val="clear" w:color="auto" w:fill="BFBFBF" w:themeFill="background1" w:themeFillShade="BF"/>
          </w:tcPr>
          <w:p w14:paraId="5DCE278D" w14:textId="77777777" w:rsidR="00A327B6" w:rsidRPr="00757127" w:rsidRDefault="00A327B6" w:rsidP="004370BE">
            <w:pPr>
              <w:pStyle w:val="Heading2"/>
              <w:spacing w:before="120" w:after="120"/>
              <w:rPr>
                <w:rFonts w:ascii="Verdana" w:hAnsi="Verdana"/>
                <w:i w:val="0"/>
                <w:iCs w:val="0"/>
              </w:rPr>
            </w:pPr>
            <w:bookmarkStart w:id="12" w:name="_Toc161654201"/>
            <w:r>
              <w:rPr>
                <w:rFonts w:ascii="Verdana" w:hAnsi="Verdana"/>
                <w:i w:val="0"/>
                <w:iCs w:val="0"/>
              </w:rPr>
              <w:t>Related Documents</w:t>
            </w:r>
            <w:bookmarkEnd w:id="12"/>
          </w:p>
        </w:tc>
      </w:tr>
    </w:tbl>
    <w:p w14:paraId="7451057B" w14:textId="77777777" w:rsidR="00DC70DF" w:rsidRDefault="00DC70DF" w:rsidP="004370BE">
      <w:pPr>
        <w:spacing w:before="120" w:after="120"/>
      </w:pPr>
      <w:r w:rsidRPr="00DC70DF">
        <w:rPr>
          <w:rFonts w:ascii="Verdana" w:hAnsi="Verdana"/>
          <w:b/>
        </w:rPr>
        <w:t>Parent Documents:</w:t>
      </w:r>
      <w:r>
        <w:rPr>
          <w:rFonts w:ascii="Verdana" w:hAnsi="Verdana"/>
          <w:b/>
        </w:rPr>
        <w:t xml:space="preserve">  </w:t>
      </w:r>
      <w:hyperlink r:id="rId12" w:tgtFrame="_blank" w:history="1">
        <w:r w:rsidRPr="00B704FA">
          <w:rPr>
            <w:rFonts w:ascii="Verdana" w:hAnsi="Verdana"/>
            <w:color w:val="0000FF"/>
            <w:u w:val="single"/>
          </w:rPr>
          <w:t>CALL 0049 Customer Care Internal and External Call Handling</w:t>
        </w:r>
      </w:hyperlink>
      <w:r>
        <w:t xml:space="preserve">, </w:t>
      </w:r>
    </w:p>
    <w:p w14:paraId="634C3F6F" w14:textId="77777777" w:rsidR="00DC70DF" w:rsidRDefault="008061AB" w:rsidP="004370BE">
      <w:pPr>
        <w:spacing w:before="120" w:after="120"/>
        <w:rPr>
          <w:rFonts w:ascii="Verdana" w:hAnsi="Verdana"/>
        </w:rPr>
      </w:pPr>
      <w:hyperlink r:id="rId13" w:history="1">
        <w:r w:rsidR="00DC70DF" w:rsidRPr="00176400">
          <w:rPr>
            <w:rStyle w:val="Hyperlink"/>
            <w:rFonts w:ascii="Verdana" w:hAnsi="Verdana"/>
          </w:rPr>
          <w:t>CALL 0011 Authenticating Caller</w:t>
        </w:r>
      </w:hyperlink>
    </w:p>
    <w:p w14:paraId="7F295BB4" w14:textId="5E376C44" w:rsidR="00A327B6" w:rsidRDefault="008061AB" w:rsidP="004370BE">
      <w:pPr>
        <w:autoSpaceDE w:val="0"/>
        <w:autoSpaceDN w:val="0"/>
        <w:adjustRightInd w:val="0"/>
        <w:spacing w:before="120" w:after="120"/>
        <w:rPr>
          <w:rFonts w:ascii="Verdana" w:hAnsi="Verdana" w:cs="Verdana"/>
        </w:rPr>
      </w:pPr>
      <w:hyperlink r:id="rId14" w:anchor="!/view?docid=c1f1028b-e42c-4b4f-a4cf-cc0b42c91606" w:history="1">
        <w:r w:rsidR="002009C2">
          <w:rPr>
            <w:rFonts w:ascii="Verdana" w:hAnsi="Verdana" w:cs="Verdana"/>
            <w:color w:val="0000FF"/>
            <w:u w:val="single"/>
          </w:rPr>
          <w:t>Customer Care Abbreviations, Definitions, and Terms (017428)</w:t>
        </w:r>
      </w:hyperlink>
      <w:r w:rsidR="00DC70DF">
        <w:rPr>
          <w:rFonts w:ascii="Verdana" w:hAnsi="Verdana" w:cs="Verdana"/>
        </w:rPr>
        <w:t xml:space="preserve"> </w:t>
      </w:r>
    </w:p>
    <w:p w14:paraId="70B01002" w14:textId="7AA66EE0" w:rsidR="00115944" w:rsidRPr="00DC70DF" w:rsidRDefault="008061AB" w:rsidP="00DC70DF">
      <w:pPr>
        <w:jc w:val="right"/>
        <w:rPr>
          <w:rFonts w:ascii="Verdana" w:hAnsi="Verdana"/>
        </w:rPr>
      </w:pPr>
      <w:hyperlink w:anchor="_top" w:history="1">
        <w:r w:rsidR="00DC70DF" w:rsidRPr="002D52EC">
          <w:rPr>
            <w:rStyle w:val="Hyperlink"/>
            <w:rFonts w:ascii="Verdana" w:hAnsi="Verdana"/>
          </w:rPr>
          <w:t>Top of the Document</w:t>
        </w:r>
      </w:hyperlink>
    </w:p>
    <w:p w14:paraId="2D63143D"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CE32FE" w:rsidRPr="00C247CB">
        <w:rPr>
          <w:rFonts w:ascii="Verdana" w:hAnsi="Verdana"/>
          <w:sz w:val="16"/>
          <w:szCs w:val="16"/>
        </w:rPr>
        <w:t>to</w:t>
      </w:r>
      <w:r w:rsidRPr="00C247CB">
        <w:rPr>
          <w:rFonts w:ascii="Verdana" w:hAnsi="Verdana"/>
          <w:sz w:val="16"/>
          <w:szCs w:val="16"/>
        </w:rPr>
        <w:t xml:space="preserve"> Be Reproduced </w:t>
      </w:r>
      <w:r w:rsidR="00CE32FE" w:rsidRPr="00C247CB">
        <w:rPr>
          <w:rFonts w:ascii="Verdana" w:hAnsi="Verdana"/>
          <w:sz w:val="16"/>
          <w:szCs w:val="16"/>
        </w:rPr>
        <w:t>or</w:t>
      </w:r>
      <w:r w:rsidRPr="00C247CB">
        <w:rPr>
          <w:rFonts w:ascii="Verdana" w:hAnsi="Verdana"/>
          <w:sz w:val="16"/>
          <w:szCs w:val="16"/>
        </w:rPr>
        <w:t xml:space="preserve"> Disclosed to Others </w:t>
      </w:r>
      <w:r w:rsidR="00CE32FE" w:rsidRPr="00C247CB">
        <w:rPr>
          <w:rFonts w:ascii="Verdana" w:hAnsi="Verdana"/>
          <w:sz w:val="16"/>
          <w:szCs w:val="16"/>
        </w:rPr>
        <w:t>without</w:t>
      </w:r>
      <w:r w:rsidRPr="00C247CB">
        <w:rPr>
          <w:rFonts w:ascii="Verdana" w:hAnsi="Verdana"/>
          <w:sz w:val="16"/>
          <w:szCs w:val="16"/>
        </w:rPr>
        <w:t xml:space="preserve"> Prior Written Approval</w:t>
      </w:r>
    </w:p>
    <w:p w14:paraId="4D0C3736" w14:textId="77777777" w:rsidR="005A64DA" w:rsidRPr="00C247CB" w:rsidRDefault="00710E68" w:rsidP="00C247CB">
      <w:pPr>
        <w:jc w:val="center"/>
        <w:rPr>
          <w:rFonts w:ascii="Verdana" w:hAnsi="Verdana"/>
          <w:sz w:val="16"/>
          <w:szCs w:val="16"/>
        </w:rPr>
      </w:pPr>
      <w:r w:rsidRPr="00C247CB">
        <w:rPr>
          <w:rFonts w:ascii="Verdana" w:hAnsi="Verdana"/>
          <w:b/>
          <w:color w:val="000000"/>
          <w:sz w:val="16"/>
          <w:szCs w:val="16"/>
        </w:rPr>
        <w:t>ELECTRONIC DATA = OFFICIAL VERSION – PAPER COPY – INFORMATIONAL ONLY</w:t>
      </w:r>
    </w:p>
    <w:sectPr w:rsidR="005A64DA" w:rsidRPr="00C247CB" w:rsidSect="00F1152F">
      <w:footerReference w:type="even" r:id="rId15"/>
      <w:footerReference w:type="default" r:id="rId16"/>
      <w:headerReference w:type="first" r:id="rId17"/>
      <w:footerReference w:type="first" r:id="rId1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ABDD1" w14:textId="77777777" w:rsidR="005276A6" w:rsidRDefault="005276A6">
      <w:r>
        <w:separator/>
      </w:r>
    </w:p>
  </w:endnote>
  <w:endnote w:type="continuationSeparator" w:id="0">
    <w:p w14:paraId="569B87C1" w14:textId="77777777" w:rsidR="005276A6" w:rsidRDefault="0052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9B3C" w14:textId="77777777" w:rsidR="006B3226" w:rsidRDefault="006B3226"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FD1C73" w14:textId="77777777" w:rsidR="006B3226" w:rsidRDefault="006B3226"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F8B9" w14:textId="77777777" w:rsidR="006B3226" w:rsidRDefault="006B3226"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109B">
      <w:rPr>
        <w:rStyle w:val="PageNumber"/>
        <w:noProof/>
      </w:rPr>
      <w:t>3</w:t>
    </w:r>
    <w:r>
      <w:rPr>
        <w:rStyle w:val="PageNumber"/>
      </w:rPr>
      <w:fldChar w:fldCharType="end"/>
    </w:r>
  </w:p>
  <w:p w14:paraId="781CB934" w14:textId="77777777" w:rsidR="006B3226" w:rsidRPr="00245D49" w:rsidRDefault="006B3226"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3DA1" w14:textId="77777777" w:rsidR="006B3226" w:rsidRPr="00CD2229" w:rsidRDefault="006B3226">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1836E" w14:textId="77777777" w:rsidR="005276A6" w:rsidRDefault="005276A6">
      <w:r>
        <w:separator/>
      </w:r>
    </w:p>
  </w:footnote>
  <w:footnote w:type="continuationSeparator" w:id="0">
    <w:p w14:paraId="5B654711" w14:textId="77777777" w:rsidR="005276A6" w:rsidRDefault="00527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E2B6" w14:textId="77777777" w:rsidR="006B3226" w:rsidRDefault="006B3226">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num w:numId="1" w16cid:durableId="112478148">
    <w:abstractNumId w:val="0"/>
  </w:num>
  <w:num w:numId="2" w16cid:durableId="1547134426">
    <w:abstractNumId w:val="1"/>
  </w:num>
  <w:num w:numId="3" w16cid:durableId="175659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35BED"/>
    <w:rsid w:val="0004031F"/>
    <w:rsid w:val="00061AD2"/>
    <w:rsid w:val="0008665F"/>
    <w:rsid w:val="00095AB5"/>
    <w:rsid w:val="000A6B88"/>
    <w:rsid w:val="000B3C4C"/>
    <w:rsid w:val="000B656F"/>
    <w:rsid w:val="000B72DF"/>
    <w:rsid w:val="000D1870"/>
    <w:rsid w:val="000D4AA8"/>
    <w:rsid w:val="000D6714"/>
    <w:rsid w:val="000F0D1B"/>
    <w:rsid w:val="000F4459"/>
    <w:rsid w:val="00115944"/>
    <w:rsid w:val="0012373E"/>
    <w:rsid w:val="00135948"/>
    <w:rsid w:val="001360A5"/>
    <w:rsid w:val="0014084F"/>
    <w:rsid w:val="001560C4"/>
    <w:rsid w:val="0016273A"/>
    <w:rsid w:val="00171BE4"/>
    <w:rsid w:val="00176400"/>
    <w:rsid w:val="001A118B"/>
    <w:rsid w:val="001B3879"/>
    <w:rsid w:val="001B7B09"/>
    <w:rsid w:val="001C5A3A"/>
    <w:rsid w:val="001F1218"/>
    <w:rsid w:val="002009C2"/>
    <w:rsid w:val="002016B4"/>
    <w:rsid w:val="002055CF"/>
    <w:rsid w:val="00231DC9"/>
    <w:rsid w:val="00243EBB"/>
    <w:rsid w:val="00245D49"/>
    <w:rsid w:val="00255C6B"/>
    <w:rsid w:val="0026069B"/>
    <w:rsid w:val="00265D86"/>
    <w:rsid w:val="0028215B"/>
    <w:rsid w:val="00291CE8"/>
    <w:rsid w:val="002932BF"/>
    <w:rsid w:val="00296127"/>
    <w:rsid w:val="00296765"/>
    <w:rsid w:val="002B593E"/>
    <w:rsid w:val="002D3C45"/>
    <w:rsid w:val="002D52EC"/>
    <w:rsid w:val="002D5BF2"/>
    <w:rsid w:val="002E58AD"/>
    <w:rsid w:val="002E5A4F"/>
    <w:rsid w:val="002F1F92"/>
    <w:rsid w:val="00323709"/>
    <w:rsid w:val="0033143E"/>
    <w:rsid w:val="00346C84"/>
    <w:rsid w:val="00366AA2"/>
    <w:rsid w:val="003725A1"/>
    <w:rsid w:val="003868A2"/>
    <w:rsid w:val="00392A5B"/>
    <w:rsid w:val="003A6D70"/>
    <w:rsid w:val="003B1F86"/>
    <w:rsid w:val="003C4627"/>
    <w:rsid w:val="003D098E"/>
    <w:rsid w:val="003E6C1A"/>
    <w:rsid w:val="0040640A"/>
    <w:rsid w:val="00406DB5"/>
    <w:rsid w:val="0042336D"/>
    <w:rsid w:val="00425416"/>
    <w:rsid w:val="00430E7B"/>
    <w:rsid w:val="004370BE"/>
    <w:rsid w:val="00443F8C"/>
    <w:rsid w:val="00457EAE"/>
    <w:rsid w:val="004768BE"/>
    <w:rsid w:val="00477F73"/>
    <w:rsid w:val="0048355A"/>
    <w:rsid w:val="004D3C53"/>
    <w:rsid w:val="00505DD3"/>
    <w:rsid w:val="00512486"/>
    <w:rsid w:val="0052465B"/>
    <w:rsid w:val="00524CDD"/>
    <w:rsid w:val="005276A6"/>
    <w:rsid w:val="00546A29"/>
    <w:rsid w:val="00572B56"/>
    <w:rsid w:val="00572EB9"/>
    <w:rsid w:val="00582E85"/>
    <w:rsid w:val="005910B5"/>
    <w:rsid w:val="005A6118"/>
    <w:rsid w:val="005A64DA"/>
    <w:rsid w:val="005C1D83"/>
    <w:rsid w:val="005E650E"/>
    <w:rsid w:val="005F3E48"/>
    <w:rsid w:val="005F5183"/>
    <w:rsid w:val="00622D77"/>
    <w:rsid w:val="00622E6D"/>
    <w:rsid w:val="00627F34"/>
    <w:rsid w:val="00634645"/>
    <w:rsid w:val="00636B18"/>
    <w:rsid w:val="00637CA1"/>
    <w:rsid w:val="006554C1"/>
    <w:rsid w:val="00656C7F"/>
    <w:rsid w:val="00663A26"/>
    <w:rsid w:val="00673EE0"/>
    <w:rsid w:val="00674A16"/>
    <w:rsid w:val="00691E10"/>
    <w:rsid w:val="006A0481"/>
    <w:rsid w:val="006A1917"/>
    <w:rsid w:val="006A65CB"/>
    <w:rsid w:val="006B3226"/>
    <w:rsid w:val="006C653F"/>
    <w:rsid w:val="006D0A7B"/>
    <w:rsid w:val="006F3C7B"/>
    <w:rsid w:val="006F7B5D"/>
    <w:rsid w:val="006F7DFC"/>
    <w:rsid w:val="00704AF2"/>
    <w:rsid w:val="00710E68"/>
    <w:rsid w:val="00714BA0"/>
    <w:rsid w:val="00720CC2"/>
    <w:rsid w:val="007269B6"/>
    <w:rsid w:val="00726E7A"/>
    <w:rsid w:val="0073294A"/>
    <w:rsid w:val="00732E52"/>
    <w:rsid w:val="00752801"/>
    <w:rsid w:val="00757127"/>
    <w:rsid w:val="00785118"/>
    <w:rsid w:val="00786BEB"/>
    <w:rsid w:val="007B108C"/>
    <w:rsid w:val="007C77DD"/>
    <w:rsid w:val="007E3EA6"/>
    <w:rsid w:val="008042E1"/>
    <w:rsid w:val="00804D63"/>
    <w:rsid w:val="008061AB"/>
    <w:rsid w:val="00806B9D"/>
    <w:rsid w:val="00812777"/>
    <w:rsid w:val="0082455E"/>
    <w:rsid w:val="00830FAB"/>
    <w:rsid w:val="0084129E"/>
    <w:rsid w:val="00843390"/>
    <w:rsid w:val="00846373"/>
    <w:rsid w:val="008568AE"/>
    <w:rsid w:val="00860590"/>
    <w:rsid w:val="008614E8"/>
    <w:rsid w:val="00864F53"/>
    <w:rsid w:val="00867EDF"/>
    <w:rsid w:val="00875F0D"/>
    <w:rsid w:val="00877414"/>
    <w:rsid w:val="008A03B7"/>
    <w:rsid w:val="008A3B29"/>
    <w:rsid w:val="008C2197"/>
    <w:rsid w:val="008C3493"/>
    <w:rsid w:val="008D0318"/>
    <w:rsid w:val="008D11A6"/>
    <w:rsid w:val="008D1F7B"/>
    <w:rsid w:val="008D2D64"/>
    <w:rsid w:val="00901427"/>
    <w:rsid w:val="00902E07"/>
    <w:rsid w:val="00915690"/>
    <w:rsid w:val="00927753"/>
    <w:rsid w:val="00947783"/>
    <w:rsid w:val="00954FE8"/>
    <w:rsid w:val="009726E0"/>
    <w:rsid w:val="00974A82"/>
    <w:rsid w:val="00975003"/>
    <w:rsid w:val="0098160B"/>
    <w:rsid w:val="00990822"/>
    <w:rsid w:val="009C4A31"/>
    <w:rsid w:val="009E564C"/>
    <w:rsid w:val="009F6FD2"/>
    <w:rsid w:val="009F78D3"/>
    <w:rsid w:val="00A327B6"/>
    <w:rsid w:val="00A4732A"/>
    <w:rsid w:val="00A5022B"/>
    <w:rsid w:val="00A539DF"/>
    <w:rsid w:val="00A7166B"/>
    <w:rsid w:val="00A83BA0"/>
    <w:rsid w:val="00A84F18"/>
    <w:rsid w:val="00A85045"/>
    <w:rsid w:val="00A95738"/>
    <w:rsid w:val="00A97B7D"/>
    <w:rsid w:val="00AA3DEA"/>
    <w:rsid w:val="00AA4825"/>
    <w:rsid w:val="00AB33E1"/>
    <w:rsid w:val="00AD1646"/>
    <w:rsid w:val="00AF038B"/>
    <w:rsid w:val="00B26045"/>
    <w:rsid w:val="00B33A4C"/>
    <w:rsid w:val="00B44C55"/>
    <w:rsid w:val="00B46A95"/>
    <w:rsid w:val="00B544C2"/>
    <w:rsid w:val="00B5566F"/>
    <w:rsid w:val="00B56E1B"/>
    <w:rsid w:val="00B70CC4"/>
    <w:rsid w:val="00B722F7"/>
    <w:rsid w:val="00BB02DE"/>
    <w:rsid w:val="00BB371A"/>
    <w:rsid w:val="00BB7B08"/>
    <w:rsid w:val="00BD7B25"/>
    <w:rsid w:val="00BE1AFF"/>
    <w:rsid w:val="00BF0AF0"/>
    <w:rsid w:val="00BF74E9"/>
    <w:rsid w:val="00C02F24"/>
    <w:rsid w:val="00C247CB"/>
    <w:rsid w:val="00C25830"/>
    <w:rsid w:val="00C360BD"/>
    <w:rsid w:val="00C465D2"/>
    <w:rsid w:val="00C476E1"/>
    <w:rsid w:val="00C52E77"/>
    <w:rsid w:val="00C566B3"/>
    <w:rsid w:val="00C5793E"/>
    <w:rsid w:val="00C65249"/>
    <w:rsid w:val="00C67B32"/>
    <w:rsid w:val="00C729E0"/>
    <w:rsid w:val="00C75C83"/>
    <w:rsid w:val="00CA2157"/>
    <w:rsid w:val="00CB0C1D"/>
    <w:rsid w:val="00CC5AA2"/>
    <w:rsid w:val="00CC721A"/>
    <w:rsid w:val="00CD0963"/>
    <w:rsid w:val="00CE3076"/>
    <w:rsid w:val="00CE32FE"/>
    <w:rsid w:val="00CE3D42"/>
    <w:rsid w:val="00CE53E6"/>
    <w:rsid w:val="00CF0C50"/>
    <w:rsid w:val="00CF6131"/>
    <w:rsid w:val="00D06EAA"/>
    <w:rsid w:val="00D16B36"/>
    <w:rsid w:val="00D36733"/>
    <w:rsid w:val="00D471B5"/>
    <w:rsid w:val="00D474A1"/>
    <w:rsid w:val="00D5610C"/>
    <w:rsid w:val="00D571DB"/>
    <w:rsid w:val="00D6774D"/>
    <w:rsid w:val="00D75191"/>
    <w:rsid w:val="00D80929"/>
    <w:rsid w:val="00D85254"/>
    <w:rsid w:val="00D91319"/>
    <w:rsid w:val="00DB5F8D"/>
    <w:rsid w:val="00DC4FFC"/>
    <w:rsid w:val="00DC70DF"/>
    <w:rsid w:val="00DE109B"/>
    <w:rsid w:val="00DF6BE4"/>
    <w:rsid w:val="00E126E5"/>
    <w:rsid w:val="00E157BC"/>
    <w:rsid w:val="00E50E4A"/>
    <w:rsid w:val="00E91F5F"/>
    <w:rsid w:val="00EA6F59"/>
    <w:rsid w:val="00EB12DD"/>
    <w:rsid w:val="00EB153E"/>
    <w:rsid w:val="00EB57EB"/>
    <w:rsid w:val="00EC1198"/>
    <w:rsid w:val="00ED50CF"/>
    <w:rsid w:val="00EF5332"/>
    <w:rsid w:val="00F1152F"/>
    <w:rsid w:val="00F207B3"/>
    <w:rsid w:val="00F5486B"/>
    <w:rsid w:val="00F658E0"/>
    <w:rsid w:val="00F859B7"/>
    <w:rsid w:val="00FC1C44"/>
    <w:rsid w:val="00FD2601"/>
    <w:rsid w:val="00FE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D71FF"/>
  <w15:chartTrackingRefBased/>
  <w15:docId w15:val="{6C48E07C-7A9E-4B99-95B2-B76551C6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BalloonText">
    <w:name w:val="Balloon Text"/>
    <w:basedOn w:val="Normal"/>
    <w:link w:val="BalloonTextChar"/>
    <w:rsid w:val="00135948"/>
    <w:rPr>
      <w:rFonts w:ascii="Segoe UI" w:hAnsi="Segoe UI" w:cs="Segoe UI"/>
      <w:sz w:val="18"/>
      <w:szCs w:val="18"/>
    </w:rPr>
  </w:style>
  <w:style w:type="character" w:customStyle="1" w:styleId="BalloonTextChar">
    <w:name w:val="Balloon Text Char"/>
    <w:link w:val="BalloonText"/>
    <w:rsid w:val="00135948"/>
    <w:rPr>
      <w:rFonts w:ascii="Segoe UI" w:hAnsi="Segoe UI" w:cs="Segoe UI"/>
      <w:sz w:val="18"/>
      <w:szCs w:val="18"/>
    </w:rPr>
  </w:style>
  <w:style w:type="paragraph" w:styleId="TOC2">
    <w:name w:val="toc 2"/>
    <w:basedOn w:val="Normal"/>
    <w:next w:val="Normal"/>
    <w:autoRedefine/>
    <w:uiPriority w:val="39"/>
    <w:rsid w:val="00135948"/>
    <w:pPr>
      <w:tabs>
        <w:tab w:val="right" w:leader="dot" w:pos="12950"/>
      </w:tabs>
    </w:pPr>
  </w:style>
  <w:style w:type="character" w:styleId="UnresolvedMention">
    <w:name w:val="Unresolved Mention"/>
    <w:basedOn w:val="DefaultParagraphFont"/>
    <w:uiPriority w:val="99"/>
    <w:semiHidden/>
    <w:unhideWhenUsed/>
    <w:rsid w:val="004370BE"/>
    <w:rPr>
      <w:color w:val="605E5C"/>
      <w:shd w:val="clear" w:color="auto" w:fill="E1DFDD"/>
    </w:rPr>
  </w:style>
  <w:style w:type="paragraph" w:styleId="Revision">
    <w:name w:val="Revision"/>
    <w:hidden/>
    <w:uiPriority w:val="99"/>
    <w:semiHidden/>
    <w:rsid w:val="00D16B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licy.corp.cvscaremark.com/pnp/faces/DocRenderer?documentId=CALL-0011"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icy.corp.cvscaremark.com/pnp/faces/DocRenderer?documentId=CALL-004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hesource.cvshealth.com/nuxeo/thesour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BAD77-9DC9-4501-86D3-2B335744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229</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2300</CharactersWithSpaces>
  <SharedDoc>false</SharedDoc>
  <HLinks>
    <vt:vector size="66" baseType="variant">
      <vt:variant>
        <vt:i4>262192</vt:i4>
      </vt:variant>
      <vt:variant>
        <vt:i4>42</vt:i4>
      </vt:variant>
      <vt:variant>
        <vt:i4>0</vt:i4>
      </vt:variant>
      <vt:variant>
        <vt:i4>5</vt:i4>
      </vt:variant>
      <vt:variant>
        <vt:lpwstr/>
      </vt:variant>
      <vt:variant>
        <vt:lpwstr>_top</vt:lpwstr>
      </vt:variant>
      <vt:variant>
        <vt:i4>1704002</vt:i4>
      </vt:variant>
      <vt:variant>
        <vt:i4>39</vt:i4>
      </vt:variant>
      <vt:variant>
        <vt:i4>0</vt:i4>
      </vt:variant>
      <vt:variant>
        <vt:i4>5</vt:i4>
      </vt:variant>
      <vt:variant>
        <vt:lpwstr>../../UJ30FJ4/Desktop/Native Files/Customer Care/Subcommittee Review/cMS-2-017428</vt:lpwstr>
      </vt:variant>
      <vt:variant>
        <vt:lpwstr/>
      </vt:variant>
      <vt:variant>
        <vt:i4>2949170</vt:i4>
      </vt:variant>
      <vt:variant>
        <vt:i4>36</vt:i4>
      </vt:variant>
      <vt:variant>
        <vt:i4>0</vt:i4>
      </vt:variant>
      <vt:variant>
        <vt:i4>5</vt:i4>
      </vt:variant>
      <vt:variant>
        <vt:lpwstr>https://policy.corp.cvscaremark.com/pnp/faces/DocRenderer?documentId=CALL-0011</vt:lpwstr>
      </vt:variant>
      <vt:variant>
        <vt:lpwstr/>
      </vt:variant>
      <vt:variant>
        <vt:i4>2424887</vt:i4>
      </vt:variant>
      <vt:variant>
        <vt:i4>33</vt:i4>
      </vt:variant>
      <vt:variant>
        <vt:i4>0</vt:i4>
      </vt:variant>
      <vt:variant>
        <vt:i4>5</vt:i4>
      </vt:variant>
      <vt:variant>
        <vt:lpwstr>https://policy.corp.cvscaremark.com/pnp/faces/DocRenderer?documentId=CALL-0049</vt:lpwstr>
      </vt:variant>
      <vt:variant>
        <vt:lpwstr/>
      </vt:variant>
      <vt:variant>
        <vt:i4>262192</vt:i4>
      </vt:variant>
      <vt:variant>
        <vt:i4>30</vt:i4>
      </vt:variant>
      <vt:variant>
        <vt:i4>0</vt:i4>
      </vt:variant>
      <vt:variant>
        <vt:i4>5</vt:i4>
      </vt:variant>
      <vt:variant>
        <vt:lpwstr/>
      </vt:variant>
      <vt:variant>
        <vt:lpwstr>_top</vt:lpwstr>
      </vt:variant>
      <vt:variant>
        <vt:i4>6291510</vt:i4>
      </vt:variant>
      <vt:variant>
        <vt:i4>27</vt:i4>
      </vt:variant>
      <vt:variant>
        <vt:i4>0</vt:i4>
      </vt:variant>
      <vt:variant>
        <vt:i4>5</vt:i4>
      </vt:variant>
      <vt:variant>
        <vt:lpwstr>../AppData/Local/Microsoft/windows/INetCache/Content.Outlook/WU6ZWHOD/CMS-2-004567</vt:lpwstr>
      </vt:variant>
      <vt:variant>
        <vt:lpwstr/>
      </vt:variant>
      <vt:variant>
        <vt:i4>2555944</vt:i4>
      </vt:variant>
      <vt:variant>
        <vt:i4>21</vt:i4>
      </vt:variant>
      <vt:variant>
        <vt:i4>0</vt:i4>
      </vt:variant>
      <vt:variant>
        <vt:i4>5</vt:i4>
      </vt:variant>
      <vt:variant>
        <vt:lpwstr>../AppData/Local/Microsoft/windows/INetCache/Content.Outlook/WU6ZWHOD/TSRC-PROD-021820</vt:lpwstr>
      </vt:variant>
      <vt:variant>
        <vt:lpwstr/>
      </vt:variant>
      <vt:variant>
        <vt:i4>262192</vt:i4>
      </vt:variant>
      <vt:variant>
        <vt:i4>12</vt:i4>
      </vt:variant>
      <vt:variant>
        <vt:i4>0</vt:i4>
      </vt:variant>
      <vt:variant>
        <vt:i4>5</vt:i4>
      </vt:variant>
      <vt:variant>
        <vt:lpwstr/>
      </vt:variant>
      <vt:variant>
        <vt:lpwstr>_top</vt:lpwstr>
      </vt:variant>
      <vt:variant>
        <vt:i4>1441853</vt:i4>
      </vt:variant>
      <vt:variant>
        <vt:i4>8</vt:i4>
      </vt:variant>
      <vt:variant>
        <vt:i4>0</vt:i4>
      </vt:variant>
      <vt:variant>
        <vt:i4>5</vt:i4>
      </vt:variant>
      <vt:variant>
        <vt:lpwstr/>
      </vt:variant>
      <vt:variant>
        <vt:lpwstr>_Toc15306692</vt:lpwstr>
      </vt:variant>
      <vt:variant>
        <vt:i4>1376317</vt:i4>
      </vt:variant>
      <vt:variant>
        <vt:i4>5</vt:i4>
      </vt:variant>
      <vt:variant>
        <vt:i4>0</vt:i4>
      </vt:variant>
      <vt:variant>
        <vt:i4>5</vt:i4>
      </vt:variant>
      <vt:variant>
        <vt:lpwstr/>
      </vt:variant>
      <vt:variant>
        <vt:lpwstr>_Toc15306691</vt:lpwstr>
      </vt:variant>
      <vt:variant>
        <vt:i4>1310781</vt:i4>
      </vt:variant>
      <vt:variant>
        <vt:i4>2</vt:i4>
      </vt:variant>
      <vt:variant>
        <vt:i4>0</vt:i4>
      </vt:variant>
      <vt:variant>
        <vt:i4>5</vt:i4>
      </vt:variant>
      <vt:variant>
        <vt:lpwstr/>
      </vt:variant>
      <vt:variant>
        <vt:lpwstr>_Toc15306690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2</cp:revision>
  <cp:lastPrinted>2007-01-03T16:56:00Z</cp:lastPrinted>
  <dcterms:created xsi:type="dcterms:W3CDTF">2024-07-03T21:26:00Z</dcterms:created>
  <dcterms:modified xsi:type="dcterms:W3CDTF">2024-07-03T21:26:00Z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2022-04-20T19:37:53Z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f9639f8a-2ec9-4226-a0fe-e0fa43d5d6a7</vt:lpwstr>
  </property>
  <property fmtid="{D5CDD505-2E9C-101B-9397-08002B2CF9AE}" pid="8" name="MSIP_Label_67599526-06ca-49cc-9fa9-5307800a949a_ContentBits">
    <vt:lpwstr>0</vt:lpwstr>
  </property>
</Properties>
</file>