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1A16D8" w14:textId="1F78DA3C" w:rsidR="000F19A1" w:rsidRPr="000F19A1" w:rsidRDefault="00823FDE" w:rsidP="000F19A1">
      <w:pPr>
        <w:pStyle w:val="Heading1"/>
        <w:rPr>
          <w:rFonts w:ascii="Verdana" w:hAnsi="Verdana"/>
          <w:color w:val="auto"/>
          <w:sz w:val="36"/>
        </w:rPr>
      </w:pPr>
      <w:bookmarkStart w:id="0" w:name="_top"/>
      <w:bookmarkStart w:id="1" w:name="_Toc373754355"/>
      <w:bookmarkStart w:id="2" w:name="_Toc404924361"/>
      <w:bookmarkStart w:id="3" w:name="_Toc443567906"/>
      <w:bookmarkStart w:id="4" w:name="_Toc456257152"/>
      <w:bookmarkStart w:id="5" w:name="_Toc456258134"/>
      <w:bookmarkStart w:id="6" w:name="_Toc480300158"/>
      <w:bookmarkStart w:id="7" w:name="OLE_LINK7"/>
      <w:bookmarkEnd w:id="0"/>
      <w:proofErr w:type="spellStart"/>
      <w:r>
        <w:rPr>
          <w:rFonts w:ascii="Verdana" w:hAnsi="Verdana"/>
          <w:color w:val="auto"/>
          <w:sz w:val="36"/>
        </w:rPr>
        <w:t>PeopleSafe</w:t>
      </w:r>
      <w:proofErr w:type="spellEnd"/>
      <w:r>
        <w:rPr>
          <w:rFonts w:ascii="Verdana" w:hAnsi="Verdana"/>
          <w:color w:val="auto"/>
          <w:sz w:val="36"/>
        </w:rPr>
        <w:t xml:space="preserve"> - </w:t>
      </w:r>
      <w:r w:rsidR="00FC2C70" w:rsidRPr="000F19A1">
        <w:rPr>
          <w:rFonts w:ascii="Verdana" w:hAnsi="Verdana"/>
          <w:color w:val="auto"/>
          <w:sz w:val="36"/>
        </w:rPr>
        <w:t>Transmission of Customer Care Fraud, Waste and Abuse</w:t>
      </w:r>
      <w:bookmarkEnd w:id="1"/>
      <w:bookmarkEnd w:id="2"/>
      <w:bookmarkEnd w:id="3"/>
      <w:bookmarkEnd w:id="4"/>
      <w:bookmarkEnd w:id="5"/>
      <w:bookmarkEnd w:id="6"/>
      <w:r w:rsidR="00AC15F2" w:rsidRPr="000F19A1">
        <w:rPr>
          <w:rFonts w:ascii="Verdana" w:hAnsi="Verdana"/>
          <w:color w:val="auto"/>
          <w:sz w:val="36"/>
        </w:rPr>
        <w:t xml:space="preserve"> </w:t>
      </w:r>
    </w:p>
    <w:bookmarkEnd w:id="7"/>
    <w:p w14:paraId="15D5ABF3" w14:textId="794BFDFD" w:rsidR="004E02D2" w:rsidRPr="004E02D2" w:rsidRDefault="00376B4D" w:rsidP="004E02D2">
      <w:pPr>
        <w:pStyle w:val="TOC2"/>
        <w:rPr>
          <w:rFonts w:ascii="Verdana" w:eastAsiaTheme="minorEastAsia" w:hAnsi="Verdana" w:cstheme="minorBidi"/>
          <w:noProof/>
          <w:kern w:val="2"/>
          <w:sz w:val="22"/>
          <w:szCs w:val="22"/>
          <w14:ligatures w14:val="standardContextual"/>
        </w:rPr>
      </w:pPr>
      <w:r w:rsidRPr="005B6F46">
        <w:rPr>
          <w:rFonts w:ascii="Verdana" w:hAnsi="Verdana" w:cs="Arial"/>
          <w:b/>
        </w:rPr>
        <w:fldChar w:fldCharType="begin"/>
      </w:r>
      <w:r w:rsidRPr="005B6F46">
        <w:rPr>
          <w:rFonts w:ascii="Verdana" w:hAnsi="Verdana" w:cs="Arial"/>
          <w:b/>
        </w:rPr>
        <w:instrText xml:space="preserve"> TOC \o "2-3" \n \p " " \h \z \u </w:instrText>
      </w:r>
      <w:r w:rsidRPr="005B6F46">
        <w:rPr>
          <w:rFonts w:ascii="Verdana" w:hAnsi="Verdana" w:cs="Arial"/>
          <w:b/>
        </w:rPr>
        <w:fldChar w:fldCharType="separate"/>
      </w:r>
      <w:hyperlink w:anchor="_Toc170897959" w:history="1">
        <w:r w:rsidR="004E02D2" w:rsidRPr="004E02D2">
          <w:rPr>
            <w:rStyle w:val="Hyperlink"/>
            <w:rFonts w:ascii="Verdana" w:hAnsi="Verdana"/>
            <w:noProof/>
          </w:rPr>
          <w:t>High Level Process</w:t>
        </w:r>
      </w:hyperlink>
    </w:p>
    <w:p w14:paraId="413253D5" w14:textId="240119D2" w:rsidR="004E02D2" w:rsidRPr="004E02D2" w:rsidRDefault="004E02D2" w:rsidP="004E02D2">
      <w:pPr>
        <w:pStyle w:val="TOC2"/>
        <w:rPr>
          <w:rFonts w:ascii="Verdana" w:eastAsiaTheme="minorEastAsia" w:hAnsi="Verdana" w:cstheme="minorBidi"/>
          <w:noProof/>
          <w:kern w:val="2"/>
          <w:sz w:val="22"/>
          <w:szCs w:val="22"/>
          <w14:ligatures w14:val="standardContextual"/>
        </w:rPr>
      </w:pPr>
      <w:hyperlink w:anchor="_Toc170897960" w:history="1">
        <w:r w:rsidRPr="004E02D2">
          <w:rPr>
            <w:rStyle w:val="Hyperlink"/>
            <w:rFonts w:ascii="Verdana" w:hAnsi="Verdana"/>
            <w:noProof/>
          </w:rPr>
          <w:t>Process - CCR</w:t>
        </w:r>
      </w:hyperlink>
    </w:p>
    <w:p w14:paraId="42C6E1F4" w14:textId="456A9F8C" w:rsidR="004E02D2" w:rsidRPr="004E02D2" w:rsidRDefault="004E02D2" w:rsidP="004E02D2">
      <w:pPr>
        <w:pStyle w:val="TOC2"/>
        <w:rPr>
          <w:rFonts w:ascii="Verdana" w:eastAsiaTheme="minorEastAsia" w:hAnsi="Verdana" w:cstheme="minorBidi"/>
          <w:noProof/>
          <w:kern w:val="2"/>
          <w:sz w:val="22"/>
          <w:szCs w:val="22"/>
          <w14:ligatures w14:val="standardContextual"/>
        </w:rPr>
      </w:pPr>
      <w:hyperlink w:anchor="_Toc170897961" w:history="1">
        <w:r w:rsidRPr="004E02D2">
          <w:rPr>
            <w:rStyle w:val="Hyperlink"/>
            <w:rFonts w:ascii="Verdana" w:hAnsi="Verdana"/>
            <w:noProof/>
          </w:rPr>
          <w:t>Related Documents</w:t>
        </w:r>
      </w:hyperlink>
    </w:p>
    <w:p w14:paraId="5444DC1A" w14:textId="05B421E0" w:rsidR="00376B4D" w:rsidRPr="005D3F01" w:rsidRDefault="00376B4D" w:rsidP="00376B4D">
      <w:pPr>
        <w:rPr>
          <w:rFonts w:ascii="Verdana" w:hAnsi="Verdana" w:cs="Arial"/>
          <w:bCs/>
          <w:sz w:val="22"/>
          <w:szCs w:val="22"/>
        </w:rPr>
      </w:pPr>
      <w:r w:rsidRPr="005B6F46">
        <w:rPr>
          <w:rFonts w:ascii="Verdana" w:hAnsi="Verdana" w:cs="Arial"/>
          <w:b/>
        </w:rPr>
        <w:fldChar w:fldCharType="end"/>
      </w:r>
    </w:p>
    <w:p w14:paraId="70BCB0FA" w14:textId="77777777" w:rsidR="005D3F01" w:rsidRPr="005D3F01" w:rsidRDefault="005D3F01" w:rsidP="00376B4D">
      <w:pPr>
        <w:rPr>
          <w:rFonts w:ascii="Verdana" w:hAnsi="Verdana" w:cs="Arial"/>
          <w:bCs/>
          <w:sz w:val="22"/>
          <w:szCs w:val="22"/>
        </w:rPr>
      </w:pPr>
    </w:p>
    <w:p w14:paraId="11DE575E" w14:textId="4A1AD522" w:rsidR="00376B4D" w:rsidRPr="005D3F01" w:rsidRDefault="00376B4D" w:rsidP="00376B4D">
      <w:pPr>
        <w:rPr>
          <w:rFonts w:ascii="Verdana" w:hAnsi="Verdana"/>
        </w:rPr>
      </w:pPr>
      <w:r w:rsidRPr="0066687F">
        <w:rPr>
          <w:rFonts w:ascii="Verdana" w:hAnsi="Verdana" w:cs="Arial"/>
          <w:b/>
        </w:rPr>
        <w:t xml:space="preserve">Description:  </w:t>
      </w:r>
      <w:bookmarkStart w:id="8" w:name="OLE_LINK6"/>
      <w:r w:rsidR="00AF3238">
        <w:rPr>
          <w:rFonts w:ascii="Verdana" w:hAnsi="Verdana" w:cs="Arial"/>
          <w:bCs/>
        </w:rPr>
        <w:t>O</w:t>
      </w:r>
      <w:r w:rsidRPr="0066687F">
        <w:rPr>
          <w:rFonts w:ascii="Verdana" w:hAnsi="Verdana" w:cs="Arial"/>
        </w:rPr>
        <w:t>verview and guidelines to Customer Care personnel for sending allegations of potential fraud, waste and abuse to the designated Fraud Waste</w:t>
      </w:r>
      <w:r w:rsidRPr="005D3F01">
        <w:rPr>
          <w:rFonts w:ascii="Verdana" w:hAnsi="Verdana" w:cs="Arial"/>
        </w:rPr>
        <w:t xml:space="preserve"> and Abuse (FWA) program. COMPLIANCE IS MANDATORY!</w:t>
      </w:r>
    </w:p>
    <w:bookmarkEnd w:id="8"/>
    <w:p w14:paraId="19CA5E08" w14:textId="77777777" w:rsidR="00376B4D" w:rsidRPr="005D3F01" w:rsidRDefault="00376B4D" w:rsidP="009B7540">
      <w:pPr>
        <w:rPr>
          <w:rFonts w:ascii="Verdana" w:hAnsi="Verdana"/>
        </w:rPr>
      </w:pPr>
    </w:p>
    <w:tbl>
      <w:tblPr>
        <w:tblW w:w="5000" w:type="pct"/>
        <w:jc w:val="center"/>
        <w:tblCellMar>
          <w:top w:w="173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620"/>
        <w:gridCol w:w="5294"/>
      </w:tblGrid>
      <w:tr w:rsidR="00A5652B" w14:paraId="4D33481F" w14:textId="77777777" w:rsidTr="00333BA7">
        <w:trPr>
          <w:trHeight w:val="529"/>
          <w:jc w:val="center"/>
        </w:trPr>
        <w:tc>
          <w:tcPr>
            <w:tcW w:w="17999" w:type="dxa"/>
            <w:gridSpan w:val="2"/>
            <w:tcBorders>
              <w:top w:val="single" w:sz="18" w:space="0" w:color="FFC000"/>
              <w:left w:val="single" w:sz="18" w:space="0" w:color="FFC000"/>
              <w:right w:val="single" w:sz="18" w:space="0" w:color="FFC000"/>
            </w:tcBorders>
            <w:shd w:val="clear" w:color="auto" w:fill="FFC000"/>
          </w:tcPr>
          <w:p w14:paraId="03862B2E" w14:textId="53B7F98A" w:rsidR="00A5652B" w:rsidRPr="00D6562C" w:rsidRDefault="00A5652B" w:rsidP="003E277C">
            <w:pPr>
              <w:pStyle w:val="Heading2"/>
              <w:spacing w:before="120" w:after="120"/>
              <w:rPr>
                <w:sz w:val="16"/>
                <w:szCs w:val="16"/>
              </w:rPr>
            </w:pPr>
            <w:bookmarkStart w:id="9" w:name="_High_Level_Process"/>
            <w:bookmarkStart w:id="10" w:name="_Toc11514557"/>
            <w:bookmarkStart w:id="11" w:name="_Toc23407256"/>
            <w:bookmarkStart w:id="12" w:name="_Toc170897959"/>
            <w:bookmarkEnd w:id="9"/>
            <w:r w:rsidRPr="00D6562C">
              <w:t>High Level Process</w:t>
            </w:r>
            <w:bookmarkEnd w:id="10"/>
            <w:bookmarkEnd w:id="11"/>
            <w:bookmarkEnd w:id="12"/>
          </w:p>
        </w:tc>
      </w:tr>
      <w:tr w:rsidR="00A5652B" w14:paraId="52BC5619" w14:textId="77777777" w:rsidTr="00333BA7">
        <w:trPr>
          <w:jc w:val="center"/>
        </w:trPr>
        <w:tc>
          <w:tcPr>
            <w:tcW w:w="10665" w:type="dxa"/>
            <w:tcBorders>
              <w:left w:val="single" w:sz="18" w:space="0" w:color="FFC000"/>
            </w:tcBorders>
            <w:shd w:val="clear" w:color="auto" w:fill="auto"/>
          </w:tcPr>
          <w:p w14:paraId="4362A0E2" w14:textId="77777777" w:rsidR="00A5652B" w:rsidRPr="00A22A67" w:rsidRDefault="00A5652B" w:rsidP="00F029A8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Style w:val="Hyperlink"/>
                <w:rFonts w:ascii="Verdana" w:hAnsi="Verdana"/>
                <w:b/>
                <w:color w:val="auto"/>
                <w:sz w:val="28"/>
                <w:szCs w:val="28"/>
                <w:u w:val="none"/>
              </w:rPr>
            </w:pPr>
            <w:hyperlink w:anchor="ProcessStep1" w:history="1">
              <w:r w:rsidRPr="00A22A67">
                <w:rPr>
                  <w:rStyle w:val="Hyperlink"/>
                  <w:rFonts w:ascii="Verdana" w:hAnsi="Verdana"/>
                  <w:b/>
                  <w:sz w:val="28"/>
                  <w:szCs w:val="28"/>
                </w:rPr>
                <w:t>Determine</w:t>
              </w:r>
            </w:hyperlink>
            <w:r w:rsidRPr="00A22A67">
              <w:rPr>
                <w:rStyle w:val="Hyperlink"/>
                <w:rFonts w:ascii="Verdana" w:hAnsi="Verdana"/>
                <w:b/>
                <w:color w:val="auto"/>
                <w:sz w:val="28"/>
                <w:szCs w:val="28"/>
                <w:u w:val="none"/>
              </w:rPr>
              <w:t xml:space="preserve"> if the issue </w:t>
            </w:r>
            <w:r w:rsidR="00D16959" w:rsidRPr="00A22A67">
              <w:rPr>
                <w:rStyle w:val="Hyperlink"/>
                <w:rFonts w:ascii="Verdana" w:hAnsi="Verdana"/>
                <w:b/>
                <w:color w:val="auto"/>
                <w:sz w:val="28"/>
                <w:szCs w:val="28"/>
                <w:u w:val="none"/>
              </w:rPr>
              <w:t>may be</w:t>
            </w:r>
            <w:r w:rsidRPr="00A22A67">
              <w:rPr>
                <w:rStyle w:val="Hyperlink"/>
                <w:rFonts w:ascii="Verdana" w:hAnsi="Verdana"/>
                <w:b/>
                <w:color w:val="auto"/>
                <w:sz w:val="28"/>
                <w:szCs w:val="28"/>
                <w:u w:val="none"/>
              </w:rPr>
              <w:t xml:space="preserve"> due to a billing or processing error.</w:t>
            </w:r>
          </w:p>
          <w:p w14:paraId="39C2CCDA" w14:textId="77777777" w:rsidR="00A5652B" w:rsidRPr="00A22A67" w:rsidRDefault="00A5652B" w:rsidP="00F029A8">
            <w:pPr>
              <w:pStyle w:val="ListParagraph"/>
              <w:numPr>
                <w:ilvl w:val="0"/>
                <w:numId w:val="14"/>
              </w:numPr>
              <w:ind w:left="720"/>
              <w:contextualSpacing w:val="0"/>
              <w:rPr>
                <w:rFonts w:ascii="Verdana" w:hAnsi="Verdana"/>
              </w:rPr>
            </w:pPr>
            <w:r w:rsidRPr="00A22A67">
              <w:rPr>
                <w:rFonts w:ascii="Verdana" w:hAnsi="Verdana"/>
              </w:rPr>
              <w:t>If billing or process error, contact the pharmacy and verify the beneficiary information and if applicable have them reverse and reprocess the claim.</w:t>
            </w:r>
          </w:p>
          <w:p w14:paraId="01399D5E" w14:textId="77777777" w:rsidR="00A5652B" w:rsidRPr="00A22A67" w:rsidRDefault="00A5652B" w:rsidP="00376B4D">
            <w:pPr>
              <w:pStyle w:val="ListParagraph"/>
              <w:numPr>
                <w:ilvl w:val="0"/>
                <w:numId w:val="14"/>
              </w:numPr>
              <w:ind w:left="720"/>
              <w:contextualSpacing w:val="0"/>
              <w:rPr>
                <w:rFonts w:ascii="Verdana" w:hAnsi="Verdana"/>
              </w:rPr>
            </w:pPr>
            <w:r w:rsidRPr="00A22A67">
              <w:rPr>
                <w:rFonts w:ascii="Verdana" w:hAnsi="Verdana"/>
              </w:rPr>
              <w:t>If unable to find billing or process error, proceed to next step.</w:t>
            </w:r>
          </w:p>
        </w:tc>
        <w:tc>
          <w:tcPr>
            <w:tcW w:w="7334" w:type="dxa"/>
            <w:tcBorders>
              <w:right w:val="single" w:sz="18" w:space="0" w:color="FFC000"/>
            </w:tcBorders>
            <w:shd w:val="clear" w:color="auto" w:fill="FFF2CC"/>
          </w:tcPr>
          <w:p w14:paraId="66EC1A57" w14:textId="77777777" w:rsidR="00D16959" w:rsidRPr="00376B4D" w:rsidRDefault="005C370A" w:rsidP="00D16959">
            <w:pPr>
              <w:rPr>
                <w:rStyle w:val="Hyperlink"/>
                <w:rFonts w:ascii="Verdana" w:hAnsi="Verdana"/>
                <w:color w:val="auto"/>
                <w:sz w:val="20"/>
                <w:szCs w:val="20"/>
                <w:u w:val="none"/>
              </w:rPr>
            </w:pPr>
            <w:r w:rsidRPr="005C370A">
              <w:rPr>
                <w:rStyle w:val="Hyperlink"/>
                <w:rFonts w:ascii="Verdana" w:hAnsi="Verdana"/>
                <w:b/>
                <w:color w:val="auto"/>
                <w:sz w:val="20"/>
                <w:szCs w:val="20"/>
                <w:u w:val="none"/>
              </w:rPr>
              <w:t>Reminder</w:t>
            </w:r>
            <w:r w:rsidR="00D16959" w:rsidRPr="005C370A">
              <w:rPr>
                <w:rStyle w:val="Hyperlink"/>
                <w:rFonts w:ascii="Verdana" w:hAnsi="Verdana"/>
                <w:b/>
                <w:color w:val="auto"/>
                <w:sz w:val="20"/>
                <w:szCs w:val="20"/>
                <w:u w:val="none"/>
              </w:rPr>
              <w:t>:</w:t>
            </w:r>
            <w:r w:rsidR="00D16959" w:rsidRPr="00376B4D">
              <w:rPr>
                <w:rStyle w:val="Hyperlink"/>
                <w:rFonts w:ascii="Verdana" w:hAnsi="Verdana"/>
                <w:color w:val="auto"/>
                <w:sz w:val="20"/>
                <w:szCs w:val="20"/>
                <w:u w:val="none"/>
              </w:rPr>
              <w:t xml:space="preserve">  The FWA department would rather receive issues which are not FWA than letting a true FWA issue pass by without investigation.</w:t>
            </w:r>
          </w:p>
          <w:p w14:paraId="0ABB691E" w14:textId="113A1534" w:rsidR="00D16959" w:rsidRPr="00376B4D" w:rsidRDefault="00D16959" w:rsidP="00F029A8">
            <w:pPr>
              <w:numPr>
                <w:ilvl w:val="0"/>
                <w:numId w:val="16"/>
              </w:numPr>
              <w:rPr>
                <w:rStyle w:val="Hyperlink"/>
                <w:rFonts w:ascii="Verdana" w:hAnsi="Verdana"/>
                <w:color w:val="auto"/>
                <w:sz w:val="20"/>
                <w:szCs w:val="20"/>
              </w:rPr>
            </w:pPr>
            <w:r w:rsidRPr="00376B4D">
              <w:rPr>
                <w:rStyle w:val="Hyperlink"/>
                <w:rFonts w:ascii="Verdana" w:hAnsi="Verdana"/>
                <w:color w:val="auto"/>
                <w:sz w:val="20"/>
                <w:szCs w:val="20"/>
                <w:u w:val="none"/>
              </w:rPr>
              <w:t>FWA issues SHOULD NOT be sent to CVS Caremark Security.</w:t>
            </w:r>
          </w:p>
        </w:tc>
      </w:tr>
      <w:tr w:rsidR="00A5652B" w14:paraId="1E90F6CD" w14:textId="77777777" w:rsidTr="00333BA7">
        <w:trPr>
          <w:jc w:val="center"/>
        </w:trPr>
        <w:tc>
          <w:tcPr>
            <w:tcW w:w="10665" w:type="dxa"/>
            <w:tcBorders>
              <w:left w:val="single" w:sz="18" w:space="0" w:color="FFC000"/>
            </w:tcBorders>
            <w:shd w:val="clear" w:color="auto" w:fill="auto"/>
          </w:tcPr>
          <w:p w14:paraId="1E3FF1BF" w14:textId="77777777" w:rsidR="00A5652B" w:rsidRPr="00376B4D" w:rsidRDefault="00A5652B" w:rsidP="00376B4D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Fonts w:ascii="Verdana" w:hAnsi="Verdana"/>
                <w:b/>
                <w:sz w:val="28"/>
                <w:szCs w:val="28"/>
              </w:rPr>
            </w:pPr>
            <w:hyperlink w:anchor="ProcessStep2" w:history="1">
              <w:r w:rsidRPr="00A22A67">
                <w:rPr>
                  <w:rStyle w:val="Hyperlink"/>
                  <w:rFonts w:ascii="Verdana" w:hAnsi="Verdana"/>
                  <w:b/>
                  <w:sz w:val="28"/>
                  <w:szCs w:val="28"/>
                </w:rPr>
                <w:t>Address</w:t>
              </w:r>
            </w:hyperlink>
            <w:r w:rsidRPr="00A22A67">
              <w:rPr>
                <w:rStyle w:val="Hyperlink"/>
                <w:rFonts w:ascii="Verdana" w:hAnsi="Verdana"/>
                <w:b/>
                <w:color w:val="auto"/>
                <w:sz w:val="28"/>
                <w:szCs w:val="28"/>
                <w:u w:val="none"/>
              </w:rPr>
              <w:t xml:space="preserve"> beneficiary’s issue per current </w:t>
            </w:r>
            <w:r w:rsidR="00A22A67" w:rsidRPr="00A22A67">
              <w:rPr>
                <w:rStyle w:val="Hyperlink"/>
                <w:rFonts w:ascii="Verdana" w:hAnsi="Verdana"/>
                <w:b/>
                <w:color w:val="auto"/>
                <w:sz w:val="28"/>
                <w:szCs w:val="28"/>
                <w:u w:val="none"/>
              </w:rPr>
              <w:t>policies</w:t>
            </w:r>
            <w:r w:rsidRPr="00A22A67">
              <w:rPr>
                <w:rStyle w:val="Hyperlink"/>
                <w:rFonts w:ascii="Verdana" w:hAnsi="Verdana"/>
                <w:b/>
                <w:color w:val="auto"/>
                <w:sz w:val="28"/>
                <w:szCs w:val="28"/>
                <w:u w:val="none"/>
              </w:rPr>
              <w:t xml:space="preserve"> and procedures.</w:t>
            </w:r>
          </w:p>
        </w:tc>
        <w:tc>
          <w:tcPr>
            <w:tcW w:w="7334" w:type="dxa"/>
            <w:tcBorders>
              <w:right w:val="single" w:sz="18" w:space="0" w:color="FFC000"/>
            </w:tcBorders>
            <w:shd w:val="clear" w:color="auto" w:fill="FFF2CC"/>
          </w:tcPr>
          <w:p w14:paraId="642C9D07" w14:textId="5EEBA105" w:rsidR="00A5652B" w:rsidRPr="00376B4D" w:rsidRDefault="00E042BE" w:rsidP="00F029A8">
            <w:pPr>
              <w:rPr>
                <w:rStyle w:val="Hyperlink"/>
                <w:rFonts w:ascii="Verdana" w:hAnsi="Verdana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7224F433" wp14:editId="272C05EA">
                  <wp:extent cx="233680" cy="212725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21A5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A5652B" w:rsidRPr="00376B4D">
              <w:rPr>
                <w:rFonts w:ascii="Verdana" w:hAnsi="Verdana"/>
                <w:sz w:val="20"/>
                <w:szCs w:val="20"/>
              </w:rPr>
              <w:t>DO NOT indicate to the beneficiary that Fraud, Waste or Abuse is suspected.</w:t>
            </w:r>
          </w:p>
        </w:tc>
      </w:tr>
      <w:tr w:rsidR="005D3F01" w14:paraId="67B0C1FF" w14:textId="77777777" w:rsidTr="00333BA7">
        <w:trPr>
          <w:jc w:val="center"/>
        </w:trPr>
        <w:tc>
          <w:tcPr>
            <w:tcW w:w="17999" w:type="dxa"/>
            <w:gridSpan w:val="2"/>
            <w:tcBorders>
              <w:left w:val="single" w:sz="18" w:space="0" w:color="FFC000"/>
              <w:right w:val="single" w:sz="18" w:space="0" w:color="FFC000"/>
            </w:tcBorders>
            <w:shd w:val="clear" w:color="auto" w:fill="auto"/>
          </w:tcPr>
          <w:p w14:paraId="3A58E779" w14:textId="77777777" w:rsidR="005D3F01" w:rsidRDefault="005D3F01" w:rsidP="00F029A8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Style w:val="Hyperlink"/>
                <w:rFonts w:ascii="Verdana" w:hAnsi="Verdana"/>
                <w:b/>
                <w:color w:val="auto"/>
                <w:sz w:val="28"/>
                <w:szCs w:val="28"/>
                <w:u w:val="none"/>
              </w:rPr>
            </w:pPr>
            <w:hyperlink w:anchor="ProcessStep3" w:history="1">
              <w:r w:rsidRPr="00A22A67">
                <w:rPr>
                  <w:rStyle w:val="Hyperlink"/>
                  <w:rFonts w:ascii="Verdana" w:hAnsi="Verdana"/>
                  <w:b/>
                  <w:sz w:val="28"/>
                  <w:szCs w:val="28"/>
                </w:rPr>
                <w:t>Determine</w:t>
              </w:r>
            </w:hyperlink>
            <w:r w:rsidRPr="00A22A67">
              <w:rPr>
                <w:rStyle w:val="Hyperlink"/>
                <w:rFonts w:ascii="Verdana" w:hAnsi="Verdana"/>
                <w:b/>
                <w:color w:val="auto"/>
                <w:sz w:val="28"/>
                <w:szCs w:val="28"/>
                <w:u w:val="none"/>
              </w:rPr>
              <w:t xml:space="preserve"> the client specific process for Fraud, Waste or Abuse.</w:t>
            </w:r>
          </w:p>
          <w:p w14:paraId="0B0C8C50" w14:textId="5C67E776" w:rsidR="00121A56" w:rsidRPr="00121A56" w:rsidRDefault="005D75ED" w:rsidP="00121A56">
            <w:pPr>
              <w:numPr>
                <w:ilvl w:val="0"/>
                <w:numId w:val="37"/>
              </w:numPr>
              <w:rPr>
                <w:rFonts w:ascii="Verdana" w:hAnsi="Verdana" w:cs="Calibri"/>
              </w:rPr>
            </w:pPr>
            <w:r w:rsidRPr="00121A56">
              <w:rPr>
                <w:rFonts w:ascii="Verdana" w:hAnsi="Verdana"/>
                <w:bCs/>
              </w:rPr>
              <w:t xml:space="preserve">Currently there are </w:t>
            </w:r>
            <w:r w:rsidR="000A439C">
              <w:rPr>
                <w:rFonts w:ascii="Verdana" w:hAnsi="Verdana"/>
                <w:bCs/>
              </w:rPr>
              <w:t>6</w:t>
            </w:r>
            <w:r w:rsidRPr="00121A56">
              <w:rPr>
                <w:rFonts w:ascii="Verdana" w:hAnsi="Verdana"/>
                <w:bCs/>
              </w:rPr>
              <w:t xml:space="preserve"> Clients enrolled</w:t>
            </w:r>
            <w:r w:rsidR="00121A56" w:rsidRPr="00121A56">
              <w:rPr>
                <w:rFonts w:ascii="Verdana" w:hAnsi="Verdana"/>
                <w:bCs/>
              </w:rPr>
              <w:t>:</w:t>
            </w:r>
          </w:p>
          <w:p w14:paraId="12C4E839" w14:textId="57FC4D8D" w:rsidR="00121A56" w:rsidRPr="00121A56" w:rsidRDefault="005D75ED" w:rsidP="00121A56">
            <w:pPr>
              <w:numPr>
                <w:ilvl w:val="1"/>
                <w:numId w:val="37"/>
              </w:numPr>
              <w:rPr>
                <w:rFonts w:ascii="Verdana" w:hAnsi="Verdana" w:cs="Calibri"/>
              </w:rPr>
            </w:pPr>
            <w:bookmarkStart w:id="13" w:name="OLE_LINK1"/>
            <w:r w:rsidRPr="00121A56">
              <w:rPr>
                <w:rFonts w:ascii="Verdana" w:hAnsi="Verdana"/>
              </w:rPr>
              <w:t>BCBST</w:t>
            </w:r>
          </w:p>
          <w:p w14:paraId="24036857" w14:textId="77777777" w:rsidR="00121A56" w:rsidRPr="00121A56" w:rsidRDefault="005D75ED" w:rsidP="00121A56">
            <w:pPr>
              <w:numPr>
                <w:ilvl w:val="1"/>
                <w:numId w:val="37"/>
              </w:numPr>
              <w:rPr>
                <w:rFonts w:ascii="Verdana" w:hAnsi="Verdana" w:cs="Calibri"/>
              </w:rPr>
            </w:pPr>
            <w:r w:rsidRPr="00121A56">
              <w:rPr>
                <w:rFonts w:ascii="Verdana" w:hAnsi="Verdana"/>
              </w:rPr>
              <w:t>Natl Railroad (Amtrak)</w:t>
            </w:r>
          </w:p>
          <w:p w14:paraId="44548037" w14:textId="77777777" w:rsidR="009B621D" w:rsidRPr="009B621D" w:rsidRDefault="00121A56" w:rsidP="002260C2">
            <w:pPr>
              <w:numPr>
                <w:ilvl w:val="1"/>
                <w:numId w:val="37"/>
              </w:numPr>
              <w:rPr>
                <w:rFonts w:ascii="Verdana" w:hAnsi="Verdana"/>
                <w:b/>
                <w:sz w:val="28"/>
                <w:szCs w:val="28"/>
              </w:rPr>
            </w:pPr>
            <w:r w:rsidRPr="00121A56">
              <w:rPr>
                <w:rFonts w:ascii="Verdana" w:hAnsi="Verdana"/>
              </w:rPr>
              <w:t>C</w:t>
            </w:r>
            <w:r w:rsidR="005D75ED" w:rsidRPr="00121A56">
              <w:rPr>
                <w:rFonts w:ascii="Verdana" w:hAnsi="Verdana"/>
              </w:rPr>
              <w:t xml:space="preserve">harter </w:t>
            </w:r>
            <w:bookmarkEnd w:id="13"/>
            <w:r w:rsidR="005D75ED" w:rsidRPr="00121A56">
              <w:rPr>
                <w:rFonts w:ascii="Verdana" w:hAnsi="Verdana"/>
              </w:rPr>
              <w:t>Communications</w:t>
            </w:r>
          </w:p>
          <w:p w14:paraId="67506963" w14:textId="041785F2" w:rsidR="009B621D" w:rsidRPr="009B621D" w:rsidRDefault="00892850" w:rsidP="002260C2">
            <w:pPr>
              <w:numPr>
                <w:ilvl w:val="1"/>
                <w:numId w:val="37"/>
              </w:numPr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</w:rPr>
              <w:t>UMWA</w:t>
            </w:r>
          </w:p>
          <w:p w14:paraId="40416C7C" w14:textId="67706092" w:rsidR="005D75ED" w:rsidRPr="0058423F" w:rsidRDefault="00892850" w:rsidP="002260C2">
            <w:pPr>
              <w:numPr>
                <w:ilvl w:val="1"/>
                <w:numId w:val="37"/>
              </w:numPr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</w:rPr>
              <w:t>GEHA</w:t>
            </w:r>
          </w:p>
          <w:p w14:paraId="0ED551E9" w14:textId="5FAAD2AB" w:rsidR="0058423F" w:rsidRPr="0058423F" w:rsidRDefault="00333BA7" w:rsidP="0058423F">
            <w:pPr>
              <w:numPr>
                <w:ilvl w:val="1"/>
                <w:numId w:val="37"/>
              </w:numPr>
              <w:rPr>
                <w:rFonts w:ascii="Verdana" w:hAnsi="Verdana"/>
                <w:bCs/>
              </w:rPr>
            </w:pPr>
            <w:r>
              <w:rPr>
                <w:noProof/>
              </w:rPr>
              <w:drawing>
                <wp:inline distT="0" distB="0" distL="0" distR="0" wp14:anchorId="020DFFC4" wp14:editId="6E19A21F">
                  <wp:extent cx="304762" cy="304762"/>
                  <wp:effectExtent l="0" t="0" r="635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Cs/>
              </w:rPr>
              <w:t xml:space="preserve"> </w:t>
            </w:r>
            <w:r w:rsidR="0058423F" w:rsidRPr="0058423F">
              <w:rPr>
                <w:rFonts w:ascii="Verdana" w:hAnsi="Verdana"/>
                <w:bCs/>
              </w:rPr>
              <w:t>Warrior Met Coal (WMC)</w:t>
            </w:r>
          </w:p>
          <w:p w14:paraId="28B414DD" w14:textId="609875AF" w:rsidR="0058423F" w:rsidRPr="0058423F" w:rsidRDefault="00333BA7" w:rsidP="0058423F">
            <w:pPr>
              <w:numPr>
                <w:ilvl w:val="1"/>
                <w:numId w:val="37"/>
              </w:numPr>
              <w:rPr>
                <w:rFonts w:ascii="Verdana" w:hAnsi="Verdana"/>
                <w:bCs/>
              </w:rPr>
            </w:pPr>
            <w:r>
              <w:rPr>
                <w:noProof/>
              </w:rPr>
              <w:drawing>
                <wp:inline distT="0" distB="0" distL="0" distR="0" wp14:anchorId="374577AB" wp14:editId="7F0C9E54">
                  <wp:extent cx="304762" cy="304762"/>
                  <wp:effectExtent l="0" t="0" r="635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Cs/>
              </w:rPr>
              <w:t xml:space="preserve"> </w:t>
            </w:r>
            <w:r w:rsidR="0058423F" w:rsidRPr="0058423F">
              <w:rPr>
                <w:rFonts w:ascii="Verdana" w:hAnsi="Verdana"/>
                <w:bCs/>
              </w:rPr>
              <w:t>CountyCare</w:t>
            </w:r>
          </w:p>
          <w:p w14:paraId="2F804A57" w14:textId="3DE7BDA9" w:rsidR="0058423F" w:rsidRPr="002260C2" w:rsidRDefault="00333BA7" w:rsidP="0058423F">
            <w:pPr>
              <w:numPr>
                <w:ilvl w:val="1"/>
                <w:numId w:val="37"/>
              </w:numPr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4AE2023" wp14:editId="3713B3D6">
                  <wp:extent cx="304762" cy="304762"/>
                  <wp:effectExtent l="0" t="0" r="635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Cs/>
              </w:rPr>
              <w:t xml:space="preserve"> </w:t>
            </w:r>
            <w:r w:rsidR="0058423F" w:rsidRPr="0058423F">
              <w:rPr>
                <w:rFonts w:ascii="Verdana" w:hAnsi="Verdana"/>
                <w:bCs/>
              </w:rPr>
              <w:t>1199 SEIU</w:t>
            </w:r>
          </w:p>
        </w:tc>
      </w:tr>
      <w:tr w:rsidR="00A5652B" w14:paraId="7421BD80" w14:textId="77777777" w:rsidTr="00333BA7">
        <w:trPr>
          <w:trHeight w:val="457"/>
          <w:jc w:val="center"/>
        </w:trPr>
        <w:tc>
          <w:tcPr>
            <w:tcW w:w="10665" w:type="dxa"/>
            <w:tcBorders>
              <w:left w:val="single" w:sz="18" w:space="0" w:color="FFC000"/>
              <w:bottom w:val="single" w:sz="18" w:space="0" w:color="FFC000"/>
            </w:tcBorders>
            <w:shd w:val="clear" w:color="auto" w:fill="auto"/>
          </w:tcPr>
          <w:p w14:paraId="030F3E0A" w14:textId="77777777" w:rsidR="00A5652B" w:rsidRPr="00376B4D" w:rsidRDefault="00265E17" w:rsidP="00376B4D">
            <w:pPr>
              <w:pStyle w:val="ListParagraph"/>
              <w:numPr>
                <w:ilvl w:val="0"/>
                <w:numId w:val="15"/>
              </w:numPr>
              <w:contextualSpacing w:val="0"/>
              <w:rPr>
                <w:rStyle w:val="Hyperlink"/>
                <w:rFonts w:ascii="Verdana" w:hAnsi="Verdana"/>
                <w:b/>
                <w:color w:val="auto"/>
                <w:sz w:val="28"/>
                <w:szCs w:val="28"/>
                <w:u w:val="none"/>
              </w:rPr>
            </w:pPr>
            <w:hyperlink w:anchor="ProcessStep6" w:history="1">
              <w:r>
                <w:rPr>
                  <w:rStyle w:val="Hyperlink"/>
                  <w:rFonts w:ascii="Verdana" w:hAnsi="Verdana"/>
                  <w:b/>
                  <w:sz w:val="28"/>
                  <w:szCs w:val="28"/>
                </w:rPr>
                <w:t>Transfer</w:t>
              </w:r>
            </w:hyperlink>
            <w:r w:rsidR="00D16959" w:rsidRPr="00A22A67">
              <w:rPr>
                <w:rStyle w:val="Hyperlink"/>
                <w:rFonts w:ascii="Verdana" w:hAnsi="Verdana"/>
                <w:b/>
                <w:color w:val="auto"/>
                <w:sz w:val="28"/>
                <w:szCs w:val="28"/>
                <w:u w:val="none"/>
              </w:rPr>
              <w:t xml:space="preserve"> the call to the Senior Team.</w:t>
            </w:r>
          </w:p>
        </w:tc>
        <w:tc>
          <w:tcPr>
            <w:tcW w:w="7334" w:type="dxa"/>
            <w:tcBorders>
              <w:bottom w:val="single" w:sz="18" w:space="0" w:color="FFC000"/>
              <w:right w:val="single" w:sz="18" w:space="0" w:color="FFC000"/>
            </w:tcBorders>
            <w:shd w:val="clear" w:color="auto" w:fill="FFF2CC"/>
          </w:tcPr>
          <w:p w14:paraId="7ACBB668" w14:textId="66AABBA2" w:rsidR="00A5652B" w:rsidRPr="00040C00" w:rsidRDefault="00A5652B" w:rsidP="00A22A67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</w:tbl>
    <w:p w14:paraId="4D6FC2DF" w14:textId="77777777" w:rsidR="000D43F0" w:rsidRDefault="000D43F0" w:rsidP="009B7540">
      <w:pPr>
        <w:rPr>
          <w:rFonts w:ascii="Verdana" w:hAnsi="Verdana"/>
        </w:rPr>
      </w:pPr>
    </w:p>
    <w:p w14:paraId="5393CA17" w14:textId="57AE0AD6" w:rsidR="007A2203" w:rsidRPr="00CA56C6" w:rsidRDefault="007A2203" w:rsidP="00A22A67">
      <w:pPr>
        <w:jc w:val="right"/>
        <w:rPr>
          <w:rFonts w:ascii="Verdana" w:hAnsi="Verdana"/>
        </w:rPr>
      </w:pPr>
      <w:hyperlink w:anchor="_top" w:history="1">
        <w:r w:rsidRPr="00A043E8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7A2203" w:rsidRPr="00CA56C6" w14:paraId="4CA463A3" w14:textId="77777777" w:rsidTr="007008AC">
        <w:tc>
          <w:tcPr>
            <w:tcW w:w="5000" w:type="pct"/>
            <w:shd w:val="clear" w:color="auto" w:fill="C0C0C0"/>
          </w:tcPr>
          <w:p w14:paraId="67BCAF77" w14:textId="27D8E6F7" w:rsidR="007A2203" w:rsidRPr="003E277C" w:rsidRDefault="007A2203" w:rsidP="003E277C">
            <w:pPr>
              <w:pStyle w:val="Heading2"/>
              <w:spacing w:before="120" w:after="120"/>
            </w:pPr>
            <w:bookmarkStart w:id="14" w:name="_Process_–_Regular"/>
            <w:bookmarkStart w:id="15" w:name="_Toc23407257"/>
            <w:bookmarkStart w:id="16" w:name="_Toc170897960"/>
            <w:bookmarkEnd w:id="14"/>
            <w:r w:rsidRPr="003E277C">
              <w:t xml:space="preserve">Process </w:t>
            </w:r>
            <w:r w:rsidR="005C370A" w:rsidRPr="003E277C">
              <w:t xml:space="preserve">- </w:t>
            </w:r>
            <w:r w:rsidRPr="003E277C">
              <w:t>CCR</w:t>
            </w:r>
            <w:bookmarkEnd w:id="15"/>
            <w:bookmarkEnd w:id="16"/>
          </w:p>
        </w:tc>
      </w:tr>
    </w:tbl>
    <w:p w14:paraId="598F4446" w14:textId="77777777" w:rsidR="000366FA" w:rsidRDefault="00D16959" w:rsidP="005B6F46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Follow the steps below:</w:t>
      </w:r>
    </w:p>
    <w:p w14:paraId="683B0606" w14:textId="77777777" w:rsidR="008D6D81" w:rsidRPr="00CA56C6" w:rsidRDefault="008D6D81" w:rsidP="009B7540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1"/>
        <w:gridCol w:w="1992"/>
        <w:gridCol w:w="699"/>
        <w:gridCol w:w="1186"/>
        <w:gridCol w:w="2255"/>
        <w:gridCol w:w="5837"/>
      </w:tblGrid>
      <w:tr w:rsidR="000366FA" w:rsidRPr="00CA56C6" w14:paraId="1F236DC2" w14:textId="77777777" w:rsidTr="00333BA7">
        <w:tc>
          <w:tcPr>
            <w:tcW w:w="1469" w:type="dxa"/>
            <w:shd w:val="pct10" w:color="auto" w:fill="auto"/>
          </w:tcPr>
          <w:p w14:paraId="3B62F0CB" w14:textId="77777777" w:rsidR="000366FA" w:rsidRPr="00CA56C6" w:rsidRDefault="009E0860" w:rsidP="001A594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CA56C6">
              <w:rPr>
                <w:rFonts w:ascii="Verdana" w:hAnsi="Verdana"/>
                <w:b/>
              </w:rPr>
              <w:t>Step</w:t>
            </w:r>
          </w:p>
        </w:tc>
        <w:tc>
          <w:tcPr>
            <w:tcW w:w="29196" w:type="dxa"/>
            <w:gridSpan w:val="5"/>
            <w:shd w:val="pct10" w:color="auto" w:fill="auto"/>
          </w:tcPr>
          <w:p w14:paraId="5DBC62B4" w14:textId="77777777" w:rsidR="000366FA" w:rsidRPr="00CA56C6" w:rsidRDefault="009E0860" w:rsidP="001A594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CA56C6">
              <w:rPr>
                <w:rFonts w:ascii="Verdana" w:hAnsi="Verdana"/>
                <w:b/>
              </w:rPr>
              <w:t>Action</w:t>
            </w:r>
          </w:p>
        </w:tc>
      </w:tr>
      <w:tr w:rsidR="00EC2786" w:rsidRPr="00CA56C6" w14:paraId="2040FB18" w14:textId="77777777" w:rsidTr="00333BA7">
        <w:tc>
          <w:tcPr>
            <w:tcW w:w="1469" w:type="dxa"/>
            <w:vMerge w:val="restart"/>
          </w:tcPr>
          <w:p w14:paraId="2D366134" w14:textId="77777777" w:rsidR="00EC2786" w:rsidRPr="00CA56C6" w:rsidRDefault="0003047B" w:rsidP="001A594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29196" w:type="dxa"/>
            <w:gridSpan w:val="5"/>
            <w:tcBorders>
              <w:bottom w:val="single" w:sz="4" w:space="0" w:color="auto"/>
            </w:tcBorders>
          </w:tcPr>
          <w:p w14:paraId="1A3BC46F" w14:textId="77777777" w:rsidR="00EC2786" w:rsidRDefault="00EC2786" w:rsidP="001A594F">
            <w:pPr>
              <w:autoSpaceDE w:val="0"/>
              <w:autoSpaceDN w:val="0"/>
              <w:spacing w:before="120" w:after="120" w:line="240" w:lineRule="atLeast"/>
              <w:rPr>
                <w:rFonts w:ascii="Verdana" w:hAnsi="Verdana"/>
                <w:color w:val="000000"/>
              </w:rPr>
            </w:pPr>
            <w:bookmarkStart w:id="17" w:name="ProcessStep1"/>
            <w:r>
              <w:rPr>
                <w:rFonts w:ascii="Verdana" w:hAnsi="Verdana"/>
                <w:color w:val="000000"/>
              </w:rPr>
              <w:t>Determine if the issue may be due to a billing or processing error.</w:t>
            </w:r>
          </w:p>
          <w:bookmarkEnd w:id="17"/>
          <w:p w14:paraId="01EBA72D" w14:textId="77777777" w:rsidR="00EC2786" w:rsidRDefault="00EC2786" w:rsidP="001A594F">
            <w:pPr>
              <w:autoSpaceDE w:val="0"/>
              <w:autoSpaceDN w:val="0"/>
              <w:spacing w:before="120" w:after="120" w:line="240" w:lineRule="atLeast"/>
              <w:rPr>
                <w:rFonts w:ascii="Verdana" w:hAnsi="Verdana"/>
                <w:color w:val="000000"/>
                <w:sz w:val="22"/>
                <w:szCs w:val="22"/>
              </w:rPr>
            </w:pPr>
          </w:p>
          <w:p w14:paraId="69453CF9" w14:textId="531F8E03" w:rsidR="008D6D81" w:rsidRPr="008874B8" w:rsidRDefault="00CD58C9" w:rsidP="001A594F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A56C6">
              <w:rPr>
                <w:rFonts w:ascii="Verdana" w:hAnsi="Verdana" w:cs="Arial"/>
                <w:b/>
              </w:rPr>
              <w:t>N</w:t>
            </w:r>
            <w:r w:rsidR="00A5652B">
              <w:rPr>
                <w:rFonts w:ascii="Verdana" w:hAnsi="Verdana" w:cs="Arial"/>
                <w:b/>
              </w:rPr>
              <w:t>ote</w:t>
            </w:r>
            <w:r w:rsidRPr="00CA56C6">
              <w:rPr>
                <w:rFonts w:ascii="Verdana" w:hAnsi="Verdana" w:cs="Arial"/>
                <w:b/>
              </w:rPr>
              <w:t>:</w:t>
            </w:r>
            <w:r w:rsidRPr="00CA56C6">
              <w:rPr>
                <w:rFonts w:ascii="Verdana" w:hAnsi="Verdana" w:cs="Arial"/>
              </w:rPr>
              <w:t xml:space="preserve">  </w:t>
            </w:r>
            <w:r w:rsidR="00EC2786">
              <w:rPr>
                <w:rFonts w:ascii="Verdana" w:hAnsi="Verdana"/>
                <w:color w:val="000000"/>
              </w:rPr>
              <w:t xml:space="preserve">The pharmacy may have accidently submitted the claim to the wrong </w:t>
            </w:r>
            <w:r w:rsidR="00EC2786" w:rsidRPr="00CA56C6">
              <w:rPr>
                <w:rFonts w:ascii="Verdana" w:hAnsi="Verdana"/>
              </w:rPr>
              <w:t>beneficiary</w:t>
            </w:r>
            <w:r w:rsidR="00EC2786">
              <w:rPr>
                <w:rFonts w:ascii="Verdana" w:hAnsi="Verdana"/>
                <w:color w:val="000000"/>
              </w:rPr>
              <w:t xml:space="preserve">. Many billing errors occur when two </w:t>
            </w:r>
            <w:r w:rsidR="00EC2786" w:rsidRPr="00CA56C6">
              <w:rPr>
                <w:rFonts w:ascii="Verdana" w:hAnsi="Verdana"/>
              </w:rPr>
              <w:t>beneficiar</w:t>
            </w:r>
            <w:r w:rsidR="00EC2786">
              <w:rPr>
                <w:rFonts w:ascii="Verdana" w:hAnsi="Verdana"/>
              </w:rPr>
              <w:t>ie</w:t>
            </w:r>
            <w:r w:rsidR="00EC2786">
              <w:rPr>
                <w:rFonts w:ascii="Verdana" w:hAnsi="Verdana"/>
                <w:color w:val="000000"/>
              </w:rPr>
              <w:t xml:space="preserve">s share a name and date of birth. You should first check the Claim Details page and validate all </w:t>
            </w:r>
            <w:r w:rsidR="00661E26">
              <w:rPr>
                <w:rFonts w:ascii="Verdana" w:hAnsi="Verdana"/>
                <w:color w:val="000000"/>
              </w:rPr>
              <w:t>beneficiary</w:t>
            </w:r>
            <w:r w:rsidR="00EC2786">
              <w:rPr>
                <w:rFonts w:ascii="Verdana" w:hAnsi="Verdana"/>
                <w:color w:val="000000"/>
              </w:rPr>
              <w:t xml:space="preserve"> and pharmacy information. For example, is the pharmacy in a different state than the member</w:t>
            </w:r>
          </w:p>
        </w:tc>
      </w:tr>
      <w:tr w:rsidR="00EC2786" w:rsidRPr="00CA56C6" w14:paraId="502EAE4E" w14:textId="77777777" w:rsidTr="00333BA7">
        <w:trPr>
          <w:trHeight w:val="90"/>
        </w:trPr>
        <w:tc>
          <w:tcPr>
            <w:tcW w:w="1469" w:type="dxa"/>
            <w:vMerge/>
          </w:tcPr>
          <w:p w14:paraId="77ED8B00" w14:textId="77777777" w:rsidR="00EC2786" w:rsidRPr="00CA56C6" w:rsidRDefault="00EC2786" w:rsidP="001A594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579" w:type="dxa"/>
            <w:gridSpan w:val="2"/>
            <w:shd w:val="pct10" w:color="auto" w:fill="auto"/>
          </w:tcPr>
          <w:p w14:paraId="6EFA838C" w14:textId="77777777" w:rsidR="00EC2786" w:rsidRPr="00CA56C6" w:rsidRDefault="00EC2786" w:rsidP="001A594F">
            <w:pPr>
              <w:spacing w:before="120" w:after="120"/>
              <w:jc w:val="center"/>
              <w:rPr>
                <w:rFonts w:ascii="Verdana" w:hAnsi="Verdana"/>
              </w:rPr>
            </w:pPr>
            <w:r w:rsidRPr="00022321">
              <w:rPr>
                <w:rFonts w:ascii="Verdana" w:hAnsi="Verdana" w:cs="Verdana"/>
                <w:b/>
                <w:color w:val="000000"/>
              </w:rPr>
              <w:t>If</w:t>
            </w:r>
            <w:r>
              <w:rPr>
                <w:rFonts w:ascii="Verdana" w:hAnsi="Verdana" w:cs="Verdana"/>
                <w:b/>
                <w:color w:val="000000"/>
              </w:rPr>
              <w:t xml:space="preserve"> you</w:t>
            </w:r>
            <w:r w:rsidRPr="00022321">
              <w:rPr>
                <w:rFonts w:ascii="Verdana" w:hAnsi="Verdana" w:cs="Verdana"/>
                <w:b/>
                <w:color w:val="000000"/>
              </w:rPr>
              <w:t>…</w:t>
            </w:r>
          </w:p>
        </w:tc>
        <w:tc>
          <w:tcPr>
            <w:tcW w:w="24617" w:type="dxa"/>
            <w:gridSpan w:val="3"/>
            <w:shd w:val="pct10" w:color="auto" w:fill="auto"/>
          </w:tcPr>
          <w:p w14:paraId="1B957824" w14:textId="77777777" w:rsidR="00EC2786" w:rsidRPr="00CA56C6" w:rsidRDefault="00EC2786" w:rsidP="001A594F">
            <w:pPr>
              <w:spacing w:before="120" w:after="120"/>
              <w:jc w:val="center"/>
              <w:rPr>
                <w:rFonts w:ascii="Verdana" w:hAnsi="Verdana"/>
              </w:rPr>
            </w:pPr>
            <w:r w:rsidRPr="00022321">
              <w:rPr>
                <w:rFonts w:ascii="Verdana" w:hAnsi="Verdana" w:cs="Verdana"/>
                <w:b/>
                <w:color w:val="000000"/>
              </w:rPr>
              <w:t>Then…</w:t>
            </w:r>
          </w:p>
        </w:tc>
      </w:tr>
      <w:tr w:rsidR="00963C05" w:rsidRPr="00CA56C6" w14:paraId="093A153A" w14:textId="77777777" w:rsidTr="00333BA7">
        <w:trPr>
          <w:trHeight w:val="90"/>
        </w:trPr>
        <w:tc>
          <w:tcPr>
            <w:tcW w:w="1469" w:type="dxa"/>
            <w:vMerge/>
          </w:tcPr>
          <w:p w14:paraId="29E1CD24" w14:textId="77777777" w:rsidR="00963C05" w:rsidRPr="00CA56C6" w:rsidRDefault="00963C05" w:rsidP="001A594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579" w:type="dxa"/>
            <w:gridSpan w:val="2"/>
            <w:vMerge w:val="restart"/>
          </w:tcPr>
          <w:p w14:paraId="568799A5" w14:textId="77777777" w:rsidR="00963C05" w:rsidRPr="00CA56C6" w:rsidRDefault="00963C05" w:rsidP="001A594F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 w:cs="Verdana"/>
                <w:color w:val="000000"/>
              </w:rPr>
              <w:t>Find a billing or processing error that may have been caused by the pharmacy</w:t>
            </w:r>
          </w:p>
        </w:tc>
        <w:tc>
          <w:tcPr>
            <w:tcW w:w="24617" w:type="dxa"/>
            <w:gridSpan w:val="3"/>
            <w:tcBorders>
              <w:bottom w:val="single" w:sz="4" w:space="0" w:color="auto"/>
            </w:tcBorders>
          </w:tcPr>
          <w:p w14:paraId="2B1E384B" w14:textId="77777777" w:rsidR="00963C05" w:rsidRDefault="00963C05" w:rsidP="001A594F">
            <w:pPr>
              <w:autoSpaceDE w:val="0"/>
              <w:autoSpaceDN w:val="0"/>
              <w:adjustRightInd w:val="0"/>
              <w:spacing w:before="120" w:after="120" w:line="240" w:lineRule="atLeast"/>
              <w:rPr>
                <w:rFonts w:ascii="Verdana" w:hAnsi="Verdana" w:cs="Verdana"/>
                <w:color w:val="000000"/>
              </w:rPr>
            </w:pPr>
            <w:r>
              <w:rPr>
                <w:rFonts w:ascii="Verdana" w:hAnsi="Verdana" w:cs="Verdana"/>
                <w:color w:val="000000"/>
              </w:rPr>
              <w:t xml:space="preserve">Contact the pharmacy and verify the </w:t>
            </w:r>
            <w:r w:rsidRPr="00CA56C6">
              <w:rPr>
                <w:rFonts w:ascii="Verdana" w:hAnsi="Verdana"/>
              </w:rPr>
              <w:t>beneficiary</w:t>
            </w:r>
            <w:r>
              <w:rPr>
                <w:rFonts w:ascii="Verdana" w:hAnsi="Verdana" w:cs="Verdana"/>
                <w:color w:val="000000"/>
              </w:rPr>
              <w:t>’s information, including:</w:t>
            </w:r>
          </w:p>
          <w:p w14:paraId="4162578F" w14:textId="77777777" w:rsidR="00963C05" w:rsidRDefault="00963C05" w:rsidP="001A594F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120" w:after="120" w:line="240" w:lineRule="atLeast"/>
              <w:rPr>
                <w:rFonts w:ascii="Verdana" w:hAnsi="Verdana" w:cs="Verdana"/>
                <w:color w:val="000000"/>
              </w:rPr>
            </w:pPr>
            <w:r>
              <w:rPr>
                <w:rFonts w:ascii="Verdana" w:hAnsi="Verdana" w:cs="Verdana"/>
                <w:color w:val="000000"/>
              </w:rPr>
              <w:t>Name</w:t>
            </w:r>
          </w:p>
          <w:p w14:paraId="74C5D945" w14:textId="77777777" w:rsidR="00963C05" w:rsidRDefault="00963C05" w:rsidP="001A594F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120" w:after="120" w:line="240" w:lineRule="atLeast"/>
              <w:rPr>
                <w:rFonts w:ascii="Verdana" w:hAnsi="Verdana" w:cs="Verdana"/>
                <w:color w:val="000000"/>
              </w:rPr>
            </w:pPr>
            <w:r>
              <w:rPr>
                <w:rFonts w:ascii="Verdana" w:hAnsi="Verdana" w:cs="Verdana"/>
                <w:color w:val="000000"/>
              </w:rPr>
              <w:t>Date of Birth</w:t>
            </w:r>
          </w:p>
          <w:p w14:paraId="652D217A" w14:textId="77777777" w:rsidR="00963C05" w:rsidRDefault="00963C05" w:rsidP="001A594F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120" w:after="120" w:line="240" w:lineRule="atLeast"/>
              <w:rPr>
                <w:rFonts w:ascii="Verdana" w:hAnsi="Verdana" w:cs="Verdana"/>
                <w:color w:val="000000"/>
              </w:rPr>
            </w:pPr>
            <w:r>
              <w:rPr>
                <w:rFonts w:ascii="Verdana" w:hAnsi="Verdana" w:cs="Verdana"/>
                <w:color w:val="000000"/>
              </w:rPr>
              <w:t>Address</w:t>
            </w:r>
          </w:p>
          <w:p w14:paraId="0F6A3770" w14:textId="77777777" w:rsidR="00963C05" w:rsidRDefault="00963C05" w:rsidP="001A594F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120" w:after="120" w:line="240" w:lineRule="atLeast"/>
              <w:rPr>
                <w:rFonts w:ascii="Verdana" w:hAnsi="Verdana" w:cs="Verdana"/>
                <w:color w:val="000000"/>
              </w:rPr>
            </w:pPr>
            <w:r>
              <w:rPr>
                <w:rFonts w:ascii="Verdana" w:hAnsi="Verdana" w:cs="Verdana"/>
                <w:color w:val="000000"/>
              </w:rPr>
              <w:t>Past pharmacies (name, address)</w:t>
            </w:r>
          </w:p>
          <w:p w14:paraId="78DD8FA9" w14:textId="77777777" w:rsidR="00963C05" w:rsidRDefault="00963C05" w:rsidP="001A594F">
            <w:pPr>
              <w:numPr>
                <w:ilvl w:val="0"/>
                <w:numId w:val="21"/>
              </w:numPr>
              <w:autoSpaceDE w:val="0"/>
              <w:autoSpaceDN w:val="0"/>
              <w:adjustRightInd w:val="0"/>
              <w:spacing w:before="120" w:after="120" w:line="240" w:lineRule="atLeast"/>
              <w:rPr>
                <w:rFonts w:ascii="Verdana" w:hAnsi="Verdana" w:cs="Verdana"/>
                <w:color w:val="000000"/>
              </w:rPr>
            </w:pPr>
            <w:r>
              <w:rPr>
                <w:rFonts w:ascii="Verdana" w:hAnsi="Verdana" w:cs="Verdana"/>
                <w:color w:val="000000"/>
              </w:rPr>
              <w:t>Prescription name, strength, supply</w:t>
            </w:r>
          </w:p>
          <w:p w14:paraId="66DD4DA3" w14:textId="77777777" w:rsidR="00963C05" w:rsidRDefault="00963C05" w:rsidP="001A594F">
            <w:pPr>
              <w:autoSpaceDE w:val="0"/>
              <w:autoSpaceDN w:val="0"/>
              <w:adjustRightInd w:val="0"/>
              <w:spacing w:before="120" w:after="120" w:line="240" w:lineRule="atLeast"/>
              <w:rPr>
                <w:rFonts w:ascii="Verdana" w:hAnsi="Verdana" w:cs="Verdana"/>
                <w:color w:val="000000"/>
              </w:rPr>
            </w:pPr>
          </w:p>
          <w:p w14:paraId="52F8612C" w14:textId="77777777" w:rsidR="00963C05" w:rsidRDefault="00963C05" w:rsidP="001A594F">
            <w:pPr>
              <w:autoSpaceDE w:val="0"/>
              <w:autoSpaceDN w:val="0"/>
              <w:adjustRightInd w:val="0"/>
              <w:spacing w:before="120" w:after="120" w:line="240" w:lineRule="atLeast"/>
              <w:rPr>
                <w:rFonts w:ascii="Verdana" w:hAnsi="Verdana" w:cs="Verdana"/>
                <w:color w:val="000000"/>
              </w:rPr>
            </w:pPr>
            <w:r>
              <w:rPr>
                <w:rFonts w:ascii="Verdana" w:hAnsi="Verdana" w:cs="Verdana"/>
                <w:color w:val="000000"/>
              </w:rPr>
              <w:t xml:space="preserve">If the pharmacy made a billing or processing error, have them reverse and reprocess the claim to correctly bill the appropriate </w:t>
            </w:r>
            <w:r w:rsidR="00661E26">
              <w:rPr>
                <w:rFonts w:ascii="Verdana" w:hAnsi="Verdana" w:cs="Verdana"/>
                <w:color w:val="000000"/>
              </w:rPr>
              <w:t>beneficiary</w:t>
            </w:r>
            <w:r>
              <w:rPr>
                <w:rFonts w:ascii="Verdana" w:hAnsi="Verdana" w:cs="Verdana"/>
                <w:color w:val="000000"/>
              </w:rPr>
              <w:t xml:space="preserve">. </w:t>
            </w:r>
          </w:p>
          <w:p w14:paraId="1DB4B199" w14:textId="77777777" w:rsidR="00963C05" w:rsidRDefault="00963C05" w:rsidP="001A594F">
            <w:pPr>
              <w:autoSpaceDE w:val="0"/>
              <w:autoSpaceDN w:val="0"/>
              <w:adjustRightInd w:val="0"/>
              <w:spacing w:before="120" w:after="120" w:line="240" w:lineRule="atLeast"/>
              <w:ind w:left="720"/>
              <w:rPr>
                <w:rFonts w:ascii="Verdana" w:hAnsi="Verdana" w:cs="Verdana"/>
                <w:color w:val="000000"/>
              </w:rPr>
            </w:pPr>
          </w:p>
          <w:p w14:paraId="0C5DE580" w14:textId="0BC67347" w:rsidR="008D6D81" w:rsidRPr="008874B8" w:rsidRDefault="00A5652B" w:rsidP="001A594F">
            <w:pPr>
              <w:spacing w:before="120" w:after="120"/>
              <w:rPr>
                <w:rFonts w:ascii="Verdana" w:hAnsi="Verdana" w:cs="Verdana"/>
                <w:color w:val="000000"/>
              </w:rPr>
            </w:pPr>
            <w:r>
              <w:rPr>
                <w:rFonts w:ascii="Verdana" w:hAnsi="Verdana" w:cs="Arial"/>
                <w:b/>
              </w:rPr>
              <w:t>Note</w:t>
            </w:r>
            <w:r w:rsidR="00CD58C9" w:rsidRPr="00CA56C6">
              <w:rPr>
                <w:rFonts w:ascii="Verdana" w:hAnsi="Verdana" w:cs="Arial"/>
                <w:b/>
              </w:rPr>
              <w:t>:</w:t>
            </w:r>
            <w:r w:rsidR="00CD58C9" w:rsidRPr="00CA56C6">
              <w:rPr>
                <w:rFonts w:ascii="Verdana" w:hAnsi="Verdana" w:cs="Arial"/>
              </w:rPr>
              <w:t xml:space="preserve">  </w:t>
            </w:r>
            <w:r w:rsidR="00963C05">
              <w:rPr>
                <w:rFonts w:ascii="Verdana" w:hAnsi="Verdana" w:cs="Verdana"/>
                <w:color w:val="000000"/>
              </w:rPr>
              <w:t xml:space="preserve">The pharmacy may accidently have submitted the claim to the wrong </w:t>
            </w:r>
            <w:r w:rsidR="00661E26">
              <w:rPr>
                <w:rFonts w:ascii="Verdana" w:hAnsi="Verdana" w:cs="Verdana"/>
                <w:color w:val="000000"/>
              </w:rPr>
              <w:t>beneficiary</w:t>
            </w:r>
            <w:r w:rsidR="00963C05">
              <w:rPr>
                <w:rFonts w:ascii="Verdana" w:hAnsi="Verdana" w:cs="Verdana"/>
                <w:color w:val="000000"/>
              </w:rPr>
              <w:t>.</w:t>
            </w:r>
          </w:p>
        </w:tc>
      </w:tr>
      <w:tr w:rsidR="00963C05" w:rsidRPr="00CA56C6" w14:paraId="69FCB562" w14:textId="77777777" w:rsidTr="00333BA7">
        <w:trPr>
          <w:trHeight w:val="90"/>
        </w:trPr>
        <w:tc>
          <w:tcPr>
            <w:tcW w:w="1469" w:type="dxa"/>
            <w:vMerge/>
          </w:tcPr>
          <w:p w14:paraId="144D0E9E" w14:textId="77777777" w:rsidR="00963C05" w:rsidRPr="00CA56C6" w:rsidRDefault="00963C05" w:rsidP="001A594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579" w:type="dxa"/>
            <w:gridSpan w:val="2"/>
            <w:vMerge/>
          </w:tcPr>
          <w:p w14:paraId="6B366DE1" w14:textId="77777777" w:rsidR="00963C05" w:rsidRPr="00CA56C6" w:rsidRDefault="00963C05" w:rsidP="001A594F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7982" w:type="dxa"/>
            <w:gridSpan w:val="2"/>
            <w:shd w:val="pct10" w:color="auto" w:fill="auto"/>
          </w:tcPr>
          <w:p w14:paraId="22225091" w14:textId="77777777" w:rsidR="00963C05" w:rsidRPr="00CA56C6" w:rsidRDefault="00963C05" w:rsidP="001A594F">
            <w:pPr>
              <w:spacing w:before="120" w:after="120"/>
              <w:jc w:val="center"/>
              <w:rPr>
                <w:rFonts w:ascii="Verdana" w:hAnsi="Verdana"/>
              </w:rPr>
            </w:pPr>
            <w:r w:rsidRPr="00022321">
              <w:rPr>
                <w:rFonts w:ascii="Verdana" w:hAnsi="Verdana" w:cs="Verdana"/>
                <w:b/>
                <w:color w:val="000000"/>
              </w:rPr>
              <w:t>If</w:t>
            </w:r>
            <w:r>
              <w:rPr>
                <w:rFonts w:ascii="Verdana" w:hAnsi="Verdana" w:cs="Verdana"/>
                <w:b/>
                <w:color w:val="000000"/>
              </w:rPr>
              <w:t xml:space="preserve"> the pharmacy</w:t>
            </w:r>
            <w:r w:rsidRPr="00022321">
              <w:rPr>
                <w:rFonts w:ascii="Verdana" w:hAnsi="Verdana" w:cs="Verdana"/>
                <w:b/>
                <w:color w:val="000000"/>
              </w:rPr>
              <w:t>…</w:t>
            </w:r>
          </w:p>
        </w:tc>
        <w:tc>
          <w:tcPr>
            <w:tcW w:w="16635" w:type="dxa"/>
            <w:shd w:val="pct10" w:color="auto" w:fill="auto"/>
          </w:tcPr>
          <w:p w14:paraId="1979A006" w14:textId="77777777" w:rsidR="00963C05" w:rsidRPr="00CA56C6" w:rsidRDefault="00963C05" w:rsidP="001A594F">
            <w:pPr>
              <w:spacing w:before="120" w:after="120"/>
              <w:jc w:val="center"/>
              <w:rPr>
                <w:rFonts w:ascii="Verdana" w:hAnsi="Verdana"/>
              </w:rPr>
            </w:pPr>
            <w:r w:rsidRPr="00022321">
              <w:rPr>
                <w:rFonts w:ascii="Verdana" w:hAnsi="Verdana" w:cs="Verdana"/>
                <w:b/>
                <w:color w:val="000000"/>
              </w:rPr>
              <w:t>Then…</w:t>
            </w:r>
          </w:p>
        </w:tc>
      </w:tr>
      <w:tr w:rsidR="00963C05" w:rsidRPr="00CA56C6" w14:paraId="11EB37DF" w14:textId="77777777" w:rsidTr="00333BA7">
        <w:trPr>
          <w:trHeight w:val="90"/>
        </w:trPr>
        <w:tc>
          <w:tcPr>
            <w:tcW w:w="1469" w:type="dxa"/>
            <w:vMerge/>
          </w:tcPr>
          <w:p w14:paraId="1EC75B14" w14:textId="77777777" w:rsidR="00963C05" w:rsidRPr="00CA56C6" w:rsidRDefault="00963C05" w:rsidP="001A594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579" w:type="dxa"/>
            <w:gridSpan w:val="2"/>
            <w:vMerge/>
          </w:tcPr>
          <w:p w14:paraId="60FDC603" w14:textId="77777777" w:rsidR="00963C05" w:rsidRPr="00CA56C6" w:rsidRDefault="00963C05" w:rsidP="001A594F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7982" w:type="dxa"/>
            <w:gridSpan w:val="2"/>
          </w:tcPr>
          <w:p w14:paraId="02A24054" w14:textId="77777777" w:rsidR="00963C05" w:rsidRPr="00CA56C6" w:rsidRDefault="00963C05" w:rsidP="001A594F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 w:cs="Verdana"/>
                <w:color w:val="000000"/>
              </w:rPr>
              <w:t>Agrees to reverse and reprocess the claim</w:t>
            </w:r>
          </w:p>
        </w:tc>
        <w:tc>
          <w:tcPr>
            <w:tcW w:w="16635" w:type="dxa"/>
          </w:tcPr>
          <w:p w14:paraId="258A84D3" w14:textId="77777777" w:rsidR="00963C05" w:rsidRDefault="00963C05" w:rsidP="001A594F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120" w:after="120" w:line="240" w:lineRule="atLeast"/>
              <w:rPr>
                <w:rFonts w:ascii="Verdana" w:hAnsi="Verdana" w:cs="Verdana"/>
                <w:color w:val="000000"/>
              </w:rPr>
            </w:pPr>
            <w:r>
              <w:rPr>
                <w:rFonts w:ascii="Verdana" w:hAnsi="Verdana" w:cs="Verdana"/>
                <w:color w:val="000000"/>
              </w:rPr>
              <w:t xml:space="preserve">Advise the </w:t>
            </w:r>
            <w:r w:rsidRPr="00CA56C6">
              <w:rPr>
                <w:rFonts w:ascii="Verdana" w:hAnsi="Verdana"/>
              </w:rPr>
              <w:t>beneficiary</w:t>
            </w:r>
            <w:r>
              <w:rPr>
                <w:rFonts w:ascii="Verdana" w:hAnsi="Verdana" w:cs="Verdana"/>
                <w:color w:val="000000"/>
              </w:rPr>
              <w:t xml:space="preserve"> the claim is reversed and no longer showing under their paid claim history.</w:t>
            </w:r>
          </w:p>
          <w:p w14:paraId="4902F7DA" w14:textId="45D4D741" w:rsidR="008D6D81" w:rsidRPr="008874B8" w:rsidRDefault="00963C05" w:rsidP="008874B8">
            <w:pPr>
              <w:numPr>
                <w:ilvl w:val="0"/>
                <w:numId w:val="23"/>
              </w:numPr>
              <w:autoSpaceDE w:val="0"/>
              <w:autoSpaceDN w:val="0"/>
              <w:adjustRightInd w:val="0"/>
              <w:spacing w:before="120" w:after="120" w:line="240" w:lineRule="atLeast"/>
              <w:rPr>
                <w:rFonts w:ascii="Verdana" w:hAnsi="Verdana" w:cs="Verdana"/>
                <w:color w:val="000000"/>
              </w:rPr>
            </w:pPr>
            <w:r w:rsidRPr="00963C05">
              <w:rPr>
                <w:rFonts w:ascii="Verdana" w:hAnsi="Verdana" w:cs="Verdana"/>
                <w:color w:val="000000"/>
              </w:rPr>
              <w:t>Document all actions taken in PeopleSafe.</w:t>
            </w:r>
          </w:p>
        </w:tc>
      </w:tr>
      <w:tr w:rsidR="00963C05" w:rsidRPr="00CA56C6" w14:paraId="6AD57465" w14:textId="77777777" w:rsidTr="00333BA7">
        <w:trPr>
          <w:trHeight w:val="90"/>
        </w:trPr>
        <w:tc>
          <w:tcPr>
            <w:tcW w:w="1469" w:type="dxa"/>
            <w:vMerge/>
          </w:tcPr>
          <w:p w14:paraId="07CB190B" w14:textId="77777777" w:rsidR="00963C05" w:rsidRPr="00CA56C6" w:rsidRDefault="00963C05" w:rsidP="001A594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579" w:type="dxa"/>
            <w:gridSpan w:val="2"/>
            <w:vMerge/>
          </w:tcPr>
          <w:p w14:paraId="158C62DC" w14:textId="77777777" w:rsidR="00963C05" w:rsidRPr="00CA56C6" w:rsidRDefault="00963C05" w:rsidP="001A594F">
            <w:pPr>
              <w:spacing w:before="120" w:after="120"/>
              <w:rPr>
                <w:rFonts w:ascii="Verdana" w:hAnsi="Verdana"/>
              </w:rPr>
            </w:pPr>
          </w:p>
        </w:tc>
        <w:tc>
          <w:tcPr>
            <w:tcW w:w="7982" w:type="dxa"/>
            <w:gridSpan w:val="2"/>
          </w:tcPr>
          <w:p w14:paraId="45B95DAD" w14:textId="77777777" w:rsidR="00963C05" w:rsidRPr="00CA56C6" w:rsidRDefault="00963C05" w:rsidP="001A594F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 w:cs="Verdana"/>
                <w:color w:val="000000"/>
              </w:rPr>
              <w:t xml:space="preserve">Does </w:t>
            </w:r>
            <w:r>
              <w:rPr>
                <w:rFonts w:ascii="Verdana" w:hAnsi="Verdana" w:cs="Verdana"/>
                <w:b/>
                <w:color w:val="000000"/>
              </w:rPr>
              <w:t xml:space="preserve">not </w:t>
            </w:r>
            <w:r>
              <w:rPr>
                <w:rFonts w:ascii="Verdana" w:hAnsi="Verdana" w:cs="Verdana"/>
                <w:color w:val="000000"/>
              </w:rPr>
              <w:t>agree to reverse and reprocess the claim</w:t>
            </w:r>
          </w:p>
        </w:tc>
        <w:tc>
          <w:tcPr>
            <w:tcW w:w="16635" w:type="dxa"/>
          </w:tcPr>
          <w:p w14:paraId="18AAC85E" w14:textId="385495C1" w:rsidR="008D6D81" w:rsidRPr="008874B8" w:rsidRDefault="0003047B" w:rsidP="008874B8">
            <w:pPr>
              <w:numPr>
                <w:ilvl w:val="0"/>
                <w:numId w:val="23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 w:cs="Verdana"/>
                <w:color w:val="000000"/>
              </w:rPr>
              <w:t>Proceed to Step 2</w:t>
            </w:r>
            <w:r w:rsidR="00963C05">
              <w:rPr>
                <w:rFonts w:ascii="Verdana" w:hAnsi="Verdana" w:cs="Verdana"/>
                <w:color w:val="000000"/>
              </w:rPr>
              <w:t>.</w:t>
            </w:r>
          </w:p>
        </w:tc>
      </w:tr>
      <w:tr w:rsidR="00EC2786" w:rsidRPr="00CA56C6" w14:paraId="5FBDBDF4" w14:textId="77777777" w:rsidTr="00333BA7">
        <w:trPr>
          <w:trHeight w:val="90"/>
        </w:trPr>
        <w:tc>
          <w:tcPr>
            <w:tcW w:w="1469" w:type="dxa"/>
            <w:vMerge/>
          </w:tcPr>
          <w:p w14:paraId="19DF3404" w14:textId="77777777" w:rsidR="00EC2786" w:rsidRPr="00CA56C6" w:rsidRDefault="00EC2786" w:rsidP="001A594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4579" w:type="dxa"/>
            <w:gridSpan w:val="2"/>
          </w:tcPr>
          <w:p w14:paraId="22DB3188" w14:textId="77777777" w:rsidR="00EC2786" w:rsidRPr="00CA56C6" w:rsidRDefault="00EC2786" w:rsidP="001A594F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 w:cs="Verdana"/>
                <w:color w:val="000000"/>
              </w:rPr>
              <w:t>Cannot find a billing or processing error</w:t>
            </w:r>
          </w:p>
        </w:tc>
        <w:tc>
          <w:tcPr>
            <w:tcW w:w="24617" w:type="dxa"/>
            <w:gridSpan w:val="3"/>
          </w:tcPr>
          <w:p w14:paraId="20D2FCDE" w14:textId="1E2DFD24" w:rsidR="000F19A1" w:rsidRDefault="00EC2786" w:rsidP="001A594F">
            <w:pPr>
              <w:spacing w:before="120" w:after="120"/>
              <w:rPr>
                <w:rFonts w:ascii="Verdana" w:hAnsi="Verdana" w:cs="Verdana"/>
                <w:color w:val="000000"/>
              </w:rPr>
            </w:pPr>
            <w:r>
              <w:rPr>
                <w:rFonts w:ascii="Verdana" w:hAnsi="Verdana" w:cs="Verdana"/>
                <w:color w:val="000000"/>
              </w:rPr>
              <w:t xml:space="preserve">Proceed to Step </w:t>
            </w:r>
            <w:r w:rsidR="0003047B">
              <w:rPr>
                <w:rFonts w:ascii="Verdana" w:hAnsi="Verdana" w:cs="Verdana"/>
                <w:color w:val="000000"/>
              </w:rPr>
              <w:t>2</w:t>
            </w:r>
            <w:r>
              <w:rPr>
                <w:rFonts w:ascii="Verdana" w:hAnsi="Verdana" w:cs="Verdana"/>
                <w:color w:val="000000"/>
              </w:rPr>
              <w:t>.</w:t>
            </w:r>
          </w:p>
          <w:p w14:paraId="593BA1DF" w14:textId="6362474E" w:rsidR="000F19A1" w:rsidRPr="00CA56C6" w:rsidRDefault="000F19A1" w:rsidP="001A594F">
            <w:pPr>
              <w:spacing w:before="120" w:after="120"/>
              <w:jc w:val="right"/>
              <w:rPr>
                <w:rFonts w:ascii="Verdana" w:hAnsi="Verdana"/>
              </w:rPr>
            </w:pPr>
            <w:hyperlink w:anchor="_High_Level_Process" w:history="1">
              <w:r w:rsidRPr="00A043E8">
                <w:rPr>
                  <w:rStyle w:val="Hyperlink"/>
                  <w:rFonts w:ascii="Verdana" w:hAnsi="Verdana" w:cs="Verdana"/>
                </w:rPr>
                <w:t>Return to High Level Process</w:t>
              </w:r>
            </w:hyperlink>
          </w:p>
        </w:tc>
      </w:tr>
      <w:tr w:rsidR="009E0860" w:rsidRPr="00CA56C6" w14:paraId="5B243A49" w14:textId="77777777" w:rsidTr="00333BA7">
        <w:tc>
          <w:tcPr>
            <w:tcW w:w="1469" w:type="dxa"/>
          </w:tcPr>
          <w:p w14:paraId="0D2D2098" w14:textId="77777777" w:rsidR="009E0860" w:rsidRPr="00963C05" w:rsidRDefault="0003047B" w:rsidP="001A594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29196" w:type="dxa"/>
            <w:gridSpan w:val="5"/>
          </w:tcPr>
          <w:p w14:paraId="47820A50" w14:textId="418F5983" w:rsidR="00376B4D" w:rsidRPr="00AD432D" w:rsidRDefault="009E0860" w:rsidP="001A594F">
            <w:pPr>
              <w:spacing w:before="120" w:after="120"/>
              <w:rPr>
                <w:rFonts w:ascii="Verdana" w:hAnsi="Verdana"/>
              </w:rPr>
            </w:pPr>
            <w:bookmarkStart w:id="18" w:name="ProcessStep2"/>
            <w:r w:rsidRPr="00CA56C6">
              <w:rPr>
                <w:rFonts w:ascii="Verdana" w:hAnsi="Verdana"/>
              </w:rPr>
              <w:t xml:space="preserve">Address the beneficiary’s issue as per current policies and procedures. </w:t>
            </w:r>
            <w:bookmarkEnd w:id="18"/>
          </w:p>
          <w:p w14:paraId="41CAECB1" w14:textId="2549A974" w:rsidR="000F19A1" w:rsidRDefault="00E042BE" w:rsidP="001A594F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2959D171" wp14:editId="048915A4">
                  <wp:extent cx="233680" cy="212725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21A56">
              <w:rPr>
                <w:rFonts w:ascii="Verdana" w:hAnsi="Verdana"/>
                <w:b/>
              </w:rPr>
              <w:t xml:space="preserve"> </w:t>
            </w:r>
            <w:r w:rsidR="00DB42E2" w:rsidRPr="00CA56C6">
              <w:rPr>
                <w:rFonts w:ascii="Verdana" w:hAnsi="Verdana"/>
                <w:b/>
              </w:rPr>
              <w:t xml:space="preserve">DO NOT </w:t>
            </w:r>
            <w:r w:rsidR="00DB42E2" w:rsidRPr="00CA56C6">
              <w:rPr>
                <w:rFonts w:ascii="Verdana" w:hAnsi="Verdana"/>
              </w:rPr>
              <w:t>indicate to the beneficiary that Fraud, Waste or Abuse is suspected.</w:t>
            </w:r>
          </w:p>
          <w:p w14:paraId="20E70E81" w14:textId="76B7B0C7" w:rsidR="000F19A1" w:rsidRPr="00CA56C6" w:rsidRDefault="000F19A1" w:rsidP="001A594F">
            <w:pPr>
              <w:spacing w:before="120" w:after="120"/>
              <w:jc w:val="right"/>
              <w:rPr>
                <w:rFonts w:ascii="Verdana" w:hAnsi="Verdana"/>
              </w:rPr>
            </w:pPr>
            <w:hyperlink w:anchor="_High_Level_Process" w:history="1">
              <w:r w:rsidRPr="00A043E8">
                <w:rPr>
                  <w:rStyle w:val="Hyperlink"/>
                  <w:rFonts w:ascii="Verdana" w:hAnsi="Verdana" w:cs="Verdana"/>
                </w:rPr>
                <w:t>Return to High Level Process</w:t>
              </w:r>
            </w:hyperlink>
          </w:p>
        </w:tc>
      </w:tr>
      <w:tr w:rsidR="00FD7F22" w:rsidRPr="00CA56C6" w14:paraId="57BFE15C" w14:textId="77777777" w:rsidTr="00333BA7">
        <w:tc>
          <w:tcPr>
            <w:tcW w:w="1469" w:type="dxa"/>
            <w:vMerge w:val="restart"/>
          </w:tcPr>
          <w:p w14:paraId="17DCF10B" w14:textId="77777777" w:rsidR="00FD7F22" w:rsidRDefault="0003047B" w:rsidP="001A594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29196" w:type="dxa"/>
            <w:gridSpan w:val="5"/>
            <w:tcBorders>
              <w:bottom w:val="single" w:sz="4" w:space="0" w:color="auto"/>
            </w:tcBorders>
          </w:tcPr>
          <w:p w14:paraId="397BA6EF" w14:textId="73035874" w:rsidR="008D6D81" w:rsidRPr="00CA56C6" w:rsidRDefault="00FD7F22" w:rsidP="001A594F">
            <w:pPr>
              <w:spacing w:before="120" w:after="120"/>
              <w:rPr>
                <w:rFonts w:ascii="Verdana" w:hAnsi="Verdana"/>
              </w:rPr>
            </w:pPr>
            <w:bookmarkStart w:id="19" w:name="ProcessStep3"/>
            <w:r>
              <w:rPr>
                <w:rFonts w:ascii="Verdana" w:hAnsi="Verdana"/>
              </w:rPr>
              <w:t>Determine the client specific process for FWA:</w:t>
            </w:r>
            <w:bookmarkEnd w:id="19"/>
          </w:p>
        </w:tc>
      </w:tr>
      <w:tr w:rsidR="00FD7F22" w:rsidRPr="00CA56C6" w14:paraId="4DFAD378" w14:textId="77777777" w:rsidTr="00333BA7">
        <w:trPr>
          <w:trHeight w:val="72"/>
        </w:trPr>
        <w:tc>
          <w:tcPr>
            <w:tcW w:w="1469" w:type="dxa"/>
            <w:vMerge/>
          </w:tcPr>
          <w:p w14:paraId="77356BA6" w14:textId="77777777" w:rsidR="00FD7F22" w:rsidRDefault="00FD7F22" w:rsidP="001A594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6788" w:type="dxa"/>
            <w:gridSpan w:val="3"/>
            <w:shd w:val="pct10" w:color="auto" w:fill="auto"/>
          </w:tcPr>
          <w:p w14:paraId="576FA85A" w14:textId="77777777" w:rsidR="00FD7F22" w:rsidRPr="00FD7F22" w:rsidRDefault="00FD7F22" w:rsidP="001A594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D7F22">
              <w:rPr>
                <w:rFonts w:ascii="Verdana" w:hAnsi="Verdana"/>
                <w:b/>
              </w:rPr>
              <w:t>If…</w:t>
            </w:r>
          </w:p>
        </w:tc>
        <w:tc>
          <w:tcPr>
            <w:tcW w:w="22408" w:type="dxa"/>
            <w:gridSpan w:val="2"/>
            <w:shd w:val="pct10" w:color="auto" w:fill="auto"/>
          </w:tcPr>
          <w:p w14:paraId="719A7802" w14:textId="77777777" w:rsidR="00FD7F22" w:rsidRPr="00FD7F22" w:rsidRDefault="00FD7F22" w:rsidP="001A594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FD7F22">
              <w:rPr>
                <w:rFonts w:ascii="Verdana" w:hAnsi="Verdana"/>
                <w:b/>
              </w:rPr>
              <w:t>Then…</w:t>
            </w:r>
          </w:p>
        </w:tc>
      </w:tr>
      <w:tr w:rsidR="00FD7F22" w:rsidRPr="00CA56C6" w14:paraId="25C0D34F" w14:textId="77777777" w:rsidTr="00333BA7">
        <w:trPr>
          <w:trHeight w:val="72"/>
        </w:trPr>
        <w:tc>
          <w:tcPr>
            <w:tcW w:w="1469" w:type="dxa"/>
            <w:vMerge/>
          </w:tcPr>
          <w:p w14:paraId="2A8F8E6B" w14:textId="77777777" w:rsidR="00FD7F22" w:rsidRDefault="00FD7F22" w:rsidP="001A594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6788" w:type="dxa"/>
            <w:gridSpan w:val="3"/>
          </w:tcPr>
          <w:p w14:paraId="22A6483E" w14:textId="55A2D65A" w:rsidR="008A4367" w:rsidRDefault="00FD7F22" w:rsidP="001A594F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One of the following clients:</w:t>
            </w:r>
          </w:p>
          <w:p w14:paraId="602E4697" w14:textId="160991F8" w:rsidR="005D75ED" w:rsidRPr="00121A56" w:rsidRDefault="005D75ED" w:rsidP="001A594F">
            <w:pPr>
              <w:numPr>
                <w:ilvl w:val="0"/>
                <w:numId w:val="24"/>
              </w:numPr>
              <w:spacing w:before="120" w:after="120"/>
              <w:rPr>
                <w:rFonts w:ascii="Verdana" w:hAnsi="Verdana"/>
              </w:rPr>
            </w:pPr>
            <w:bookmarkStart w:id="20" w:name="OLE_LINK2"/>
            <w:bookmarkStart w:id="21" w:name="OLE_LINK3"/>
            <w:r w:rsidRPr="00121A56">
              <w:rPr>
                <w:rFonts w:ascii="Verdana" w:hAnsi="Verdana"/>
              </w:rPr>
              <w:t xml:space="preserve">BCBST </w:t>
            </w:r>
          </w:p>
          <w:p w14:paraId="27C45150" w14:textId="77777777" w:rsidR="005D75ED" w:rsidRPr="00121A56" w:rsidRDefault="005D75ED" w:rsidP="001A594F">
            <w:pPr>
              <w:numPr>
                <w:ilvl w:val="0"/>
                <w:numId w:val="24"/>
              </w:numPr>
              <w:spacing w:before="120" w:after="120"/>
              <w:rPr>
                <w:rFonts w:ascii="Verdana" w:hAnsi="Verdana"/>
              </w:rPr>
            </w:pPr>
            <w:r w:rsidRPr="00121A56">
              <w:rPr>
                <w:rFonts w:ascii="Verdana" w:hAnsi="Verdana"/>
              </w:rPr>
              <w:t xml:space="preserve">Natl Railroad (Amtrak) </w:t>
            </w:r>
          </w:p>
          <w:p w14:paraId="4A64C76B" w14:textId="77777777" w:rsidR="009B621D" w:rsidRDefault="005D75ED" w:rsidP="001A594F">
            <w:pPr>
              <w:numPr>
                <w:ilvl w:val="0"/>
                <w:numId w:val="24"/>
              </w:numPr>
              <w:spacing w:before="120" w:after="120"/>
              <w:rPr>
                <w:rFonts w:ascii="Verdana" w:hAnsi="Verdana"/>
              </w:rPr>
            </w:pPr>
            <w:r w:rsidRPr="00121A56">
              <w:rPr>
                <w:rFonts w:ascii="Verdana" w:hAnsi="Verdana"/>
              </w:rPr>
              <w:t>Charter</w:t>
            </w:r>
            <w:bookmarkEnd w:id="20"/>
            <w:bookmarkEnd w:id="21"/>
            <w:r w:rsidR="00DC4872">
              <w:rPr>
                <w:rFonts w:ascii="Verdana" w:hAnsi="Verdana"/>
              </w:rPr>
              <w:t xml:space="preserve"> Communications</w:t>
            </w:r>
          </w:p>
          <w:p w14:paraId="0A191C0A" w14:textId="39A2C80D" w:rsidR="009B621D" w:rsidRDefault="00892850" w:rsidP="001A594F">
            <w:pPr>
              <w:numPr>
                <w:ilvl w:val="0"/>
                <w:numId w:val="24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UMWA</w:t>
            </w:r>
          </w:p>
          <w:p w14:paraId="60EB5518" w14:textId="24E82FC3" w:rsidR="005D75ED" w:rsidRDefault="00892850" w:rsidP="001A594F">
            <w:pPr>
              <w:numPr>
                <w:ilvl w:val="0"/>
                <w:numId w:val="24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GEHA</w:t>
            </w:r>
          </w:p>
          <w:p w14:paraId="03E6CC49" w14:textId="6A5A197A" w:rsidR="00F63306" w:rsidRPr="004E1D19" w:rsidRDefault="00333BA7" w:rsidP="001A594F">
            <w:pPr>
              <w:numPr>
                <w:ilvl w:val="0"/>
                <w:numId w:val="24"/>
              </w:numPr>
              <w:spacing w:before="120" w:after="120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5EB62C08" wp14:editId="0DC42AD7">
                  <wp:extent cx="304762" cy="304762"/>
                  <wp:effectExtent l="0" t="0" r="635" b="63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r w:rsidR="00F63306" w:rsidRPr="004E1D19">
              <w:rPr>
                <w:rFonts w:ascii="Verdana" w:hAnsi="Verdana"/>
                <w:color w:val="000000"/>
                <w:shd w:val="clear" w:color="auto" w:fill="FFFFFF"/>
              </w:rPr>
              <w:t>Warrior Met Coal (WMC)</w:t>
            </w:r>
          </w:p>
          <w:p w14:paraId="6893A35B" w14:textId="19E6D1DA" w:rsidR="00F63306" w:rsidRPr="004E1D19" w:rsidRDefault="00333BA7" w:rsidP="001A594F">
            <w:pPr>
              <w:numPr>
                <w:ilvl w:val="0"/>
                <w:numId w:val="24"/>
              </w:numPr>
              <w:spacing w:before="120" w:after="120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276C7118" wp14:editId="063B6E41">
                  <wp:extent cx="304762" cy="304762"/>
                  <wp:effectExtent l="0" t="0" r="635" b="63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r w:rsidR="00F63306" w:rsidRPr="004E1D19">
              <w:rPr>
                <w:rFonts w:ascii="Verdana" w:hAnsi="Verdana"/>
                <w:color w:val="000000"/>
                <w:shd w:val="clear" w:color="auto" w:fill="FFFFFF"/>
              </w:rPr>
              <w:t>CountyCare</w:t>
            </w:r>
          </w:p>
          <w:p w14:paraId="317041CE" w14:textId="34818A1D" w:rsidR="00F63306" w:rsidRPr="00FD7F22" w:rsidRDefault="00333BA7" w:rsidP="001A594F">
            <w:pPr>
              <w:numPr>
                <w:ilvl w:val="0"/>
                <w:numId w:val="24"/>
              </w:numPr>
              <w:spacing w:before="120" w:after="120"/>
              <w:rPr>
                <w:rFonts w:ascii="Verdana" w:hAnsi="Verdana"/>
              </w:rPr>
            </w:pPr>
            <w:r>
              <w:rPr>
                <w:noProof/>
              </w:rPr>
              <w:drawing>
                <wp:inline distT="0" distB="0" distL="0" distR="0" wp14:anchorId="34341830" wp14:editId="4D90B5CA">
                  <wp:extent cx="304762" cy="304762"/>
                  <wp:effectExtent l="0" t="0" r="635" b="63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2" cy="3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color w:val="000000"/>
                <w:shd w:val="clear" w:color="auto" w:fill="FFFFFF"/>
              </w:rPr>
              <w:t xml:space="preserve"> </w:t>
            </w:r>
            <w:r w:rsidR="004E1D19" w:rsidRPr="004E1D19">
              <w:rPr>
                <w:rFonts w:ascii="Verdana" w:hAnsi="Verdana"/>
                <w:color w:val="000000"/>
                <w:shd w:val="clear" w:color="auto" w:fill="FFFFFF"/>
              </w:rPr>
              <w:t>1199 SEIU</w:t>
            </w:r>
          </w:p>
        </w:tc>
        <w:tc>
          <w:tcPr>
            <w:tcW w:w="22408" w:type="dxa"/>
            <w:gridSpan w:val="2"/>
          </w:tcPr>
          <w:p w14:paraId="3A994A36" w14:textId="77777777" w:rsidR="00FD7F22" w:rsidRDefault="00FD7F22" w:rsidP="001A594F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Proceed to step </w:t>
            </w:r>
            <w:r w:rsidR="0003047B">
              <w:rPr>
                <w:rFonts w:ascii="Verdana" w:hAnsi="Verdana"/>
              </w:rPr>
              <w:t>4</w:t>
            </w:r>
            <w:r>
              <w:rPr>
                <w:rFonts w:ascii="Verdana" w:hAnsi="Verdana"/>
              </w:rPr>
              <w:t>.</w:t>
            </w:r>
          </w:p>
        </w:tc>
      </w:tr>
      <w:tr w:rsidR="00FD7F22" w:rsidRPr="00CA56C6" w14:paraId="3890F24F" w14:textId="77777777" w:rsidTr="00333BA7">
        <w:trPr>
          <w:trHeight w:val="72"/>
        </w:trPr>
        <w:tc>
          <w:tcPr>
            <w:tcW w:w="1469" w:type="dxa"/>
            <w:vMerge/>
          </w:tcPr>
          <w:p w14:paraId="7177416F" w14:textId="77777777" w:rsidR="00FD7F22" w:rsidRDefault="00FD7F22" w:rsidP="001A594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6788" w:type="dxa"/>
            <w:gridSpan w:val="3"/>
          </w:tcPr>
          <w:p w14:paraId="071620F6" w14:textId="794CFDF4" w:rsidR="00FD7F22" w:rsidRDefault="00FD7F22" w:rsidP="001A594F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Any other client</w:t>
            </w:r>
          </w:p>
        </w:tc>
        <w:tc>
          <w:tcPr>
            <w:tcW w:w="22408" w:type="dxa"/>
            <w:gridSpan w:val="2"/>
            <w:tcBorders>
              <w:bottom w:val="single" w:sz="4" w:space="0" w:color="auto"/>
            </w:tcBorders>
          </w:tcPr>
          <w:p w14:paraId="13129B4E" w14:textId="65BAA8DC" w:rsidR="008D6D81" w:rsidRDefault="00D16959" w:rsidP="001A594F">
            <w:pPr>
              <w:spacing w:before="120" w:after="120"/>
              <w:rPr>
                <w:rFonts w:ascii="Verdana" w:hAnsi="Verdana" w:cs="Helvetica"/>
                <w:color w:val="000000"/>
              </w:rPr>
            </w:pPr>
            <w:r w:rsidRPr="001073C1">
              <w:rPr>
                <w:rFonts w:ascii="Verdana" w:hAnsi="Verdana"/>
              </w:rPr>
              <w:t>Review</w:t>
            </w:r>
            <w:r w:rsidR="005D75ED" w:rsidRPr="001073C1">
              <w:rPr>
                <w:rFonts w:ascii="Verdana" w:hAnsi="Verdana"/>
              </w:rPr>
              <w:t xml:space="preserve"> </w:t>
            </w:r>
            <w:hyperlink r:id="rId11" w:anchor="!/view?docid=c7d99a52-ae23-4ff8-a5ea-0bd3d2760015" w:history="1">
              <w:r w:rsidR="00333BA7">
                <w:rPr>
                  <w:rStyle w:val="Hyperlink"/>
                  <w:rFonts w:ascii="Verdana" w:hAnsi="Verdana" w:cs="Helvetica"/>
                </w:rPr>
                <w:t>Reporting Alleged Fraud CCR (007636)</w:t>
              </w:r>
            </w:hyperlink>
            <w:r w:rsidR="001073C1" w:rsidRPr="001073C1">
              <w:rPr>
                <w:rFonts w:ascii="Verdana" w:hAnsi="Verdana" w:cs="Helvetica"/>
                <w:color w:val="000000"/>
              </w:rPr>
              <w:t>.</w:t>
            </w:r>
          </w:p>
          <w:p w14:paraId="2C684E4F" w14:textId="2B94E13B" w:rsidR="00170CA7" w:rsidRPr="00170CA7" w:rsidRDefault="00170CA7" w:rsidP="00170CA7">
            <w:pPr>
              <w:spacing w:before="120" w:after="120"/>
              <w:jc w:val="right"/>
              <w:rPr>
                <w:rFonts w:ascii="Verdana" w:hAnsi="Verdana" w:cs="Helvetica"/>
                <w:color w:val="000000"/>
              </w:rPr>
            </w:pPr>
            <w:hyperlink w:anchor="_High_Level_Process" w:history="1">
              <w:r w:rsidRPr="00170CA7">
                <w:rPr>
                  <w:rStyle w:val="Hyperlink"/>
                  <w:rFonts w:ascii="Verdana" w:hAnsi="Verdana" w:cs="Helvetica"/>
                </w:rPr>
                <w:t>Return to High Level Process</w:t>
              </w:r>
            </w:hyperlink>
          </w:p>
        </w:tc>
      </w:tr>
      <w:tr w:rsidR="009E0860" w:rsidRPr="00CA56C6" w14:paraId="0735EE56" w14:textId="77777777" w:rsidTr="00333BA7">
        <w:tc>
          <w:tcPr>
            <w:tcW w:w="1469" w:type="dxa"/>
          </w:tcPr>
          <w:p w14:paraId="02D26A47" w14:textId="77777777" w:rsidR="009E0860" w:rsidRPr="00CA56C6" w:rsidRDefault="0003047B" w:rsidP="001A594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29196" w:type="dxa"/>
            <w:gridSpan w:val="5"/>
          </w:tcPr>
          <w:p w14:paraId="11882000" w14:textId="44ECF675" w:rsidR="00DD33E7" w:rsidRDefault="003454BA" w:rsidP="001A594F">
            <w:p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Briefly explain to the caller that you are going to transfer </w:t>
            </w:r>
            <w:r w:rsidR="007D5D84">
              <w:rPr>
                <w:rFonts w:ascii="Verdana" w:hAnsi="Verdana"/>
                <w:color w:val="000000"/>
              </w:rPr>
              <w:t>them</w:t>
            </w:r>
            <w:r>
              <w:rPr>
                <w:rFonts w:ascii="Verdana" w:hAnsi="Verdana"/>
                <w:color w:val="000000"/>
              </w:rPr>
              <w:t xml:space="preserve"> to another representative who can assist.</w:t>
            </w:r>
          </w:p>
          <w:p w14:paraId="741FE8E1" w14:textId="116E6C2E" w:rsidR="00376B4D" w:rsidRPr="00CA56C6" w:rsidRDefault="00E042BE" w:rsidP="001A594F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bCs/>
                <w:noProof/>
                <w:color w:val="000000"/>
              </w:rPr>
              <w:drawing>
                <wp:inline distT="0" distB="0" distL="0" distR="0" wp14:anchorId="0B44019C" wp14:editId="06428AEA">
                  <wp:extent cx="287020" cy="1809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02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65E17">
              <w:rPr>
                <w:rFonts w:ascii="Verdana" w:hAnsi="Verdana"/>
                <w:b/>
                <w:bCs/>
                <w:color w:val="000000"/>
              </w:rPr>
              <w:t xml:space="preserve">  </w:t>
            </w:r>
            <w:r w:rsidR="00A56C4E">
              <w:rPr>
                <w:rFonts w:ascii="Verdana" w:hAnsi="Verdana"/>
                <w:color w:val="000000"/>
              </w:rPr>
              <w:t xml:space="preserve">I’m going to transfer you to a </w:t>
            </w:r>
            <w:r w:rsidR="003454BA">
              <w:rPr>
                <w:rFonts w:ascii="Verdana" w:hAnsi="Verdana"/>
                <w:color w:val="000000"/>
              </w:rPr>
              <w:t>Senior Team Representative who will be able to assist you further.</w:t>
            </w:r>
          </w:p>
        </w:tc>
      </w:tr>
      <w:tr w:rsidR="003454BA" w:rsidRPr="00CA56C6" w14:paraId="365E85BD" w14:textId="77777777" w:rsidTr="00333BA7">
        <w:tc>
          <w:tcPr>
            <w:tcW w:w="1469" w:type="dxa"/>
            <w:vMerge w:val="restart"/>
          </w:tcPr>
          <w:p w14:paraId="3B05109D" w14:textId="77777777" w:rsidR="003454BA" w:rsidRPr="00CA56C6" w:rsidRDefault="0003047B" w:rsidP="001A594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5</w:t>
            </w:r>
          </w:p>
        </w:tc>
        <w:tc>
          <w:tcPr>
            <w:tcW w:w="29196" w:type="dxa"/>
            <w:gridSpan w:val="5"/>
            <w:tcBorders>
              <w:bottom w:val="single" w:sz="4" w:space="0" w:color="auto"/>
            </w:tcBorders>
          </w:tcPr>
          <w:p w14:paraId="62C4E3A8" w14:textId="05AFA364" w:rsidR="008D6D81" w:rsidRPr="00CA56C6" w:rsidRDefault="003454BA" w:rsidP="001A594F">
            <w:pPr>
              <w:spacing w:before="120" w:after="120"/>
              <w:rPr>
                <w:rFonts w:ascii="Verdana" w:hAnsi="Verdana"/>
              </w:rPr>
            </w:pPr>
            <w:r w:rsidRPr="00CA56C6">
              <w:rPr>
                <w:rFonts w:ascii="Verdana" w:hAnsi="Verdana"/>
              </w:rPr>
              <w:t xml:space="preserve">Ask if there are any other benefit questions:  </w:t>
            </w:r>
          </w:p>
        </w:tc>
      </w:tr>
      <w:tr w:rsidR="003454BA" w:rsidRPr="00CA56C6" w14:paraId="53762080" w14:textId="77777777" w:rsidTr="00333BA7">
        <w:tc>
          <w:tcPr>
            <w:tcW w:w="1469" w:type="dxa"/>
            <w:vMerge/>
          </w:tcPr>
          <w:p w14:paraId="633D781A" w14:textId="77777777" w:rsidR="003454BA" w:rsidRPr="00CA56C6" w:rsidRDefault="003454BA" w:rsidP="001A594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788" w:type="dxa"/>
            <w:shd w:val="pct10" w:color="auto" w:fill="auto"/>
          </w:tcPr>
          <w:p w14:paraId="4835727C" w14:textId="77777777" w:rsidR="003454BA" w:rsidRPr="00CA56C6" w:rsidRDefault="003454BA" w:rsidP="001A594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CA56C6">
              <w:rPr>
                <w:rFonts w:ascii="Verdana" w:hAnsi="Verdana"/>
                <w:b/>
              </w:rPr>
              <w:t>If…</w:t>
            </w:r>
          </w:p>
        </w:tc>
        <w:tc>
          <w:tcPr>
            <w:tcW w:w="26408" w:type="dxa"/>
            <w:gridSpan w:val="4"/>
            <w:shd w:val="pct10" w:color="auto" w:fill="auto"/>
          </w:tcPr>
          <w:p w14:paraId="4575CE3F" w14:textId="77777777" w:rsidR="003454BA" w:rsidRPr="00CA56C6" w:rsidRDefault="003454BA" w:rsidP="001A594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CA56C6">
              <w:rPr>
                <w:rFonts w:ascii="Verdana" w:hAnsi="Verdana"/>
                <w:b/>
              </w:rPr>
              <w:t>Then…</w:t>
            </w:r>
          </w:p>
        </w:tc>
      </w:tr>
      <w:tr w:rsidR="003454BA" w:rsidRPr="00CA56C6" w14:paraId="5D86E443" w14:textId="77777777" w:rsidTr="00333BA7">
        <w:tc>
          <w:tcPr>
            <w:tcW w:w="1469" w:type="dxa"/>
            <w:vMerge/>
          </w:tcPr>
          <w:p w14:paraId="75C9B1A1" w14:textId="77777777" w:rsidR="003454BA" w:rsidRPr="00CA56C6" w:rsidRDefault="003454BA" w:rsidP="001A594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788" w:type="dxa"/>
          </w:tcPr>
          <w:p w14:paraId="55B0533D" w14:textId="77777777" w:rsidR="003454BA" w:rsidRPr="00CA56C6" w:rsidRDefault="003454BA" w:rsidP="001A594F">
            <w:pPr>
              <w:spacing w:before="120" w:after="120"/>
              <w:rPr>
                <w:rFonts w:ascii="Verdana" w:hAnsi="Verdana"/>
              </w:rPr>
            </w:pPr>
            <w:r w:rsidRPr="00CA56C6">
              <w:rPr>
                <w:rFonts w:ascii="Verdana" w:hAnsi="Verdana"/>
              </w:rPr>
              <w:t>Yes</w:t>
            </w:r>
          </w:p>
        </w:tc>
        <w:tc>
          <w:tcPr>
            <w:tcW w:w="26408" w:type="dxa"/>
            <w:gridSpan w:val="4"/>
          </w:tcPr>
          <w:p w14:paraId="1B531630" w14:textId="7ADFC5B4" w:rsidR="008D6D81" w:rsidRPr="00CA56C6" w:rsidRDefault="003454BA" w:rsidP="001A594F">
            <w:pPr>
              <w:spacing w:before="120" w:after="120"/>
              <w:rPr>
                <w:rFonts w:ascii="Verdana" w:hAnsi="Verdana"/>
              </w:rPr>
            </w:pPr>
            <w:r w:rsidRPr="00CA56C6">
              <w:rPr>
                <w:rFonts w:ascii="Verdana" w:hAnsi="Verdana"/>
              </w:rPr>
              <w:t>Address any benefit issues</w:t>
            </w:r>
            <w:r>
              <w:rPr>
                <w:rFonts w:ascii="Verdana" w:hAnsi="Verdana"/>
              </w:rPr>
              <w:t xml:space="preserve"> then proceed to next step. </w:t>
            </w:r>
          </w:p>
        </w:tc>
      </w:tr>
      <w:tr w:rsidR="003454BA" w:rsidRPr="00963C05" w14:paraId="3E2253B2" w14:textId="77777777" w:rsidTr="00333BA7">
        <w:tc>
          <w:tcPr>
            <w:tcW w:w="1469" w:type="dxa"/>
            <w:vMerge/>
          </w:tcPr>
          <w:p w14:paraId="1AEFBA5B" w14:textId="77777777" w:rsidR="003454BA" w:rsidRPr="00CA56C6" w:rsidRDefault="003454BA" w:rsidP="001A594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788" w:type="dxa"/>
          </w:tcPr>
          <w:p w14:paraId="79CCEAA1" w14:textId="77777777" w:rsidR="003454BA" w:rsidRPr="00CA56C6" w:rsidRDefault="003454BA" w:rsidP="001A594F">
            <w:pPr>
              <w:spacing w:before="120" w:after="120"/>
              <w:rPr>
                <w:rFonts w:ascii="Verdana" w:hAnsi="Verdana"/>
              </w:rPr>
            </w:pPr>
            <w:r w:rsidRPr="00CA56C6">
              <w:rPr>
                <w:rFonts w:ascii="Verdana" w:hAnsi="Verdana"/>
              </w:rPr>
              <w:t>No</w:t>
            </w:r>
          </w:p>
        </w:tc>
        <w:tc>
          <w:tcPr>
            <w:tcW w:w="26408" w:type="dxa"/>
            <w:gridSpan w:val="4"/>
          </w:tcPr>
          <w:p w14:paraId="7A4EDA87" w14:textId="01999872" w:rsidR="008D6D81" w:rsidRPr="00963C05" w:rsidRDefault="003454BA" w:rsidP="001A594F">
            <w:pPr>
              <w:spacing w:before="120" w:after="120"/>
              <w:rPr>
                <w:rFonts w:ascii="Verdana" w:hAnsi="Verdana"/>
              </w:rPr>
            </w:pPr>
            <w:r w:rsidRPr="00963C05">
              <w:rPr>
                <w:rFonts w:ascii="Verdana" w:hAnsi="Verdana"/>
              </w:rPr>
              <w:t>Proceed to the next step.</w:t>
            </w:r>
          </w:p>
        </w:tc>
      </w:tr>
      <w:tr w:rsidR="00513ACA" w:rsidRPr="00CA56C6" w14:paraId="0851EBF9" w14:textId="77777777" w:rsidTr="00333BA7">
        <w:tc>
          <w:tcPr>
            <w:tcW w:w="1469" w:type="dxa"/>
          </w:tcPr>
          <w:p w14:paraId="45F1A7CF" w14:textId="77777777" w:rsidR="00513ACA" w:rsidRPr="00CA56C6" w:rsidRDefault="0003047B" w:rsidP="001A594F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6</w:t>
            </w:r>
          </w:p>
        </w:tc>
        <w:tc>
          <w:tcPr>
            <w:tcW w:w="29196" w:type="dxa"/>
            <w:gridSpan w:val="5"/>
          </w:tcPr>
          <w:p w14:paraId="69059477" w14:textId="1365EA1B" w:rsidR="000F19A1" w:rsidRDefault="00265E17" w:rsidP="001A594F">
            <w:pPr>
              <w:spacing w:before="120" w:after="120"/>
              <w:rPr>
                <w:rFonts w:ascii="Verdana" w:hAnsi="Verdana"/>
              </w:rPr>
            </w:pPr>
            <w:bookmarkStart w:id="22" w:name="ProcessStep6"/>
            <w:r>
              <w:rPr>
                <w:rFonts w:ascii="Verdana" w:hAnsi="Verdana"/>
              </w:rPr>
              <w:t>Transfer</w:t>
            </w:r>
            <w:r w:rsidR="007E739F">
              <w:rPr>
                <w:rFonts w:ascii="Verdana" w:hAnsi="Verdana"/>
              </w:rPr>
              <w:t xml:space="preserve"> to the Senior team and p</w:t>
            </w:r>
            <w:r w:rsidR="00513ACA" w:rsidRPr="00CA56C6">
              <w:rPr>
                <w:rFonts w:ascii="Verdana" w:hAnsi="Verdana"/>
              </w:rPr>
              <w:t>rovide all details of the Potential FWA issue to the Senior CCR</w:t>
            </w:r>
            <w:r w:rsidR="00E26C10" w:rsidRPr="00CA56C6">
              <w:rPr>
                <w:rFonts w:ascii="Verdana" w:hAnsi="Verdana"/>
              </w:rPr>
              <w:t xml:space="preserve"> </w:t>
            </w:r>
            <w:r w:rsidR="00513ACA" w:rsidRPr="00CA56C6">
              <w:rPr>
                <w:rFonts w:ascii="Verdana" w:hAnsi="Verdana"/>
              </w:rPr>
              <w:t>for submission.</w:t>
            </w:r>
            <w:r w:rsidR="00FD0A3D">
              <w:rPr>
                <w:rFonts w:ascii="Verdana" w:hAnsi="Verdana"/>
              </w:rPr>
              <w:t xml:space="preserve"> Refer to </w:t>
            </w:r>
            <w:hyperlink r:id="rId13" w:anchor="!/view?docid=9eef064d-c7d7-42f7-9026-1497496b4d51" w:history="1">
              <w:r w:rsidR="00901CD8">
                <w:rPr>
                  <w:rStyle w:val="Hyperlink"/>
                  <w:rFonts w:ascii="Verdana" w:hAnsi="Verdana"/>
                </w:rPr>
                <w:t>When to Transfer Calls to the Senior Team (016311)</w:t>
              </w:r>
            </w:hyperlink>
            <w:r w:rsidR="00FD0A3D">
              <w:rPr>
                <w:rFonts w:ascii="Verdana" w:hAnsi="Verdana"/>
              </w:rPr>
              <w:t>.</w:t>
            </w:r>
            <w:bookmarkEnd w:id="22"/>
          </w:p>
          <w:p w14:paraId="161D97B6" w14:textId="0FEDCE96" w:rsidR="000F19A1" w:rsidRPr="00CA56C6" w:rsidRDefault="000F19A1" w:rsidP="001A594F">
            <w:pPr>
              <w:spacing w:before="120" w:after="120"/>
              <w:jc w:val="right"/>
              <w:rPr>
                <w:rFonts w:ascii="Verdana" w:hAnsi="Verdana"/>
              </w:rPr>
            </w:pPr>
            <w:hyperlink w:anchor="_High_Level_Process" w:history="1">
              <w:r w:rsidRPr="00A043E8">
                <w:rPr>
                  <w:rStyle w:val="Hyperlink"/>
                  <w:rFonts w:ascii="Verdana" w:hAnsi="Verdana" w:cs="Verdana"/>
                </w:rPr>
                <w:t>Return to High Level Process</w:t>
              </w:r>
            </w:hyperlink>
          </w:p>
        </w:tc>
      </w:tr>
    </w:tbl>
    <w:p w14:paraId="49D6748A" w14:textId="77777777" w:rsidR="007A2203" w:rsidRPr="00CA56C6" w:rsidRDefault="007A2203" w:rsidP="009B7540">
      <w:pPr>
        <w:jc w:val="right"/>
        <w:rPr>
          <w:rFonts w:ascii="Verdana" w:hAnsi="Verdana"/>
        </w:rPr>
      </w:pPr>
    </w:p>
    <w:p w14:paraId="592E3174" w14:textId="0033A6EB" w:rsidR="00D16959" w:rsidRDefault="00D16959" w:rsidP="00D16959">
      <w:pPr>
        <w:jc w:val="right"/>
        <w:rPr>
          <w:rStyle w:val="Hyperlink"/>
          <w:rFonts w:ascii="Verdana" w:hAnsi="Verdana"/>
        </w:rPr>
      </w:pPr>
      <w:bookmarkStart w:id="23" w:name="_Various_Work_Instructions"/>
      <w:bookmarkStart w:id="24" w:name="_Process"/>
      <w:bookmarkStart w:id="25" w:name="_Various_Work_Instructions1"/>
      <w:bookmarkStart w:id="26" w:name="_Various_Work_Instructions_1"/>
      <w:bookmarkStart w:id="27" w:name="_Using_the_Standard"/>
      <w:bookmarkStart w:id="28" w:name="_Senior_CCR_-"/>
      <w:bookmarkStart w:id="29" w:name="_Senior_CCR_and/or"/>
      <w:bookmarkStart w:id="30" w:name="_Available_Task_Types"/>
      <w:bookmarkStart w:id="31" w:name="_Various_Work_Instructions_2"/>
      <w:bookmarkStart w:id="32" w:name="_Working_“Immediate_Need”"/>
      <w:bookmarkStart w:id="33" w:name="_Various_Work_Instructions_3"/>
      <w:bookmarkStart w:id="34" w:name="_Data_Transmission"/>
      <w:bookmarkStart w:id="35" w:name="_SilverScript,_including_EGWP"/>
      <w:bookmarkStart w:id="36" w:name="_Clients:_NEJE,_HMSA,"/>
      <w:bookmarkStart w:id="37" w:name="_Clients:__NEJE,"/>
      <w:bookmarkStart w:id="38" w:name="_Clients:__BCBS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bookmarkStart w:id="39" w:name="_Alternatives"/>
    <w:bookmarkStart w:id="40" w:name="_Associated_Documents"/>
    <w:bookmarkEnd w:id="39"/>
    <w:bookmarkEnd w:id="40"/>
    <w:p w14:paraId="41C43B56" w14:textId="7FB45C95" w:rsidR="00897F8B" w:rsidRPr="00A043E8" w:rsidRDefault="00A043E8" w:rsidP="00A043E8">
      <w:pPr>
        <w:jc w:val="right"/>
      </w:pPr>
      <w:r>
        <w:rPr>
          <w:rStyle w:val="Hyperlink"/>
          <w:rFonts w:ascii="Verdana" w:hAnsi="Verdana"/>
          <w:color w:val="auto"/>
          <w:u w:val="none"/>
        </w:rPr>
        <w:fldChar w:fldCharType="begin"/>
      </w:r>
      <w:r>
        <w:rPr>
          <w:rStyle w:val="Hyperlink"/>
          <w:rFonts w:ascii="Verdana" w:hAnsi="Verdana"/>
          <w:color w:val="auto"/>
          <w:u w:val="none"/>
        </w:rPr>
        <w:instrText xml:space="preserve"> HYPERLINK  \l "_top" </w:instrText>
      </w:r>
      <w:r>
        <w:rPr>
          <w:rStyle w:val="Hyperlink"/>
          <w:rFonts w:ascii="Verdana" w:hAnsi="Verdana"/>
          <w:color w:val="auto"/>
          <w:u w:val="none"/>
        </w:rPr>
      </w:r>
      <w:r>
        <w:rPr>
          <w:rStyle w:val="Hyperlink"/>
          <w:rFonts w:ascii="Verdana" w:hAnsi="Verdana"/>
          <w:color w:val="auto"/>
          <w:u w:val="none"/>
        </w:rPr>
        <w:fldChar w:fldCharType="separate"/>
      </w:r>
      <w:r w:rsidR="00897F8B" w:rsidRPr="00A043E8">
        <w:rPr>
          <w:rStyle w:val="Hyperlink"/>
          <w:rFonts w:ascii="Verdana" w:hAnsi="Verdana"/>
        </w:rPr>
        <w:t>Top of the Document</w:t>
      </w:r>
      <w:r>
        <w:rPr>
          <w:rStyle w:val="Hyperlink"/>
          <w:rFonts w:ascii="Verdana" w:hAnsi="Verdana"/>
          <w:color w:val="auto"/>
          <w:u w:val="none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897F8B" w:rsidRPr="003E277C" w14:paraId="4E0A6870" w14:textId="77777777" w:rsidTr="00540E67">
        <w:tc>
          <w:tcPr>
            <w:tcW w:w="5000" w:type="pct"/>
            <w:shd w:val="clear" w:color="auto" w:fill="C0C0C0"/>
          </w:tcPr>
          <w:p w14:paraId="20253261" w14:textId="77777777" w:rsidR="00897F8B" w:rsidRPr="003E277C" w:rsidRDefault="00897F8B" w:rsidP="005A1160">
            <w:pPr>
              <w:pStyle w:val="Heading2"/>
              <w:spacing w:before="120" w:after="120"/>
            </w:pPr>
            <w:bookmarkStart w:id="41" w:name="_Toc525825645"/>
            <w:bookmarkStart w:id="42" w:name="_Toc23407262"/>
            <w:bookmarkStart w:id="43" w:name="_Toc170897961"/>
            <w:r w:rsidRPr="003E277C">
              <w:t>Related Documents</w:t>
            </w:r>
            <w:bookmarkEnd w:id="41"/>
            <w:bookmarkEnd w:id="42"/>
            <w:bookmarkEnd w:id="43"/>
          </w:p>
        </w:tc>
      </w:tr>
    </w:tbl>
    <w:p w14:paraId="67B0D10A" w14:textId="30AAECA1" w:rsidR="000F19A1" w:rsidRDefault="00901CD8" w:rsidP="00FE72FD">
      <w:pPr>
        <w:spacing w:before="120" w:after="120"/>
        <w:rPr>
          <w:rFonts w:ascii="Verdana" w:hAnsi="Verdana" w:cs="Verdana"/>
          <w:color w:val="0000FF"/>
          <w:u w:val="single"/>
        </w:rPr>
      </w:pPr>
      <w:hyperlink r:id="rId14" w:anchor="!/view?docid=bdac0c67-5fee-47ba-a3aa-aab84900cf78" w:history="1">
        <w:r>
          <w:rPr>
            <w:rStyle w:val="Hyperlink"/>
            <w:rFonts w:ascii="Verdana" w:hAnsi="Verdana" w:cs="Verdana"/>
          </w:rPr>
          <w:t>Log Activity/Capture Activity Codes (005164)</w:t>
        </w:r>
      </w:hyperlink>
    </w:p>
    <w:p w14:paraId="74E63CA0" w14:textId="10D80CB1" w:rsidR="007D5565" w:rsidRPr="008D6D81" w:rsidRDefault="00901CD8" w:rsidP="00FE72FD">
      <w:pPr>
        <w:spacing w:before="120" w:after="120"/>
        <w:rPr>
          <w:rFonts w:ascii="Verdana" w:hAnsi="Verdana" w:cs="Verdana"/>
          <w:color w:val="0000FF"/>
          <w:u w:val="single"/>
        </w:rPr>
      </w:pPr>
      <w:hyperlink r:id="rId15" w:anchor="!/view?docid=c7d99a52-ae23-4ff8-a5ea-0bd3d2760015" w:history="1">
        <w:r>
          <w:rPr>
            <w:rStyle w:val="Hyperlink"/>
            <w:rFonts w:ascii="Verdana" w:hAnsi="Verdana" w:cs="Verdana"/>
          </w:rPr>
          <w:t>Reporting Alleged Fraud CCR (007636)</w:t>
        </w:r>
      </w:hyperlink>
    </w:p>
    <w:p w14:paraId="555ABC11" w14:textId="0737215A" w:rsidR="007D5565" w:rsidRPr="00E042BE" w:rsidRDefault="00901CD8" w:rsidP="00FE72FD">
      <w:pPr>
        <w:spacing w:before="120" w:after="120"/>
        <w:rPr>
          <w:rFonts w:ascii="Verdana" w:hAnsi="Verdana" w:cs="Helvetica"/>
          <w:color w:val="000000"/>
          <w:shd w:val="clear" w:color="auto" w:fill="FFFFFF"/>
        </w:rPr>
      </w:pPr>
      <w:hyperlink r:id="rId16" w:anchor="!/view?docid=c1f1028b-e42c-4b4f-a4cf-cc0b42c91606" w:history="1">
        <w:r>
          <w:rPr>
            <w:rStyle w:val="Hyperlink"/>
            <w:rFonts w:ascii="Verdana" w:hAnsi="Verdana" w:cs="Helvetica"/>
            <w:shd w:val="clear" w:color="auto" w:fill="FFFFFF"/>
          </w:rPr>
          <w:t>Customer Care Abbreviations, Definitions, and Terms Index (017428)</w:t>
        </w:r>
      </w:hyperlink>
    </w:p>
    <w:p w14:paraId="78F932F8" w14:textId="6875EC1B" w:rsidR="0003047B" w:rsidRPr="008D6D81" w:rsidRDefault="0003047B" w:rsidP="0003047B">
      <w:pPr>
        <w:rPr>
          <w:rFonts w:ascii="Verdana" w:hAnsi="Verdana"/>
        </w:rPr>
      </w:pPr>
      <w:r w:rsidRPr="008D6D81">
        <w:rPr>
          <w:rFonts w:ascii="Verdana" w:hAnsi="Verdana"/>
          <w:b/>
        </w:rPr>
        <w:t xml:space="preserve">Parent SOP:  </w:t>
      </w:r>
      <w:hyperlink r:id="rId17" w:history="1">
        <w:r w:rsidR="00E042BE" w:rsidRPr="00E042BE">
          <w:rPr>
            <w:rStyle w:val="Hyperlink"/>
            <w:rFonts w:ascii="Verdana" w:hAnsi="Verdana"/>
            <w:bCs/>
          </w:rPr>
          <w:t>CALL 0049 Customer Care Internal and External Call Handling</w:t>
        </w:r>
      </w:hyperlink>
      <w:r w:rsidR="00E042BE" w:rsidRPr="00E042BE">
        <w:rPr>
          <w:rFonts w:ascii="Verdana" w:hAnsi="Verdana"/>
          <w:bCs/>
        </w:rPr>
        <w:t xml:space="preserve">, </w:t>
      </w:r>
      <w:hyperlink r:id="rId18" w:history="1">
        <w:r w:rsidR="00E042BE" w:rsidRPr="00E042BE">
          <w:rPr>
            <w:rStyle w:val="Hyperlink"/>
            <w:rFonts w:ascii="Verdana" w:hAnsi="Verdana"/>
            <w:bCs/>
          </w:rPr>
          <w:t>CALL 0011 Authenticating Caller</w:t>
        </w:r>
      </w:hyperlink>
      <w:r w:rsidR="00E042BE" w:rsidRPr="00E042BE">
        <w:rPr>
          <w:rFonts w:ascii="Verdana" w:hAnsi="Verdana"/>
          <w:bCs/>
        </w:rPr>
        <w:t xml:space="preserve">, </w:t>
      </w:r>
      <w:hyperlink r:id="rId19" w:history="1">
        <w:r w:rsidR="00E042BE" w:rsidRPr="00E042BE">
          <w:rPr>
            <w:rStyle w:val="Hyperlink"/>
            <w:rFonts w:ascii="Verdana" w:hAnsi="Verdana"/>
            <w:bCs/>
          </w:rPr>
          <w:t>CORSEC-0013 Corporate Security-Corporate Investigations</w:t>
        </w:r>
      </w:hyperlink>
    </w:p>
    <w:p w14:paraId="330B6EC1" w14:textId="77777777" w:rsidR="00897F8B" w:rsidRPr="008D6D81" w:rsidRDefault="00897F8B" w:rsidP="009B7540">
      <w:pPr>
        <w:jc w:val="right"/>
        <w:rPr>
          <w:rFonts w:ascii="Verdana" w:hAnsi="Verdana"/>
        </w:rPr>
      </w:pPr>
    </w:p>
    <w:bookmarkStart w:id="44" w:name="OLE_LINK5"/>
    <w:p w14:paraId="58A4A373" w14:textId="37C8420A" w:rsidR="00A97B7D" w:rsidRPr="00CA56C6" w:rsidRDefault="00A043E8" w:rsidP="009B7540">
      <w:pPr>
        <w:jc w:val="right"/>
        <w:rPr>
          <w:rFonts w:ascii="Verdana" w:hAnsi="Verdana"/>
        </w:rPr>
      </w:pPr>
      <w:r>
        <w:rPr>
          <w:rFonts w:ascii="Verdana" w:hAnsi="Verdana"/>
        </w:rPr>
        <w:fldChar w:fldCharType="begin"/>
      </w:r>
      <w:r>
        <w:rPr>
          <w:rFonts w:ascii="Verdana" w:hAnsi="Verdana"/>
        </w:rPr>
        <w:instrText xml:space="preserve"> HYPERLINK  \l "_top" </w:instrText>
      </w:r>
      <w:r>
        <w:rPr>
          <w:rFonts w:ascii="Verdana" w:hAnsi="Verdana"/>
        </w:rPr>
      </w:r>
      <w:r>
        <w:rPr>
          <w:rFonts w:ascii="Verdana" w:hAnsi="Verdana"/>
        </w:rPr>
        <w:fldChar w:fldCharType="separate"/>
      </w:r>
      <w:r w:rsidR="00C710A6" w:rsidRPr="00A043E8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</w:rPr>
        <w:fldChar w:fldCharType="end"/>
      </w:r>
    </w:p>
    <w:p w14:paraId="3F1F5B9A" w14:textId="77777777" w:rsidR="005973FC" w:rsidRPr="00CA56C6" w:rsidRDefault="005973FC" w:rsidP="009B7540">
      <w:pPr>
        <w:jc w:val="center"/>
        <w:rPr>
          <w:rFonts w:ascii="Verdana" w:hAnsi="Verdana"/>
          <w:sz w:val="16"/>
          <w:szCs w:val="16"/>
        </w:rPr>
      </w:pPr>
      <w:r w:rsidRPr="00CA56C6">
        <w:rPr>
          <w:rFonts w:ascii="Verdana" w:hAnsi="Verdana"/>
          <w:sz w:val="16"/>
          <w:szCs w:val="16"/>
        </w:rPr>
        <w:t>Not to Be Reproduced or Disclosed to Others without Prior Written Approval</w:t>
      </w:r>
    </w:p>
    <w:p w14:paraId="310A0135" w14:textId="77777777" w:rsidR="00FC1C44" w:rsidRPr="00CA56C6" w:rsidRDefault="005973FC" w:rsidP="009B7540">
      <w:pPr>
        <w:jc w:val="center"/>
        <w:rPr>
          <w:rFonts w:ascii="Verdana" w:hAnsi="Verdana"/>
          <w:color w:val="000000"/>
          <w:sz w:val="16"/>
          <w:szCs w:val="16"/>
        </w:rPr>
      </w:pPr>
      <w:r w:rsidRPr="00CA56C6">
        <w:rPr>
          <w:rFonts w:ascii="Verdana" w:hAnsi="Verdana"/>
          <w:b/>
          <w:color w:val="000000"/>
          <w:sz w:val="16"/>
          <w:szCs w:val="16"/>
        </w:rPr>
        <w:t>ELECTRONIC DATA = OFFICIAL VERSION – PAPER COPY – INFORMATIONAL ONLY</w:t>
      </w:r>
      <w:bookmarkEnd w:id="44"/>
    </w:p>
    <w:sectPr w:rsidR="00FC1C44" w:rsidRPr="00CA56C6" w:rsidSect="00303F88">
      <w:footerReference w:type="default" r:id="rId20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761680" w14:textId="77777777" w:rsidR="00192BAA" w:rsidRDefault="00192BAA">
      <w:r>
        <w:separator/>
      </w:r>
    </w:p>
  </w:endnote>
  <w:endnote w:type="continuationSeparator" w:id="0">
    <w:p w14:paraId="366617D2" w14:textId="77777777" w:rsidR="00192BAA" w:rsidRDefault="00192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22B188" w14:textId="77777777" w:rsidR="000654E8" w:rsidRDefault="000654E8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40776">
      <w:rPr>
        <w:noProof/>
      </w:rPr>
      <w:t>9</w:t>
    </w:r>
    <w:r>
      <w:rPr>
        <w:noProof/>
      </w:rPr>
      <w:fldChar w:fldCharType="end"/>
    </w:r>
  </w:p>
  <w:p w14:paraId="78018552" w14:textId="77777777" w:rsidR="000654E8" w:rsidRDefault="000654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DBEC36" w14:textId="77777777" w:rsidR="00192BAA" w:rsidRDefault="00192BAA">
      <w:r>
        <w:separator/>
      </w:r>
    </w:p>
  </w:footnote>
  <w:footnote w:type="continuationSeparator" w:id="0">
    <w:p w14:paraId="7EEBEAB1" w14:textId="77777777" w:rsidR="00192BAA" w:rsidRDefault="00192B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8.75pt;height:16.5pt;visibility:visible" o:bullet="t">
        <v:imagedata r:id="rId1" o:title=""/>
      </v:shape>
    </w:pict>
  </w:numPicBullet>
  <w:numPicBullet w:numPicBulletId="1">
    <w:pict>
      <v:shape id="_x0000_i1029" type="#_x0000_t75" style="width:22.5pt;height:14.25pt" o:bullet="t">
        <v:imagedata r:id="rId2" o:title="Say"/>
      </v:shape>
    </w:pict>
  </w:numPicBullet>
  <w:abstractNum w:abstractNumId="0" w15:restartNumberingAfterBreak="0">
    <w:nsid w:val="02F10352"/>
    <w:multiLevelType w:val="hybridMultilevel"/>
    <w:tmpl w:val="004EF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A6D03"/>
    <w:multiLevelType w:val="hybridMultilevel"/>
    <w:tmpl w:val="57A25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E6864"/>
    <w:multiLevelType w:val="hybridMultilevel"/>
    <w:tmpl w:val="0658C5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490FC3"/>
    <w:multiLevelType w:val="hybridMultilevel"/>
    <w:tmpl w:val="6A8254B2"/>
    <w:lvl w:ilvl="0" w:tplc="A6BABF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075105"/>
    <w:multiLevelType w:val="hybridMultilevel"/>
    <w:tmpl w:val="C296AB1E"/>
    <w:lvl w:ilvl="0" w:tplc="495CD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66089"/>
    <w:multiLevelType w:val="hybridMultilevel"/>
    <w:tmpl w:val="912023EC"/>
    <w:lvl w:ilvl="0" w:tplc="FF4802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1E1309"/>
    <w:multiLevelType w:val="hybridMultilevel"/>
    <w:tmpl w:val="5726A6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17C6C91"/>
    <w:multiLevelType w:val="hybridMultilevel"/>
    <w:tmpl w:val="E94CCE12"/>
    <w:lvl w:ilvl="0" w:tplc="FF480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562430"/>
    <w:multiLevelType w:val="hybridMultilevel"/>
    <w:tmpl w:val="302C9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E46A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25935"/>
    <w:multiLevelType w:val="hybridMultilevel"/>
    <w:tmpl w:val="3B5A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90413"/>
    <w:multiLevelType w:val="hybridMultilevel"/>
    <w:tmpl w:val="B3EC0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680E72"/>
    <w:multiLevelType w:val="hybridMultilevel"/>
    <w:tmpl w:val="62FCD68A"/>
    <w:lvl w:ilvl="0" w:tplc="050273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5272C7"/>
    <w:multiLevelType w:val="hybridMultilevel"/>
    <w:tmpl w:val="497EF47A"/>
    <w:lvl w:ilvl="0" w:tplc="883024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A4F5842"/>
    <w:multiLevelType w:val="hybridMultilevel"/>
    <w:tmpl w:val="4F7CC2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EA7A5D"/>
    <w:multiLevelType w:val="hybridMultilevel"/>
    <w:tmpl w:val="1C729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D970F8"/>
    <w:multiLevelType w:val="hybridMultilevel"/>
    <w:tmpl w:val="39DC3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C518F7"/>
    <w:multiLevelType w:val="hybridMultilevel"/>
    <w:tmpl w:val="D77E7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7F859E5"/>
    <w:multiLevelType w:val="hybridMultilevel"/>
    <w:tmpl w:val="BE8EBD4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3BCF2E4F"/>
    <w:multiLevelType w:val="hybridMultilevel"/>
    <w:tmpl w:val="72AA85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7221EF"/>
    <w:multiLevelType w:val="hybridMultilevel"/>
    <w:tmpl w:val="51D0F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412889"/>
    <w:multiLevelType w:val="hybridMultilevel"/>
    <w:tmpl w:val="18D286A2"/>
    <w:lvl w:ilvl="0" w:tplc="8C90184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017452"/>
    <w:multiLevelType w:val="hybridMultilevel"/>
    <w:tmpl w:val="8CB215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69F0710"/>
    <w:multiLevelType w:val="hybridMultilevel"/>
    <w:tmpl w:val="E6D66096"/>
    <w:lvl w:ilvl="0" w:tplc="04090001">
      <w:start w:val="1"/>
      <w:numFmt w:val="bullet"/>
      <w:lvlText w:val=""/>
      <w:lvlJc w:val="left"/>
      <w:pPr>
        <w:ind w:left="38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01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5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1" w:hanging="360"/>
      </w:pPr>
      <w:rPr>
        <w:rFonts w:ascii="Wingdings" w:hAnsi="Wingdings" w:hint="default"/>
      </w:rPr>
    </w:lvl>
  </w:abstractNum>
  <w:abstractNum w:abstractNumId="23" w15:restartNumberingAfterBreak="0">
    <w:nsid w:val="4E782708"/>
    <w:multiLevelType w:val="hybridMultilevel"/>
    <w:tmpl w:val="A47CB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176C95"/>
    <w:multiLevelType w:val="hybridMultilevel"/>
    <w:tmpl w:val="3BCC9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714273"/>
    <w:multiLevelType w:val="hybridMultilevel"/>
    <w:tmpl w:val="0534FF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BD7C0D"/>
    <w:multiLevelType w:val="hybridMultilevel"/>
    <w:tmpl w:val="CAD03B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2970DC1"/>
    <w:multiLevelType w:val="hybridMultilevel"/>
    <w:tmpl w:val="3F400E18"/>
    <w:lvl w:ilvl="0" w:tplc="E30E1BA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2D262D6"/>
    <w:multiLevelType w:val="hybridMultilevel"/>
    <w:tmpl w:val="EF9E3E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2E81BED"/>
    <w:multiLevelType w:val="hybridMultilevel"/>
    <w:tmpl w:val="9F76F2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0B777FF"/>
    <w:multiLevelType w:val="hybridMultilevel"/>
    <w:tmpl w:val="74D6C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4860CE4"/>
    <w:multiLevelType w:val="hybridMultilevel"/>
    <w:tmpl w:val="56A2F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AE41DA"/>
    <w:multiLevelType w:val="hybridMultilevel"/>
    <w:tmpl w:val="22C09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6D4D33"/>
    <w:multiLevelType w:val="hybridMultilevel"/>
    <w:tmpl w:val="B7C8E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3D7C26"/>
    <w:multiLevelType w:val="hybridMultilevel"/>
    <w:tmpl w:val="0F8CC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9E5C91"/>
    <w:multiLevelType w:val="hybridMultilevel"/>
    <w:tmpl w:val="D730F8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EB2570E"/>
    <w:multiLevelType w:val="hybridMultilevel"/>
    <w:tmpl w:val="4FCA74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34973625">
    <w:abstractNumId w:val="20"/>
  </w:num>
  <w:num w:numId="2" w16cid:durableId="176695206">
    <w:abstractNumId w:val="23"/>
  </w:num>
  <w:num w:numId="3" w16cid:durableId="2089881924">
    <w:abstractNumId w:val="26"/>
  </w:num>
  <w:num w:numId="4" w16cid:durableId="1520200452">
    <w:abstractNumId w:val="13"/>
  </w:num>
  <w:num w:numId="5" w16cid:durableId="1539931976">
    <w:abstractNumId w:val="12"/>
  </w:num>
  <w:num w:numId="6" w16cid:durableId="1952928704">
    <w:abstractNumId w:val="28"/>
  </w:num>
  <w:num w:numId="7" w16cid:durableId="1711606873">
    <w:abstractNumId w:val="29"/>
  </w:num>
  <w:num w:numId="8" w16cid:durableId="306738413">
    <w:abstractNumId w:val="2"/>
  </w:num>
  <w:num w:numId="9" w16cid:durableId="424496745">
    <w:abstractNumId w:val="35"/>
  </w:num>
  <w:num w:numId="10" w16cid:durableId="1623731389">
    <w:abstractNumId w:val="16"/>
  </w:num>
  <w:num w:numId="11" w16cid:durableId="1159422037">
    <w:abstractNumId w:val="22"/>
  </w:num>
  <w:num w:numId="12" w16cid:durableId="27536433">
    <w:abstractNumId w:val="21"/>
  </w:num>
  <w:num w:numId="13" w16cid:durableId="1533346865">
    <w:abstractNumId w:val="6"/>
  </w:num>
  <w:num w:numId="14" w16cid:durableId="1754550071">
    <w:abstractNumId w:val="5"/>
  </w:num>
  <w:num w:numId="15" w16cid:durableId="290134697">
    <w:abstractNumId w:val="27"/>
  </w:num>
  <w:num w:numId="16" w16cid:durableId="315570072">
    <w:abstractNumId w:val="4"/>
  </w:num>
  <w:num w:numId="17" w16cid:durableId="411583619">
    <w:abstractNumId w:val="7"/>
  </w:num>
  <w:num w:numId="18" w16cid:durableId="1474903514">
    <w:abstractNumId w:val="30"/>
  </w:num>
  <w:num w:numId="19" w16cid:durableId="125859594">
    <w:abstractNumId w:val="36"/>
  </w:num>
  <w:num w:numId="20" w16cid:durableId="1684237187">
    <w:abstractNumId w:val="10"/>
  </w:num>
  <w:num w:numId="21" w16cid:durableId="757557460">
    <w:abstractNumId w:val="15"/>
  </w:num>
  <w:num w:numId="22" w16cid:durableId="1086152567">
    <w:abstractNumId w:val="34"/>
  </w:num>
  <w:num w:numId="23" w16cid:durableId="459616302">
    <w:abstractNumId w:val="31"/>
  </w:num>
  <w:num w:numId="24" w16cid:durableId="671957308">
    <w:abstractNumId w:val="19"/>
  </w:num>
  <w:num w:numId="25" w16cid:durableId="513887895">
    <w:abstractNumId w:val="32"/>
  </w:num>
  <w:num w:numId="26" w16cid:durableId="1871792900">
    <w:abstractNumId w:val="0"/>
  </w:num>
  <w:num w:numId="27" w16cid:durableId="105077408">
    <w:abstractNumId w:val="11"/>
  </w:num>
  <w:num w:numId="28" w16cid:durableId="199055253">
    <w:abstractNumId w:val="24"/>
  </w:num>
  <w:num w:numId="29" w16cid:durableId="678317773">
    <w:abstractNumId w:val="25"/>
  </w:num>
  <w:num w:numId="30" w16cid:durableId="1596744203">
    <w:abstractNumId w:val="14"/>
  </w:num>
  <w:num w:numId="31" w16cid:durableId="2112624693">
    <w:abstractNumId w:val="17"/>
  </w:num>
  <w:num w:numId="32" w16cid:durableId="830633596">
    <w:abstractNumId w:val="18"/>
  </w:num>
  <w:num w:numId="33" w16cid:durableId="467086310">
    <w:abstractNumId w:val="33"/>
  </w:num>
  <w:num w:numId="34" w16cid:durableId="965042726">
    <w:abstractNumId w:val="1"/>
  </w:num>
  <w:num w:numId="35" w16cid:durableId="853500900">
    <w:abstractNumId w:val="3"/>
  </w:num>
  <w:num w:numId="36" w16cid:durableId="647981507">
    <w:abstractNumId w:val="19"/>
  </w:num>
  <w:num w:numId="37" w16cid:durableId="484394815">
    <w:abstractNumId w:val="8"/>
  </w:num>
  <w:num w:numId="38" w16cid:durableId="477260777">
    <w:abstractNumId w:val="9"/>
  </w:num>
  <w:num w:numId="39" w16cid:durableId="1113091082">
    <w:abstractNumId w:val="1"/>
  </w:num>
  <w:num w:numId="40" w16cid:durableId="21129685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00231"/>
    <w:rsid w:val="00007463"/>
    <w:rsid w:val="00011EB2"/>
    <w:rsid w:val="00015A2E"/>
    <w:rsid w:val="00020D56"/>
    <w:rsid w:val="0003047B"/>
    <w:rsid w:val="0003125B"/>
    <w:rsid w:val="000366FA"/>
    <w:rsid w:val="00037A58"/>
    <w:rsid w:val="00040389"/>
    <w:rsid w:val="0004363C"/>
    <w:rsid w:val="0005132F"/>
    <w:rsid w:val="000654E8"/>
    <w:rsid w:val="00067D04"/>
    <w:rsid w:val="00077EEB"/>
    <w:rsid w:val="00081D5E"/>
    <w:rsid w:val="000825E5"/>
    <w:rsid w:val="0008665F"/>
    <w:rsid w:val="00086C9E"/>
    <w:rsid w:val="00090CBF"/>
    <w:rsid w:val="000A439C"/>
    <w:rsid w:val="000A4937"/>
    <w:rsid w:val="000A724A"/>
    <w:rsid w:val="000B128F"/>
    <w:rsid w:val="000B3369"/>
    <w:rsid w:val="000B3C4C"/>
    <w:rsid w:val="000C311D"/>
    <w:rsid w:val="000C46CE"/>
    <w:rsid w:val="000C7813"/>
    <w:rsid w:val="000D0641"/>
    <w:rsid w:val="000D0A0C"/>
    <w:rsid w:val="000D0AB0"/>
    <w:rsid w:val="000D43F0"/>
    <w:rsid w:val="000D6714"/>
    <w:rsid w:val="000E3108"/>
    <w:rsid w:val="000F19A1"/>
    <w:rsid w:val="000F24FC"/>
    <w:rsid w:val="000F434A"/>
    <w:rsid w:val="001073C1"/>
    <w:rsid w:val="001123AC"/>
    <w:rsid w:val="001164E3"/>
    <w:rsid w:val="00121A56"/>
    <w:rsid w:val="00122B8F"/>
    <w:rsid w:val="00126866"/>
    <w:rsid w:val="001314A9"/>
    <w:rsid w:val="00140776"/>
    <w:rsid w:val="001418C1"/>
    <w:rsid w:val="001425AE"/>
    <w:rsid w:val="001451CA"/>
    <w:rsid w:val="0016273A"/>
    <w:rsid w:val="0016533F"/>
    <w:rsid w:val="00170CA7"/>
    <w:rsid w:val="0017203F"/>
    <w:rsid w:val="0017702F"/>
    <w:rsid w:val="001815FD"/>
    <w:rsid w:val="00182578"/>
    <w:rsid w:val="0019191D"/>
    <w:rsid w:val="00192BAA"/>
    <w:rsid w:val="00192FF5"/>
    <w:rsid w:val="0019353A"/>
    <w:rsid w:val="0019649C"/>
    <w:rsid w:val="001A594F"/>
    <w:rsid w:val="001B15F3"/>
    <w:rsid w:val="001B460D"/>
    <w:rsid w:val="001D0BB8"/>
    <w:rsid w:val="001D47D8"/>
    <w:rsid w:val="001F05B5"/>
    <w:rsid w:val="001F7F5B"/>
    <w:rsid w:val="002016B4"/>
    <w:rsid w:val="00215763"/>
    <w:rsid w:val="002260C2"/>
    <w:rsid w:val="002332E4"/>
    <w:rsid w:val="002337A0"/>
    <w:rsid w:val="002467D2"/>
    <w:rsid w:val="00252807"/>
    <w:rsid w:val="002609A1"/>
    <w:rsid w:val="00265E17"/>
    <w:rsid w:val="00276B94"/>
    <w:rsid w:val="002917F2"/>
    <w:rsid w:val="002B593E"/>
    <w:rsid w:val="002D0B4B"/>
    <w:rsid w:val="002E511D"/>
    <w:rsid w:val="002F73C8"/>
    <w:rsid w:val="00303F88"/>
    <w:rsid w:val="00312AEC"/>
    <w:rsid w:val="00314B78"/>
    <w:rsid w:val="00333BA7"/>
    <w:rsid w:val="003454BA"/>
    <w:rsid w:val="00350DD8"/>
    <w:rsid w:val="003612AB"/>
    <w:rsid w:val="00362823"/>
    <w:rsid w:val="00376B4D"/>
    <w:rsid w:val="003821E9"/>
    <w:rsid w:val="00382A04"/>
    <w:rsid w:val="003A3CCB"/>
    <w:rsid w:val="003A7AA4"/>
    <w:rsid w:val="003B01C0"/>
    <w:rsid w:val="003B082C"/>
    <w:rsid w:val="003B2F85"/>
    <w:rsid w:val="003C34D9"/>
    <w:rsid w:val="003C7CA9"/>
    <w:rsid w:val="003E0C12"/>
    <w:rsid w:val="003E277C"/>
    <w:rsid w:val="003E3D95"/>
    <w:rsid w:val="003E5045"/>
    <w:rsid w:val="003F0292"/>
    <w:rsid w:val="00406DB5"/>
    <w:rsid w:val="004253C3"/>
    <w:rsid w:val="004257B6"/>
    <w:rsid w:val="0044227B"/>
    <w:rsid w:val="00447D09"/>
    <w:rsid w:val="00452750"/>
    <w:rsid w:val="00457EAE"/>
    <w:rsid w:val="00460203"/>
    <w:rsid w:val="00481EA5"/>
    <w:rsid w:val="00485A27"/>
    <w:rsid w:val="00492729"/>
    <w:rsid w:val="004A2BB8"/>
    <w:rsid w:val="004B0D70"/>
    <w:rsid w:val="004B6173"/>
    <w:rsid w:val="004E02D2"/>
    <w:rsid w:val="004E1D19"/>
    <w:rsid w:val="004E6BA7"/>
    <w:rsid w:val="004F21EA"/>
    <w:rsid w:val="004F7DAC"/>
    <w:rsid w:val="00513ACA"/>
    <w:rsid w:val="005201A6"/>
    <w:rsid w:val="00524CDD"/>
    <w:rsid w:val="00536BD1"/>
    <w:rsid w:val="00540E67"/>
    <w:rsid w:val="00565723"/>
    <w:rsid w:val="005748D6"/>
    <w:rsid w:val="0058423F"/>
    <w:rsid w:val="005910B5"/>
    <w:rsid w:val="00595A65"/>
    <w:rsid w:val="005973FC"/>
    <w:rsid w:val="005A1160"/>
    <w:rsid w:val="005B05C4"/>
    <w:rsid w:val="005B25EC"/>
    <w:rsid w:val="005B6F46"/>
    <w:rsid w:val="005C370A"/>
    <w:rsid w:val="005C568C"/>
    <w:rsid w:val="005C73EE"/>
    <w:rsid w:val="005C7871"/>
    <w:rsid w:val="005D39E2"/>
    <w:rsid w:val="005D3F01"/>
    <w:rsid w:val="005D75ED"/>
    <w:rsid w:val="005E6FFC"/>
    <w:rsid w:val="005F2945"/>
    <w:rsid w:val="005F4E4F"/>
    <w:rsid w:val="0060311E"/>
    <w:rsid w:val="0062198D"/>
    <w:rsid w:val="00622D77"/>
    <w:rsid w:val="00625153"/>
    <w:rsid w:val="00631798"/>
    <w:rsid w:val="00636B18"/>
    <w:rsid w:val="00637CA1"/>
    <w:rsid w:val="00644C6B"/>
    <w:rsid w:val="00646BB8"/>
    <w:rsid w:val="00652F46"/>
    <w:rsid w:val="00661E26"/>
    <w:rsid w:val="006659EF"/>
    <w:rsid w:val="0066687F"/>
    <w:rsid w:val="00684340"/>
    <w:rsid w:val="006844D9"/>
    <w:rsid w:val="006A0481"/>
    <w:rsid w:val="006B302D"/>
    <w:rsid w:val="006C5EBF"/>
    <w:rsid w:val="006D3EFC"/>
    <w:rsid w:val="006D5D56"/>
    <w:rsid w:val="006E28A0"/>
    <w:rsid w:val="006F581F"/>
    <w:rsid w:val="006F6BC0"/>
    <w:rsid w:val="007002E2"/>
    <w:rsid w:val="007008AC"/>
    <w:rsid w:val="00704AF2"/>
    <w:rsid w:val="00715F00"/>
    <w:rsid w:val="00717323"/>
    <w:rsid w:val="00720C8B"/>
    <w:rsid w:val="007251BA"/>
    <w:rsid w:val="0073294A"/>
    <w:rsid w:val="007411BB"/>
    <w:rsid w:val="00742F3E"/>
    <w:rsid w:val="00752801"/>
    <w:rsid w:val="00754C24"/>
    <w:rsid w:val="00774D5F"/>
    <w:rsid w:val="007752BC"/>
    <w:rsid w:val="00786BEB"/>
    <w:rsid w:val="00790980"/>
    <w:rsid w:val="00797157"/>
    <w:rsid w:val="007A2203"/>
    <w:rsid w:val="007A2583"/>
    <w:rsid w:val="007B2E27"/>
    <w:rsid w:val="007B4A8F"/>
    <w:rsid w:val="007B6A1F"/>
    <w:rsid w:val="007D16C1"/>
    <w:rsid w:val="007D2196"/>
    <w:rsid w:val="007D5565"/>
    <w:rsid w:val="007D5D84"/>
    <w:rsid w:val="007D5F86"/>
    <w:rsid w:val="007E739F"/>
    <w:rsid w:val="007F70EF"/>
    <w:rsid w:val="008017D0"/>
    <w:rsid w:val="00801A32"/>
    <w:rsid w:val="00806B9D"/>
    <w:rsid w:val="00811469"/>
    <w:rsid w:val="00811E8C"/>
    <w:rsid w:val="00823FDE"/>
    <w:rsid w:val="00832011"/>
    <w:rsid w:val="00841C88"/>
    <w:rsid w:val="00842186"/>
    <w:rsid w:val="008570A9"/>
    <w:rsid w:val="008601E9"/>
    <w:rsid w:val="00871505"/>
    <w:rsid w:val="008739E5"/>
    <w:rsid w:val="00877414"/>
    <w:rsid w:val="00880C89"/>
    <w:rsid w:val="008874B8"/>
    <w:rsid w:val="00892850"/>
    <w:rsid w:val="008943CA"/>
    <w:rsid w:val="00897F8B"/>
    <w:rsid w:val="008A3AC4"/>
    <w:rsid w:val="008A4367"/>
    <w:rsid w:val="008A5FFC"/>
    <w:rsid w:val="008A7851"/>
    <w:rsid w:val="008A7853"/>
    <w:rsid w:val="008B0782"/>
    <w:rsid w:val="008B7916"/>
    <w:rsid w:val="008C2197"/>
    <w:rsid w:val="008C22C6"/>
    <w:rsid w:val="008C3493"/>
    <w:rsid w:val="008D11A6"/>
    <w:rsid w:val="008D2D64"/>
    <w:rsid w:val="008D3C0F"/>
    <w:rsid w:val="008D46DE"/>
    <w:rsid w:val="008D6D81"/>
    <w:rsid w:val="008E5D28"/>
    <w:rsid w:val="008F32F4"/>
    <w:rsid w:val="0090079E"/>
    <w:rsid w:val="00901CD8"/>
    <w:rsid w:val="00902E07"/>
    <w:rsid w:val="00905BCD"/>
    <w:rsid w:val="0091258F"/>
    <w:rsid w:val="00914945"/>
    <w:rsid w:val="00932DBC"/>
    <w:rsid w:val="00934DD7"/>
    <w:rsid w:val="00943C99"/>
    <w:rsid w:val="00963C05"/>
    <w:rsid w:val="00970EFB"/>
    <w:rsid w:val="009723A5"/>
    <w:rsid w:val="00987927"/>
    <w:rsid w:val="009A2CA8"/>
    <w:rsid w:val="009B36C6"/>
    <w:rsid w:val="009B621D"/>
    <w:rsid w:val="009B7540"/>
    <w:rsid w:val="009C55E4"/>
    <w:rsid w:val="009D17B9"/>
    <w:rsid w:val="009D4199"/>
    <w:rsid w:val="009D74FE"/>
    <w:rsid w:val="009E0860"/>
    <w:rsid w:val="009E4351"/>
    <w:rsid w:val="009F4313"/>
    <w:rsid w:val="00A004F1"/>
    <w:rsid w:val="00A043E8"/>
    <w:rsid w:val="00A141FD"/>
    <w:rsid w:val="00A14C34"/>
    <w:rsid w:val="00A22A67"/>
    <w:rsid w:val="00A24098"/>
    <w:rsid w:val="00A32002"/>
    <w:rsid w:val="00A348A5"/>
    <w:rsid w:val="00A40E31"/>
    <w:rsid w:val="00A46FCE"/>
    <w:rsid w:val="00A5026F"/>
    <w:rsid w:val="00A5652B"/>
    <w:rsid w:val="00A56C4E"/>
    <w:rsid w:val="00A65FAF"/>
    <w:rsid w:val="00A712B7"/>
    <w:rsid w:val="00A7166B"/>
    <w:rsid w:val="00A85045"/>
    <w:rsid w:val="00A85DD0"/>
    <w:rsid w:val="00A93C72"/>
    <w:rsid w:val="00A97B7D"/>
    <w:rsid w:val="00AA79E9"/>
    <w:rsid w:val="00AB2C12"/>
    <w:rsid w:val="00AB33E1"/>
    <w:rsid w:val="00AB4BB3"/>
    <w:rsid w:val="00AB6B34"/>
    <w:rsid w:val="00AC15F2"/>
    <w:rsid w:val="00AC2A58"/>
    <w:rsid w:val="00AD1646"/>
    <w:rsid w:val="00AD432D"/>
    <w:rsid w:val="00AE5CC0"/>
    <w:rsid w:val="00AE6348"/>
    <w:rsid w:val="00AE6A9F"/>
    <w:rsid w:val="00AF3238"/>
    <w:rsid w:val="00B004EE"/>
    <w:rsid w:val="00B075E6"/>
    <w:rsid w:val="00B21926"/>
    <w:rsid w:val="00B2375A"/>
    <w:rsid w:val="00B26045"/>
    <w:rsid w:val="00B27B69"/>
    <w:rsid w:val="00B369D2"/>
    <w:rsid w:val="00B43049"/>
    <w:rsid w:val="00B46A95"/>
    <w:rsid w:val="00B52499"/>
    <w:rsid w:val="00B52503"/>
    <w:rsid w:val="00B529DC"/>
    <w:rsid w:val="00B548B1"/>
    <w:rsid w:val="00B54C9B"/>
    <w:rsid w:val="00B64622"/>
    <w:rsid w:val="00B9337E"/>
    <w:rsid w:val="00B9577B"/>
    <w:rsid w:val="00B977A7"/>
    <w:rsid w:val="00BA0ED5"/>
    <w:rsid w:val="00BA2FEC"/>
    <w:rsid w:val="00BB371A"/>
    <w:rsid w:val="00BC0C67"/>
    <w:rsid w:val="00BC54D1"/>
    <w:rsid w:val="00BD30D0"/>
    <w:rsid w:val="00BE1EB6"/>
    <w:rsid w:val="00BE2215"/>
    <w:rsid w:val="00BF286B"/>
    <w:rsid w:val="00BF2F47"/>
    <w:rsid w:val="00BF3934"/>
    <w:rsid w:val="00BF3BA4"/>
    <w:rsid w:val="00BF74E9"/>
    <w:rsid w:val="00C03C70"/>
    <w:rsid w:val="00C2673E"/>
    <w:rsid w:val="00C43D91"/>
    <w:rsid w:val="00C50097"/>
    <w:rsid w:val="00C501A2"/>
    <w:rsid w:val="00C566B3"/>
    <w:rsid w:val="00C56A44"/>
    <w:rsid w:val="00C67B32"/>
    <w:rsid w:val="00C710A6"/>
    <w:rsid w:val="00C81C4B"/>
    <w:rsid w:val="00C8596C"/>
    <w:rsid w:val="00C947D0"/>
    <w:rsid w:val="00CA56C6"/>
    <w:rsid w:val="00CA6615"/>
    <w:rsid w:val="00CA7191"/>
    <w:rsid w:val="00CB0C1D"/>
    <w:rsid w:val="00CC5B7A"/>
    <w:rsid w:val="00CD58C9"/>
    <w:rsid w:val="00CE3920"/>
    <w:rsid w:val="00CE45C3"/>
    <w:rsid w:val="00CE7D1D"/>
    <w:rsid w:val="00D00DFA"/>
    <w:rsid w:val="00D01441"/>
    <w:rsid w:val="00D03722"/>
    <w:rsid w:val="00D07BD0"/>
    <w:rsid w:val="00D14273"/>
    <w:rsid w:val="00D16959"/>
    <w:rsid w:val="00D226FE"/>
    <w:rsid w:val="00D32E8C"/>
    <w:rsid w:val="00D36216"/>
    <w:rsid w:val="00D36733"/>
    <w:rsid w:val="00D465D7"/>
    <w:rsid w:val="00D471B5"/>
    <w:rsid w:val="00D5125B"/>
    <w:rsid w:val="00D571DB"/>
    <w:rsid w:val="00D61C6E"/>
    <w:rsid w:val="00D66879"/>
    <w:rsid w:val="00D74426"/>
    <w:rsid w:val="00D755DC"/>
    <w:rsid w:val="00D85254"/>
    <w:rsid w:val="00D93D2E"/>
    <w:rsid w:val="00D9622C"/>
    <w:rsid w:val="00DB42E2"/>
    <w:rsid w:val="00DB42EE"/>
    <w:rsid w:val="00DC048E"/>
    <w:rsid w:val="00DC2174"/>
    <w:rsid w:val="00DC4872"/>
    <w:rsid w:val="00DD257C"/>
    <w:rsid w:val="00DD33E7"/>
    <w:rsid w:val="00DD54D0"/>
    <w:rsid w:val="00DE1BF4"/>
    <w:rsid w:val="00E005BD"/>
    <w:rsid w:val="00E041FD"/>
    <w:rsid w:val="00E042BE"/>
    <w:rsid w:val="00E05FFB"/>
    <w:rsid w:val="00E06DF4"/>
    <w:rsid w:val="00E24860"/>
    <w:rsid w:val="00E266F5"/>
    <w:rsid w:val="00E26C10"/>
    <w:rsid w:val="00E30377"/>
    <w:rsid w:val="00E404FD"/>
    <w:rsid w:val="00E40C27"/>
    <w:rsid w:val="00E4587D"/>
    <w:rsid w:val="00E50D26"/>
    <w:rsid w:val="00E52DA1"/>
    <w:rsid w:val="00E55D61"/>
    <w:rsid w:val="00E55F19"/>
    <w:rsid w:val="00E603E3"/>
    <w:rsid w:val="00E63DD2"/>
    <w:rsid w:val="00E71E67"/>
    <w:rsid w:val="00E7271A"/>
    <w:rsid w:val="00E84DF4"/>
    <w:rsid w:val="00EA0A05"/>
    <w:rsid w:val="00EA1CD1"/>
    <w:rsid w:val="00EB2850"/>
    <w:rsid w:val="00EB52F0"/>
    <w:rsid w:val="00EB57EB"/>
    <w:rsid w:val="00EB668A"/>
    <w:rsid w:val="00EC2786"/>
    <w:rsid w:val="00EE5626"/>
    <w:rsid w:val="00EE7697"/>
    <w:rsid w:val="00EF4926"/>
    <w:rsid w:val="00EF6657"/>
    <w:rsid w:val="00F029A8"/>
    <w:rsid w:val="00F13160"/>
    <w:rsid w:val="00F14CA7"/>
    <w:rsid w:val="00F25C89"/>
    <w:rsid w:val="00F30D4F"/>
    <w:rsid w:val="00F50C54"/>
    <w:rsid w:val="00F51150"/>
    <w:rsid w:val="00F61636"/>
    <w:rsid w:val="00F61A3A"/>
    <w:rsid w:val="00F61B93"/>
    <w:rsid w:val="00F63306"/>
    <w:rsid w:val="00F67240"/>
    <w:rsid w:val="00F67BD0"/>
    <w:rsid w:val="00F768AC"/>
    <w:rsid w:val="00F859B7"/>
    <w:rsid w:val="00F86918"/>
    <w:rsid w:val="00F97976"/>
    <w:rsid w:val="00FA7E75"/>
    <w:rsid w:val="00FB096A"/>
    <w:rsid w:val="00FB5FC4"/>
    <w:rsid w:val="00FB607C"/>
    <w:rsid w:val="00FB6B35"/>
    <w:rsid w:val="00FC1C44"/>
    <w:rsid w:val="00FC2C70"/>
    <w:rsid w:val="00FC49D1"/>
    <w:rsid w:val="00FD0A3D"/>
    <w:rsid w:val="00FD66EC"/>
    <w:rsid w:val="00FD7F22"/>
    <w:rsid w:val="00FE3848"/>
    <w:rsid w:val="00FE72FD"/>
    <w:rsid w:val="00FE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28E5D81"/>
  <w15:chartTrackingRefBased/>
  <w15:docId w15:val="{6AFE44E7-6F29-48D6-AD48-C38BEBF88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7CA1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1073C1"/>
    <w:pPr>
      <w:keepNext/>
      <w:spacing w:before="240" w:after="60"/>
      <w:outlineLvl w:val="1"/>
    </w:pPr>
    <w:rPr>
      <w:rFonts w:ascii="Verdana" w:hAnsi="Verdana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C1C44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0C311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AA79E9"/>
    <w:pPr>
      <w:tabs>
        <w:tab w:val="right" w:leader="dot" w:pos="12950"/>
      </w:tabs>
    </w:pPr>
  </w:style>
  <w:style w:type="paragraph" w:styleId="TOC2">
    <w:name w:val="toc 2"/>
    <w:basedOn w:val="Normal"/>
    <w:next w:val="Normal"/>
    <w:autoRedefine/>
    <w:uiPriority w:val="39"/>
    <w:rsid w:val="004E02D2"/>
    <w:pPr>
      <w:tabs>
        <w:tab w:val="right" w:leader="dot" w:pos="12950"/>
      </w:tabs>
    </w:pPr>
  </w:style>
  <w:style w:type="paragraph" w:styleId="BalloonText">
    <w:name w:val="Balloon Text"/>
    <w:basedOn w:val="Normal"/>
    <w:link w:val="BalloonTextChar"/>
    <w:rsid w:val="00B646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64622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D01441"/>
    <w:rPr>
      <w:sz w:val="16"/>
      <w:szCs w:val="16"/>
    </w:rPr>
  </w:style>
  <w:style w:type="paragraph" w:styleId="CommentText">
    <w:name w:val="annotation text"/>
    <w:basedOn w:val="Normal"/>
    <w:link w:val="CommentTextChar"/>
    <w:rsid w:val="00D0144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01441"/>
  </w:style>
  <w:style w:type="paragraph" w:styleId="CommentSubject">
    <w:name w:val="annotation subject"/>
    <w:basedOn w:val="CommentText"/>
    <w:next w:val="CommentText"/>
    <w:link w:val="CommentSubjectChar"/>
    <w:rsid w:val="00D01441"/>
    <w:rPr>
      <w:b/>
      <w:bCs/>
    </w:rPr>
  </w:style>
  <w:style w:type="character" w:customStyle="1" w:styleId="CommentSubjectChar">
    <w:name w:val="Comment Subject Char"/>
    <w:link w:val="CommentSubject"/>
    <w:rsid w:val="00D01441"/>
    <w:rPr>
      <w:b/>
      <w:bCs/>
    </w:rPr>
  </w:style>
  <w:style w:type="paragraph" w:styleId="NormalWeb">
    <w:name w:val="Normal (Web)"/>
    <w:basedOn w:val="Normal"/>
    <w:uiPriority w:val="99"/>
    <w:rsid w:val="00C947D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C947D0"/>
    <w:pPr>
      <w:ind w:left="720"/>
      <w:contextualSpacing/>
    </w:pPr>
  </w:style>
  <w:style w:type="character" w:customStyle="1" w:styleId="FooterChar">
    <w:name w:val="Footer Char"/>
    <w:link w:val="Footer"/>
    <w:uiPriority w:val="99"/>
    <w:rsid w:val="000654E8"/>
    <w:rPr>
      <w:sz w:val="24"/>
      <w:szCs w:val="24"/>
    </w:rPr>
  </w:style>
  <w:style w:type="character" w:customStyle="1" w:styleId="Heading2Char">
    <w:name w:val="Heading 2 Char"/>
    <w:link w:val="Heading2"/>
    <w:rsid w:val="001073C1"/>
    <w:rPr>
      <w:rFonts w:ascii="Verdana" w:hAnsi="Verdana" w:cs="Arial"/>
      <w:b/>
      <w:bCs/>
      <w:iCs/>
      <w:sz w:val="28"/>
      <w:szCs w:val="28"/>
    </w:rPr>
  </w:style>
  <w:style w:type="character" w:styleId="UnresolvedMention">
    <w:name w:val="Unresolved Mention"/>
    <w:uiPriority w:val="99"/>
    <w:semiHidden/>
    <w:unhideWhenUsed/>
    <w:rsid w:val="00B52503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rsid w:val="00A22A67"/>
    <w:pPr>
      <w:ind w:left="480"/>
    </w:pPr>
  </w:style>
  <w:style w:type="character" w:customStyle="1" w:styleId="content-id">
    <w:name w:val="content-id"/>
    <w:basedOn w:val="DefaultParagraphFont"/>
    <w:rsid w:val="005D75ED"/>
  </w:style>
  <w:style w:type="paragraph" w:customStyle="1" w:styleId="style-scope">
    <w:name w:val="style-scope"/>
    <w:basedOn w:val="Normal"/>
    <w:rsid w:val="005D75ED"/>
    <w:pPr>
      <w:spacing w:before="100" w:beforeAutospacing="1" w:after="100" w:afterAutospacing="1"/>
    </w:pPr>
  </w:style>
  <w:style w:type="paragraph" w:styleId="Revision">
    <w:name w:val="Revision"/>
    <w:hidden/>
    <w:uiPriority w:val="99"/>
    <w:semiHidden/>
    <w:rsid w:val="00E40C2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141829">
                  <w:marLeft w:val="3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2970">
              <w:marLeft w:val="3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9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32988">
                  <w:marLeft w:val="21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80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7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06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policy.corp.cvscaremark.com/pnp/faces/DocRenderer?documentId=CALL-001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yperlink" Target="https://policy.corp.cvscaremark.com/pnp/faces/DocRenderer?documentId=CALL-004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source.cvshealth.com/nuxeo/thesourc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hesource.cvshealth.com/nuxeo/thesource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policy.corp.cvscaremark.com/pnp/faces/DocRenderer?documentId=CORSEC-001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thesource.cvshealth.com/nuxeo/thesource/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E1EAC5-4396-4922-B2FC-2B2C1D977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2</TotalTime>
  <Pages>1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</Company>
  <LinksUpToDate>false</LinksUpToDate>
  <CharactersWithSpaces>5521</CharactersWithSpaces>
  <SharedDoc>false</SharedDoc>
  <HLinks>
    <vt:vector size="198" baseType="variant">
      <vt:variant>
        <vt:i4>262192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6094873</vt:i4>
      </vt:variant>
      <vt:variant>
        <vt:i4>99</vt:i4>
      </vt:variant>
      <vt:variant>
        <vt:i4>0</vt:i4>
      </vt:variant>
      <vt:variant>
        <vt:i4>5</vt:i4>
      </vt:variant>
      <vt:variant>
        <vt:lpwstr>../../../AppData/Local/Microsoft/Windows/INetCache/Content.Outlook/VB1ZZDYX/CMS-2-017428</vt:lpwstr>
      </vt:variant>
      <vt:variant>
        <vt:lpwstr/>
      </vt:variant>
      <vt:variant>
        <vt:i4>1310811</vt:i4>
      </vt:variant>
      <vt:variant>
        <vt:i4>96</vt:i4>
      </vt:variant>
      <vt:variant>
        <vt:i4>0</vt:i4>
      </vt:variant>
      <vt:variant>
        <vt:i4>5</vt:i4>
      </vt:variant>
      <vt:variant>
        <vt:lpwstr>https://policy.corp.cvscaremark.com/pnp/faces/SecureDocRenderer?documentId=CALL-0048&amp;uid=pnpdev1</vt:lpwstr>
      </vt:variant>
      <vt:variant>
        <vt:lpwstr/>
      </vt:variant>
      <vt:variant>
        <vt:i4>5570591</vt:i4>
      </vt:variant>
      <vt:variant>
        <vt:i4>93</vt:i4>
      </vt:variant>
      <vt:variant>
        <vt:i4>0</vt:i4>
      </vt:variant>
      <vt:variant>
        <vt:i4>5</vt:i4>
      </vt:variant>
      <vt:variant>
        <vt:lpwstr>../../../AppData/Local/Microsoft/Windows/INetCache/Content.Outlook/VB1ZZDYX/CMS-2-005164</vt:lpwstr>
      </vt:variant>
      <vt:variant>
        <vt:lpwstr/>
      </vt:variant>
      <vt:variant>
        <vt:i4>1507335</vt:i4>
      </vt:variant>
      <vt:variant>
        <vt:i4>90</vt:i4>
      </vt:variant>
      <vt:variant>
        <vt:i4>0</vt:i4>
      </vt:variant>
      <vt:variant>
        <vt:i4>5</vt:i4>
      </vt:variant>
      <vt:variant>
        <vt:lpwstr>../../../AppData/Local/Microsoft/Windows/INetCache/Content.Outlook/VB1ZZDYX/TSRC-PROD-007931</vt:lpwstr>
      </vt:variant>
      <vt:variant>
        <vt:lpwstr/>
      </vt:variant>
      <vt:variant>
        <vt:i4>262192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2293784</vt:i4>
      </vt:variant>
      <vt:variant>
        <vt:i4>81</vt:i4>
      </vt:variant>
      <vt:variant>
        <vt:i4>0</vt:i4>
      </vt:variant>
      <vt:variant>
        <vt:i4>5</vt:i4>
      </vt:variant>
      <vt:variant>
        <vt:lpwstr>mailto:ComprehensiveFWA@caremark.com</vt:lpwstr>
      </vt:variant>
      <vt:variant>
        <vt:lpwstr/>
      </vt:variant>
      <vt:variant>
        <vt:i4>3473447</vt:i4>
      </vt:variant>
      <vt:variant>
        <vt:i4>78</vt:i4>
      </vt:variant>
      <vt:variant>
        <vt:i4>0</vt:i4>
      </vt:variant>
      <vt:variant>
        <vt:i4>5</vt:i4>
      </vt:variant>
      <vt:variant>
        <vt:lpwstr>../../../AppData/Local/Microsoft/Windows/INetCache/Content.Outlook/VB1ZZDYX/CMS-PRD1-109039</vt:lpwstr>
      </vt:variant>
      <vt:variant>
        <vt:lpwstr/>
      </vt:variant>
      <vt:variant>
        <vt:i4>262192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1900551</vt:i4>
      </vt:variant>
      <vt:variant>
        <vt:i4>66</vt:i4>
      </vt:variant>
      <vt:variant>
        <vt:i4>0</vt:i4>
      </vt:variant>
      <vt:variant>
        <vt:i4>5</vt:i4>
      </vt:variant>
      <vt:variant>
        <vt:lpwstr>../../../AppData/Local/Microsoft/Windows/INetCache/Content.Outlook/VB1ZZDYX/TSRC-PROD-020444</vt:lpwstr>
      </vt:variant>
      <vt:variant>
        <vt:lpwstr/>
      </vt:variant>
      <vt:variant>
        <vt:i4>1769515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_Clients:_NEJE,_HMSA,</vt:lpwstr>
      </vt:variant>
      <vt:variant>
        <vt:i4>4456483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_SilverScript,_including_EGWP</vt:lpwstr>
      </vt:variant>
      <vt:variant>
        <vt:i4>262192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7143506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_High_Level_Process</vt:lpwstr>
      </vt:variant>
      <vt:variant>
        <vt:i4>1966093</vt:i4>
      </vt:variant>
      <vt:variant>
        <vt:i4>51</vt:i4>
      </vt:variant>
      <vt:variant>
        <vt:i4>0</vt:i4>
      </vt:variant>
      <vt:variant>
        <vt:i4>5</vt:i4>
      </vt:variant>
      <vt:variant>
        <vt:lpwstr>../../../AppData/Local/Microsoft/Windows/INetCache/Content.Outlook/VB1ZZDYX/TSRC-PROD-018060</vt:lpwstr>
      </vt:variant>
      <vt:variant>
        <vt:lpwstr/>
      </vt:variant>
      <vt:variant>
        <vt:i4>7143506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_High_Level_Process</vt:lpwstr>
      </vt:variant>
      <vt:variant>
        <vt:i4>7143506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_High_Level_Process</vt:lpwstr>
      </vt:variant>
      <vt:variant>
        <vt:i4>7143506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_High_Level_Process</vt:lpwstr>
      </vt:variant>
      <vt:variant>
        <vt:i4>262192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4522101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_Various_Work_Instructions</vt:lpwstr>
      </vt:variant>
      <vt:variant>
        <vt:i4>4325389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ProcessStep6</vt:lpwstr>
      </vt:variant>
      <vt:variant>
        <vt:i4>4653069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ProcessStep3</vt:lpwstr>
      </vt:variant>
      <vt:variant>
        <vt:i4>4587533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ProcessStep2</vt:lpwstr>
      </vt:variant>
      <vt:variant>
        <vt:i4>4521997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ProcessStep1</vt:lpwstr>
      </vt:variant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_Toc120022689</vt:lpwstr>
      </vt:variant>
      <vt:variant>
        <vt:i4>2031669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_Toc120022688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_Toc120022687</vt:lpwstr>
      </vt:variant>
      <vt:variant>
        <vt:i4>2031669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_Toc120022686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_Toc120022685</vt:lpwstr>
      </vt:variant>
      <vt:variant>
        <vt:i4>2031669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_Toc120022684</vt:lpwstr>
      </vt:variant>
      <vt:variant>
        <vt:i4>2031669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_Toc120022683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Gingras, Susan</cp:lastModifiedBy>
  <cp:revision>2</cp:revision>
  <dcterms:created xsi:type="dcterms:W3CDTF">2025-09-02T18:51:00Z</dcterms:created>
  <dcterms:modified xsi:type="dcterms:W3CDTF">2025-09-02T18:51:00Z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2021-10-04T13:25:40Z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f9fe58e4-ae65-48be-8800-3238acabe0dd</vt:lpwstr>
  </property>
  <property fmtid="{D5CDD505-2E9C-101B-9397-08002B2CF9AE}" pid="8" name="MSIP_Label_67599526-06ca-49cc-9fa9-5307800a949a_ContentBits">
    <vt:lpwstr>0</vt:lpwstr>
  </property>
</Properties>
</file>