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621A4" w14:textId="218799A6" w:rsidR="00083679" w:rsidRDefault="009A3511" w:rsidP="007D15C6">
      <w:pPr>
        <w:pStyle w:val="Heading1"/>
      </w:pPr>
      <w:bookmarkStart w:id="0" w:name="_top"/>
      <w:bookmarkStart w:id="1" w:name="OLE_LINK10"/>
      <w:bookmarkEnd w:id="0"/>
      <w:r>
        <w:t>Verint Quality Score (</w:t>
      </w:r>
      <w:proofErr w:type="spellStart"/>
      <w:r>
        <w:t>VQS</w:t>
      </w:r>
      <w:proofErr w:type="spellEnd"/>
      <w:r>
        <w:t>)</w:t>
      </w:r>
      <w:r w:rsidR="00EB107C">
        <w:t xml:space="preserve"> Job Aid</w:t>
      </w:r>
    </w:p>
    <w:bookmarkEnd w:id="1"/>
    <w:p w14:paraId="2D9B954A" w14:textId="7F010854" w:rsidR="00C85013" w:rsidRDefault="009514A5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9418248" w:history="1">
        <w:r w:rsidR="00C85013" w:rsidRPr="008D384E">
          <w:rPr>
            <w:rStyle w:val="Hyperlink"/>
            <w:noProof/>
          </w:rPr>
          <w:t>Verint Quality Score (VQS) Overview</w:t>
        </w:r>
      </w:hyperlink>
    </w:p>
    <w:p w14:paraId="44BB104C" w14:textId="3355203F" w:rsidR="00C85013" w:rsidRDefault="00C8501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418249" w:history="1">
        <w:r w:rsidRPr="008D384E">
          <w:rPr>
            <w:rStyle w:val="Hyperlink"/>
            <w:noProof/>
          </w:rPr>
          <w:t>VQS Evaluation Form Criteria &amp; Helpful Hints</w:t>
        </w:r>
      </w:hyperlink>
    </w:p>
    <w:p w14:paraId="576D1A56" w14:textId="4543EF4E" w:rsidR="00C85013" w:rsidRDefault="00C8501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418250" w:history="1">
        <w:r w:rsidRPr="008D384E">
          <w:rPr>
            <w:rStyle w:val="Hyperlink"/>
            <w:noProof/>
          </w:rPr>
          <w:t>How is VQS Calculated</w:t>
        </w:r>
      </w:hyperlink>
    </w:p>
    <w:p w14:paraId="0F983035" w14:textId="73FB253B" w:rsidR="00C85013" w:rsidRDefault="00C85013">
      <w:pPr>
        <w:pStyle w:val="TOC2"/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9418251" w:history="1">
        <w:r w:rsidRPr="008D384E">
          <w:rPr>
            <w:rStyle w:val="Hyperlink"/>
            <w:noProof/>
          </w:rPr>
          <w:t>Related Documents</w:t>
        </w:r>
      </w:hyperlink>
    </w:p>
    <w:p w14:paraId="78951039" w14:textId="5C7E285C" w:rsidR="009A3511" w:rsidRDefault="009514A5" w:rsidP="009514A5">
      <w:pPr>
        <w:pStyle w:val="Heading4"/>
      </w:pPr>
      <w:r>
        <w:fldChar w:fldCharType="end"/>
      </w:r>
    </w:p>
    <w:p w14:paraId="4C0B28FA" w14:textId="1E0AB2A6" w:rsidR="009A3511" w:rsidRDefault="009A3511" w:rsidP="009A3511">
      <w:r>
        <w:rPr>
          <w:b/>
          <w:bCs/>
        </w:rPr>
        <w:t>Description</w:t>
      </w:r>
      <w:r w:rsidR="00481C2F">
        <w:rPr>
          <w:b/>
          <w:bCs/>
        </w:rPr>
        <w:t xml:space="preserve">: </w:t>
      </w:r>
      <w:r>
        <w:t>Provides information on the Verint Quality Score (</w:t>
      </w:r>
      <w:proofErr w:type="spellStart"/>
      <w:r>
        <w:t>VQS</w:t>
      </w:r>
      <w:proofErr w:type="spellEnd"/>
      <w:r>
        <w:t xml:space="preserve">). </w:t>
      </w:r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9A3511" w14:paraId="0BC8AA70" w14:textId="77777777" w:rsidTr="009A3511">
        <w:tc>
          <w:tcPr>
            <w:tcW w:w="5000" w:type="pct"/>
            <w:shd w:val="clear" w:color="auto" w:fill="BFBFBF" w:themeFill="background1" w:themeFillShade="BF"/>
          </w:tcPr>
          <w:p w14:paraId="67C1AAF7" w14:textId="0077C0AC" w:rsidR="009A3511" w:rsidRDefault="009A3511" w:rsidP="00284672">
            <w:pPr>
              <w:pStyle w:val="Heading2"/>
            </w:pPr>
            <w:bookmarkStart w:id="2" w:name="_Toc199418248"/>
            <w:r>
              <w:t>Verint Quality Score (</w:t>
            </w:r>
            <w:proofErr w:type="spellStart"/>
            <w:r>
              <w:t>VQS</w:t>
            </w:r>
            <w:proofErr w:type="spellEnd"/>
            <w:r>
              <w:t>) Overview</w:t>
            </w:r>
            <w:bookmarkEnd w:id="2"/>
          </w:p>
        </w:tc>
      </w:tr>
    </w:tbl>
    <w:p w14:paraId="452AF178" w14:textId="77777777" w:rsidR="009A3511" w:rsidRPr="009A3511" w:rsidRDefault="009A3511" w:rsidP="009A3511">
      <w:pPr>
        <w:pStyle w:val="ListParagraph"/>
        <w:numPr>
          <w:ilvl w:val="0"/>
          <w:numId w:val="1"/>
        </w:numPr>
        <w:spacing w:before="120" w:after="120"/>
        <w:rPr>
          <w:rFonts w:ascii="Verdana" w:hAnsi="Verdana" w:cstheme="minorHAnsi"/>
          <w:sz w:val="24"/>
          <w:szCs w:val="24"/>
        </w:rPr>
      </w:pPr>
      <w:proofErr w:type="spellStart"/>
      <w:r w:rsidRPr="009A3511">
        <w:rPr>
          <w:rFonts w:ascii="Verdana" w:hAnsi="Verdana" w:cstheme="minorHAnsi"/>
          <w:sz w:val="24"/>
          <w:szCs w:val="24"/>
        </w:rPr>
        <w:t>VQS</w:t>
      </w:r>
      <w:proofErr w:type="spellEnd"/>
      <w:r w:rsidRPr="009A3511">
        <w:rPr>
          <w:rFonts w:ascii="Verdana" w:hAnsi="Verdana" w:cstheme="minorHAnsi"/>
          <w:sz w:val="24"/>
          <w:szCs w:val="24"/>
        </w:rPr>
        <w:t xml:space="preserve"> is an Automated Quality Monitoring (</w:t>
      </w:r>
      <w:proofErr w:type="spellStart"/>
      <w:r w:rsidRPr="009A3511">
        <w:rPr>
          <w:rFonts w:ascii="Verdana" w:hAnsi="Verdana" w:cstheme="minorHAnsi"/>
          <w:sz w:val="24"/>
          <w:szCs w:val="24"/>
        </w:rPr>
        <w:t>AQM</w:t>
      </w:r>
      <w:proofErr w:type="spellEnd"/>
      <w:r w:rsidRPr="009A3511">
        <w:rPr>
          <w:rFonts w:ascii="Verdana" w:hAnsi="Verdana" w:cstheme="minorHAnsi"/>
          <w:sz w:val="24"/>
          <w:szCs w:val="24"/>
        </w:rPr>
        <w:t>) process which replaces MPS (</w:t>
      </w:r>
      <w:proofErr w:type="spellStart"/>
      <w:r w:rsidRPr="009A3511">
        <w:rPr>
          <w:rFonts w:ascii="Verdana" w:hAnsi="Verdana" w:cstheme="minorHAnsi"/>
          <w:sz w:val="24"/>
          <w:szCs w:val="24"/>
        </w:rPr>
        <w:t>Mattersight</w:t>
      </w:r>
      <w:proofErr w:type="spellEnd"/>
      <w:r w:rsidRPr="009A3511">
        <w:rPr>
          <w:rFonts w:ascii="Verdana" w:hAnsi="Verdana" w:cstheme="minorHAnsi"/>
          <w:sz w:val="24"/>
          <w:szCs w:val="24"/>
        </w:rPr>
        <w:t xml:space="preserve"> </w:t>
      </w:r>
      <w:bookmarkStart w:id="3" w:name="OLE_LINK8"/>
      <w:r w:rsidRPr="009A3511">
        <w:rPr>
          <w:rFonts w:ascii="Verdana" w:hAnsi="Verdana" w:cstheme="minorHAnsi"/>
          <w:sz w:val="24"/>
          <w:szCs w:val="24"/>
        </w:rPr>
        <w:t>P</w:t>
      </w:r>
      <w:bookmarkEnd w:id="3"/>
      <w:r w:rsidRPr="009A3511">
        <w:rPr>
          <w:rFonts w:ascii="Verdana" w:hAnsi="Verdana" w:cstheme="minorHAnsi"/>
          <w:sz w:val="24"/>
          <w:szCs w:val="24"/>
        </w:rPr>
        <w:t xml:space="preserve">redictive Score).  </w:t>
      </w:r>
    </w:p>
    <w:p w14:paraId="1B7E5240" w14:textId="77777777" w:rsidR="009A3511" w:rsidRPr="009A3511" w:rsidRDefault="009A3511" w:rsidP="009A3511">
      <w:pPr>
        <w:pStyle w:val="ListParagraph"/>
        <w:numPr>
          <w:ilvl w:val="0"/>
          <w:numId w:val="1"/>
        </w:numPr>
        <w:spacing w:before="120" w:after="120"/>
        <w:rPr>
          <w:rFonts w:ascii="Verdana" w:hAnsi="Verdana" w:cstheme="minorHAnsi"/>
          <w:sz w:val="24"/>
          <w:szCs w:val="24"/>
        </w:rPr>
      </w:pPr>
      <w:proofErr w:type="spellStart"/>
      <w:r w:rsidRPr="009A3511">
        <w:rPr>
          <w:rFonts w:ascii="Verdana" w:hAnsi="Verdana" w:cstheme="minorHAnsi"/>
          <w:sz w:val="24"/>
          <w:szCs w:val="24"/>
        </w:rPr>
        <w:t>VQS</w:t>
      </w:r>
      <w:proofErr w:type="spellEnd"/>
      <w:r w:rsidRPr="009A3511">
        <w:rPr>
          <w:rFonts w:ascii="Verdana" w:hAnsi="Verdana" w:cstheme="minorHAnsi"/>
          <w:sz w:val="24"/>
          <w:szCs w:val="24"/>
        </w:rPr>
        <w:t xml:space="preserve"> uses speech analytics and artificial intelligence to look for certain phrasing within the Rep’s speech to complete a call review evaluation &amp; provide an overall quality score.</w:t>
      </w:r>
    </w:p>
    <w:p w14:paraId="582629EE" w14:textId="2F66B75F" w:rsidR="009A3511" w:rsidRPr="009A3511" w:rsidRDefault="009A3511" w:rsidP="009A3511">
      <w:pPr>
        <w:pStyle w:val="ListParagraph"/>
        <w:numPr>
          <w:ilvl w:val="0"/>
          <w:numId w:val="1"/>
        </w:numPr>
        <w:spacing w:before="120" w:after="120"/>
        <w:rPr>
          <w:rFonts w:ascii="Verdana" w:hAnsi="Verdana" w:cstheme="minorHAnsi"/>
          <w:sz w:val="24"/>
          <w:szCs w:val="24"/>
        </w:rPr>
      </w:pPr>
      <w:proofErr w:type="spellStart"/>
      <w:r w:rsidRPr="009A3511">
        <w:rPr>
          <w:rFonts w:ascii="Verdana" w:hAnsi="Verdana" w:cstheme="minorHAnsi"/>
          <w:sz w:val="24"/>
          <w:szCs w:val="24"/>
        </w:rPr>
        <w:t>VQS</w:t>
      </w:r>
      <w:proofErr w:type="spellEnd"/>
      <w:r w:rsidRPr="009A3511">
        <w:rPr>
          <w:rFonts w:ascii="Verdana" w:hAnsi="Verdana" w:cstheme="minorHAnsi"/>
          <w:sz w:val="24"/>
          <w:szCs w:val="24"/>
        </w:rPr>
        <w:t xml:space="preserve"> relies upon translation of spoken words to text, so speaking clearly will have a positive impact on translation accuracy, </w:t>
      </w:r>
      <w:proofErr w:type="spellStart"/>
      <w:r w:rsidRPr="009A3511">
        <w:rPr>
          <w:rFonts w:ascii="Verdana" w:hAnsi="Verdana" w:cstheme="minorHAnsi"/>
          <w:sz w:val="24"/>
          <w:szCs w:val="24"/>
        </w:rPr>
        <w:t>VQS</w:t>
      </w:r>
      <w:proofErr w:type="spellEnd"/>
      <w:r w:rsidRPr="009A3511">
        <w:rPr>
          <w:rFonts w:ascii="Verdana" w:hAnsi="Verdana" w:cstheme="minorHAnsi"/>
          <w:sz w:val="24"/>
          <w:szCs w:val="24"/>
        </w:rPr>
        <w:t xml:space="preserve"> scoring accuracy, and will improve member experience.  Remember, if automation can’t understand spoken words, members likely can’t either</w:t>
      </w:r>
      <w:r w:rsidR="00297F8E">
        <w:rPr>
          <w:rFonts w:ascii="Verdana" w:hAnsi="Verdana" w:cstheme="minorHAnsi"/>
          <w:sz w:val="24"/>
          <w:szCs w:val="24"/>
        </w:rPr>
        <w:t>.</w:t>
      </w:r>
    </w:p>
    <w:p w14:paraId="4B2370A4" w14:textId="77777777" w:rsidR="009A3511" w:rsidRPr="009A3511" w:rsidRDefault="009A3511" w:rsidP="009A3511">
      <w:pPr>
        <w:pStyle w:val="ListParagraph"/>
        <w:numPr>
          <w:ilvl w:val="0"/>
          <w:numId w:val="1"/>
        </w:numPr>
        <w:spacing w:before="120" w:after="120"/>
        <w:rPr>
          <w:rFonts w:ascii="Verdana" w:hAnsi="Verdana" w:cstheme="minorHAnsi"/>
          <w:sz w:val="24"/>
          <w:szCs w:val="24"/>
        </w:rPr>
      </w:pPr>
      <w:proofErr w:type="spellStart"/>
      <w:r w:rsidRPr="009A3511">
        <w:rPr>
          <w:rFonts w:ascii="Verdana" w:hAnsi="Verdana" w:cstheme="minorHAnsi"/>
          <w:sz w:val="24"/>
          <w:szCs w:val="24"/>
        </w:rPr>
        <w:t>VQS</w:t>
      </w:r>
      <w:proofErr w:type="spellEnd"/>
      <w:r w:rsidRPr="009A3511">
        <w:rPr>
          <w:rFonts w:ascii="Verdana" w:hAnsi="Verdana" w:cstheme="minorHAnsi"/>
          <w:sz w:val="24"/>
          <w:szCs w:val="24"/>
        </w:rPr>
        <w:t xml:space="preserve"> process applies to:</w:t>
      </w:r>
    </w:p>
    <w:p w14:paraId="29A533F9" w14:textId="77777777" w:rsidR="009A3511" w:rsidRPr="009A3511" w:rsidRDefault="009A3511" w:rsidP="009A3511">
      <w:pPr>
        <w:pStyle w:val="ListParagraph"/>
        <w:numPr>
          <w:ilvl w:val="1"/>
          <w:numId w:val="1"/>
        </w:numPr>
        <w:spacing w:before="120" w:after="120"/>
        <w:rPr>
          <w:rFonts w:ascii="Verdana" w:hAnsi="Verdana" w:cstheme="minorHAnsi"/>
          <w:sz w:val="24"/>
          <w:szCs w:val="24"/>
        </w:rPr>
      </w:pPr>
      <w:r w:rsidRPr="009A3511">
        <w:rPr>
          <w:rFonts w:ascii="Verdana" w:hAnsi="Verdana" w:cstheme="minorHAnsi"/>
          <w:sz w:val="24"/>
          <w:szCs w:val="24"/>
        </w:rPr>
        <w:t xml:space="preserve">100% of inbound Commercial and Medicare D calls </w:t>
      </w:r>
    </w:p>
    <w:p w14:paraId="41C79C9E" w14:textId="7512294C" w:rsidR="009A3511" w:rsidRDefault="009A3511" w:rsidP="009A3511">
      <w:pPr>
        <w:pStyle w:val="ListParagraph"/>
        <w:numPr>
          <w:ilvl w:val="1"/>
          <w:numId w:val="1"/>
        </w:numPr>
        <w:spacing w:before="120" w:after="120"/>
        <w:rPr>
          <w:rFonts w:ascii="Verdana" w:hAnsi="Verdana" w:cstheme="minorHAnsi"/>
          <w:sz w:val="24"/>
          <w:szCs w:val="24"/>
        </w:rPr>
      </w:pPr>
      <w:r w:rsidRPr="009A3511">
        <w:rPr>
          <w:rFonts w:ascii="Verdana" w:hAnsi="Verdana" w:cstheme="minorHAnsi"/>
          <w:sz w:val="24"/>
          <w:szCs w:val="24"/>
        </w:rPr>
        <w:t>Member transfers to Supervisors which are greater than two minutes</w:t>
      </w:r>
    </w:p>
    <w:p w14:paraId="54C739AD" w14:textId="1C88C844" w:rsidR="009A3511" w:rsidRDefault="009A3511" w:rsidP="009A3511">
      <w:pPr>
        <w:spacing w:before="120" w:after="120"/>
        <w:rPr>
          <w:rFonts w:cstheme="minorHAnsi"/>
          <w:szCs w:val="24"/>
        </w:rPr>
      </w:pPr>
    </w:p>
    <w:p w14:paraId="4677A428" w14:textId="52609B6F" w:rsidR="009A3511" w:rsidRPr="009A3511" w:rsidRDefault="009A3511" w:rsidP="009A3511">
      <w:pPr>
        <w:spacing w:before="120" w:after="120"/>
        <w:jc w:val="right"/>
        <w:rPr>
          <w:rFonts w:cstheme="minorHAnsi"/>
          <w:szCs w:val="24"/>
        </w:rPr>
      </w:pPr>
      <w:hyperlink w:anchor="_top" w:history="1">
        <w:r w:rsidRPr="009A3511">
          <w:rPr>
            <w:rStyle w:val="Hyperlink"/>
            <w:rFonts w:cstheme="minorHAnsi"/>
            <w:szCs w:val="24"/>
          </w:rPr>
          <w:t>Top of the Document</w:t>
        </w:r>
      </w:hyperlink>
    </w:p>
    <w:tbl>
      <w:tblPr>
        <w:tblStyle w:val="TableGrid"/>
        <w:tblW w:w="5000" w:type="pct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2950"/>
      </w:tblGrid>
      <w:tr w:rsidR="009A3511" w14:paraId="0F781B32" w14:textId="77777777" w:rsidTr="008516CA">
        <w:tc>
          <w:tcPr>
            <w:tcW w:w="5000" w:type="pct"/>
            <w:shd w:val="clear" w:color="auto" w:fill="BFBFBF" w:themeFill="background1" w:themeFillShade="BF"/>
          </w:tcPr>
          <w:p w14:paraId="67AA6881" w14:textId="6BFD722D" w:rsidR="009A3511" w:rsidRDefault="009A3511" w:rsidP="00284672">
            <w:pPr>
              <w:pStyle w:val="Heading2"/>
            </w:pPr>
            <w:bookmarkStart w:id="4" w:name="_Toc199418249"/>
            <w:proofErr w:type="spellStart"/>
            <w:r w:rsidRPr="009A3511">
              <w:t>VQS</w:t>
            </w:r>
            <w:proofErr w:type="spellEnd"/>
            <w:r w:rsidRPr="009A3511">
              <w:t xml:space="preserve"> Evaluation Form Criteria &amp; Helpful Hints</w:t>
            </w:r>
            <w:bookmarkEnd w:id="4"/>
          </w:p>
        </w:tc>
      </w:tr>
    </w:tbl>
    <w:p w14:paraId="4139CAA8" w14:textId="77777777" w:rsidR="009A3511" w:rsidRDefault="009A3511" w:rsidP="009A3511">
      <w:pPr>
        <w:spacing w:before="120" w:after="120"/>
        <w:rPr>
          <w:rFonts w:asciiTheme="minorHAnsi" w:hAnsiTheme="minorHAnsi" w:cstheme="minorHAnsi"/>
          <w:sz w:val="22"/>
        </w:rPr>
      </w:pPr>
      <w:r>
        <w:rPr>
          <w:rFonts w:cstheme="minorHAnsi"/>
        </w:rPr>
        <w:t xml:space="preserve">This section provides an overview of the different call flow elements </w:t>
      </w:r>
      <w:proofErr w:type="spellStart"/>
      <w:proofErr w:type="gramStart"/>
      <w:r>
        <w:rPr>
          <w:rFonts w:cstheme="minorHAnsi"/>
        </w:rPr>
        <w:t>VQS</w:t>
      </w:r>
      <w:proofErr w:type="spellEnd"/>
      <w:r>
        <w:rPr>
          <w:rFonts w:cstheme="minorHAnsi"/>
        </w:rPr>
        <w:t xml:space="preserve"> is</w:t>
      </w:r>
      <w:proofErr w:type="gramEnd"/>
      <w:r>
        <w:rPr>
          <w:rFonts w:cstheme="minorHAnsi"/>
        </w:rPr>
        <w:t xml:space="preserve"> monitoring and evaluating. Listed below you will find the corresponding points awarded for each element and helpful hints to be aware of. </w:t>
      </w:r>
    </w:p>
    <w:p w14:paraId="31645BB4" w14:textId="29C131EC" w:rsidR="009A3511" w:rsidRDefault="009A3511" w:rsidP="714705D0">
      <w:pPr>
        <w:spacing w:before="120" w:after="120"/>
      </w:pPr>
      <w:r w:rsidRPr="714705D0">
        <w:rPr>
          <w:b/>
          <w:bCs/>
        </w:rPr>
        <w:t>Note:</w:t>
      </w:r>
      <w:r w:rsidRPr="714705D0">
        <w:t xml:space="preserve"> When </w:t>
      </w:r>
      <w:proofErr w:type="spellStart"/>
      <w:r w:rsidRPr="714705D0">
        <w:t>VQS</w:t>
      </w:r>
      <w:proofErr w:type="spellEnd"/>
      <w:r w:rsidRPr="714705D0">
        <w:t xml:space="preserve"> scores a call, and the result is N/A (</w:t>
      </w:r>
      <w:r w:rsidR="00C1137C" w:rsidRPr="714705D0">
        <w:rPr>
          <w:b/>
          <w:bCs/>
        </w:rPr>
        <w:t xml:space="preserve">Example: </w:t>
      </w:r>
      <w:r w:rsidRPr="714705D0">
        <w:t>Putting member on hold)</w:t>
      </w:r>
      <w:r w:rsidR="00C1137C" w:rsidRPr="714705D0">
        <w:t xml:space="preserve">, </w:t>
      </w:r>
      <w:r w:rsidRPr="714705D0">
        <w:t xml:space="preserve">the system will automatically award the points.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05"/>
        <w:gridCol w:w="3196"/>
        <w:gridCol w:w="2585"/>
        <w:gridCol w:w="3864"/>
      </w:tblGrid>
      <w:tr w:rsidR="009A3511" w14:paraId="4E27FCCB" w14:textId="77777777" w:rsidTr="714705D0">
        <w:trPr>
          <w:trHeight w:val="440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7ABBDD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Topic Category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85E639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Review Scope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DE09DA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Potential Results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2CAE4F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Helpful Hint Examples </w:t>
            </w:r>
          </w:p>
        </w:tc>
      </w:tr>
      <w:tr w:rsidR="009A3511" w14:paraId="1C962DC2" w14:textId="77777777" w:rsidTr="714705D0">
        <w:trPr>
          <w:trHeight w:val="953"/>
        </w:trPr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9C764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Greeting &amp; Authentication (25 pts)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34AC1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Greeting (10 pts)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798AA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Yes or No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A7B2" w14:textId="12958477" w:rsidR="009A3511" w:rsidRDefault="00297F8E" w:rsidP="009A3511">
            <w:pPr>
              <w:spacing w:before="120" w:after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Follow the Consultative Call Flow and s</w:t>
            </w:r>
            <w:r w:rsidR="009A3511">
              <w:rPr>
                <w:rFonts w:cstheme="minorHAnsi"/>
                <w:color w:val="000000" w:themeColor="text1"/>
              </w:rPr>
              <w:t xml:space="preserve">tart the call by saying </w:t>
            </w:r>
            <w:r>
              <w:rPr>
                <w:rFonts w:cstheme="minorHAnsi"/>
                <w:color w:val="000000" w:themeColor="text1"/>
              </w:rPr>
              <w:t xml:space="preserve">thank you, </w:t>
            </w:r>
            <w:r w:rsidR="009A3511">
              <w:rPr>
                <w:rFonts w:cstheme="minorHAnsi"/>
                <w:color w:val="000000" w:themeColor="text1"/>
              </w:rPr>
              <w:t>hello, good morning, good evening</w:t>
            </w:r>
            <w:bookmarkStart w:id="5" w:name="OLE_LINK16"/>
            <w:r w:rsidR="009A3511">
              <w:rPr>
                <w:rFonts w:cstheme="minorHAnsi"/>
                <w:color w:val="000000" w:themeColor="text1"/>
              </w:rPr>
              <w:t>, etc.</w:t>
            </w:r>
            <w:bookmarkEnd w:id="5"/>
          </w:p>
        </w:tc>
      </w:tr>
      <w:tr w:rsidR="009A3511" w14:paraId="6377742E" w14:textId="77777777" w:rsidTr="714705D0">
        <w:trPr>
          <w:trHeight w:val="1034"/>
        </w:trPr>
        <w:tc>
          <w:tcPr>
            <w:tcW w:w="1276" w:type="pct"/>
            <w:vMerge/>
            <w:vAlign w:val="center"/>
            <w:hideMark/>
          </w:tcPr>
          <w:p w14:paraId="48663A00" w14:textId="77777777" w:rsidR="009A3511" w:rsidRDefault="009A3511" w:rsidP="009A3511">
            <w:pPr>
              <w:spacing w:before="120" w:after="120"/>
              <w:rPr>
                <w:rFonts w:cstheme="minorHAnsi"/>
                <w:color w:val="000000" w:themeColor="text1"/>
                <w:sz w:val="22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BF9A1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Authenticate (15 pts)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50FB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Yes or No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38F91" w14:textId="73A4F4E9" w:rsidR="009A3511" w:rsidRDefault="009A3511" w:rsidP="009A3511">
            <w:pPr>
              <w:spacing w:before="120" w:after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Use your authentication key words: </w:t>
            </w:r>
            <w:r w:rsidR="009514A5">
              <w:rPr>
                <w:rFonts w:cstheme="minorHAnsi"/>
                <w:color w:val="000000" w:themeColor="text1"/>
              </w:rPr>
              <w:t>F</w:t>
            </w:r>
            <w:r>
              <w:rPr>
                <w:rFonts w:cstheme="minorHAnsi"/>
                <w:color w:val="000000" w:themeColor="text1"/>
              </w:rPr>
              <w:t>irst/last name, date of birth, medication, etc.</w:t>
            </w:r>
          </w:p>
        </w:tc>
      </w:tr>
      <w:tr w:rsidR="009A3511" w14:paraId="5178563C" w14:textId="77777777" w:rsidTr="714705D0">
        <w:trPr>
          <w:trHeight w:val="1727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105FD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Reason (20 pts)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FAFB9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Call Reason (20 pts)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52CF1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Yes or No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D0577" w14:textId="0D07919D" w:rsidR="009514A5" w:rsidRPr="009514A5" w:rsidRDefault="00297F8E" w:rsidP="009A3511">
            <w:pPr>
              <w:spacing w:before="120" w:after="120"/>
              <w:rPr>
                <w:rFonts w:cstheme="minorHAnsi"/>
                <w:color w:val="000000" w:themeColor="text1"/>
                <w:szCs w:val="24"/>
              </w:rPr>
            </w:pPr>
            <w:r>
              <w:rPr>
                <w:rFonts w:cstheme="minorHAnsi"/>
                <w:color w:val="000000" w:themeColor="text1"/>
                <w:szCs w:val="24"/>
              </w:rPr>
              <w:t>Reassure member you can assist them with the reason for their call</w:t>
            </w:r>
            <w:r w:rsidR="009514A5" w:rsidRPr="009514A5">
              <w:rPr>
                <w:rFonts w:cstheme="minorHAnsi"/>
                <w:color w:val="000000" w:themeColor="text1"/>
                <w:szCs w:val="24"/>
              </w:rPr>
              <w:t xml:space="preserve">. </w:t>
            </w:r>
          </w:p>
          <w:p w14:paraId="3444BB3B" w14:textId="3AE38B8E" w:rsidR="009514A5" w:rsidRPr="009514A5" w:rsidRDefault="008516CA" w:rsidP="009A3511">
            <w:pPr>
              <w:spacing w:before="120" w:after="120"/>
              <w:rPr>
                <w:rFonts w:cstheme="minorHAnsi"/>
                <w:b/>
                <w:bCs/>
                <w:color w:val="000000" w:themeColor="text1"/>
                <w:szCs w:val="24"/>
              </w:rPr>
            </w:pPr>
            <w:r>
              <w:rPr>
                <w:rFonts w:cstheme="minorHAnsi"/>
                <w:b/>
                <w:bCs/>
                <w:noProof/>
                <w:color w:val="000000" w:themeColor="text1"/>
                <w:szCs w:val="24"/>
              </w:rPr>
              <w:drawing>
                <wp:inline distT="0" distB="0" distL="0" distR="0" wp14:anchorId="2631CC6E" wp14:editId="60ABD3A7">
                  <wp:extent cx="304762" cy="304762"/>
                  <wp:effectExtent l="0" t="0" r="635" b="635"/>
                  <wp:docPr id="1435209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209112" name="Picture 143520911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/>
                <w:bCs/>
                <w:color w:val="000000" w:themeColor="text1"/>
                <w:szCs w:val="24"/>
              </w:rPr>
              <w:t xml:space="preserve"> </w:t>
            </w:r>
            <w:r w:rsidR="009514A5" w:rsidRPr="009514A5">
              <w:rPr>
                <w:rFonts w:cstheme="minorHAnsi"/>
                <w:b/>
                <w:bCs/>
                <w:color w:val="000000" w:themeColor="text1"/>
                <w:szCs w:val="24"/>
              </w:rPr>
              <w:t>Examples:</w:t>
            </w:r>
          </w:p>
          <w:p w14:paraId="45BC7B0F" w14:textId="77777777" w:rsidR="00544144" w:rsidRDefault="00482D8C" w:rsidP="009514A5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Yes, I can help you with…</w:t>
            </w:r>
            <w:r w:rsidR="00B317BA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587A830C" w14:textId="77777777" w:rsidR="00544144" w:rsidRDefault="00B317BA" w:rsidP="009514A5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I can certainly help you </w:t>
            </w:r>
            <w:r w:rsidR="00EA5937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with… </w:t>
            </w:r>
          </w:p>
          <w:p w14:paraId="709BD6F1" w14:textId="77777777" w:rsidR="00544144" w:rsidRDefault="009F5F5C" w:rsidP="009514A5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Absolutely</w:t>
            </w:r>
            <w:r w:rsidR="00127994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, I can help </w:t>
            </w:r>
            <w:r w:rsidR="00C767D7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you </w:t>
            </w:r>
            <w:r w:rsidR="00127994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with…. </w:t>
            </w:r>
          </w:p>
          <w:p w14:paraId="50D9E022" w14:textId="081389D8" w:rsidR="009A3511" w:rsidRPr="009514A5" w:rsidRDefault="00DF3F4C" w:rsidP="009514A5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Definitely, I</w:t>
            </w:r>
            <w:proofErr w:type="gramEnd"/>
            <w:r w:rsidR="00127994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 can help you with…</w:t>
            </w:r>
          </w:p>
        </w:tc>
      </w:tr>
      <w:tr w:rsidR="009A3511" w14:paraId="0CE3B05A" w14:textId="77777777" w:rsidTr="714705D0">
        <w:trPr>
          <w:trHeight w:val="1430"/>
        </w:trPr>
        <w:tc>
          <w:tcPr>
            <w:tcW w:w="12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12C7E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Resolve Issue (35 pts)</w:t>
            </w:r>
          </w:p>
          <w:p w14:paraId="2C649872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</w:p>
          <w:p w14:paraId="2A390982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(Note that these elements are triggered by an action and </w:t>
            </w:r>
            <w:proofErr w:type="spellStart"/>
            <w:r>
              <w:rPr>
                <w:rFonts w:cstheme="minorHAnsi"/>
                <w:color w:val="000000" w:themeColor="text1"/>
              </w:rPr>
              <w:t>AQM</w:t>
            </w:r>
            <w:proofErr w:type="spellEnd"/>
            <w:r>
              <w:rPr>
                <w:rFonts w:cstheme="minorHAnsi"/>
                <w:color w:val="000000" w:themeColor="text1"/>
              </w:rPr>
              <w:t xml:space="preserve"> is looking for a response to that action)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E8DA0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Hold (10 pts)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C2551" w14:textId="3C26CF25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Yes, No</w:t>
            </w:r>
            <w:r w:rsidR="009514A5">
              <w:rPr>
                <w:rFonts w:cstheme="minorHAnsi"/>
                <w:color w:val="000000" w:themeColor="text1"/>
              </w:rPr>
              <w:t>,</w:t>
            </w:r>
            <w:r>
              <w:rPr>
                <w:rFonts w:cstheme="minorHAnsi"/>
                <w:color w:val="000000" w:themeColor="text1"/>
              </w:rPr>
              <w:t xml:space="preserve"> or N/A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06760" w14:textId="1A54881B" w:rsidR="009A3511" w:rsidRPr="009514A5" w:rsidRDefault="009A3511" w:rsidP="009A3511">
            <w:pPr>
              <w:spacing w:before="120" w:after="120"/>
              <w:rPr>
                <w:rFonts w:cstheme="minorHAnsi"/>
                <w:color w:val="000000" w:themeColor="text1"/>
                <w:szCs w:val="24"/>
              </w:rPr>
            </w:pPr>
            <w:r w:rsidRPr="009514A5">
              <w:rPr>
                <w:rFonts w:cstheme="minorHAnsi"/>
                <w:b/>
                <w:bCs/>
                <w:color w:val="000000" w:themeColor="text1"/>
                <w:szCs w:val="24"/>
              </w:rPr>
              <w:t>Action:</w:t>
            </w:r>
            <w:r w:rsidRPr="009514A5">
              <w:rPr>
                <w:rFonts w:cstheme="minorHAnsi"/>
                <w:color w:val="000000" w:themeColor="text1"/>
                <w:szCs w:val="24"/>
              </w:rPr>
              <w:t xml:space="preserve"> Caller is placed on hold.</w:t>
            </w:r>
          </w:p>
          <w:p w14:paraId="70FA8445" w14:textId="77777777" w:rsidR="009A3511" w:rsidRPr="009514A5" w:rsidRDefault="009A3511" w:rsidP="009A3511">
            <w:pPr>
              <w:spacing w:before="120" w:after="120"/>
              <w:rPr>
                <w:rFonts w:cstheme="minorHAnsi"/>
                <w:color w:val="000000" w:themeColor="text1"/>
                <w:szCs w:val="24"/>
              </w:rPr>
            </w:pPr>
          </w:p>
          <w:p w14:paraId="50B25416" w14:textId="37F63838" w:rsidR="009514A5" w:rsidRPr="009514A5" w:rsidRDefault="009A3511" w:rsidP="009A3511">
            <w:pPr>
              <w:spacing w:before="120" w:after="120"/>
              <w:rPr>
                <w:rFonts w:cstheme="minorHAnsi"/>
                <w:color w:val="000000" w:themeColor="text1"/>
                <w:szCs w:val="24"/>
              </w:rPr>
            </w:pPr>
            <w:r w:rsidRPr="009514A5">
              <w:rPr>
                <w:rFonts w:cstheme="minorHAnsi"/>
                <w:b/>
                <w:bCs/>
                <w:color w:val="000000" w:themeColor="text1"/>
                <w:szCs w:val="24"/>
              </w:rPr>
              <w:t>Response:</w:t>
            </w:r>
            <w:r w:rsidRPr="009514A5">
              <w:rPr>
                <w:rFonts w:cstheme="minorHAnsi"/>
                <w:color w:val="000000" w:themeColor="text1"/>
                <w:szCs w:val="24"/>
              </w:rPr>
              <w:t xml:space="preserve"> Acknowledge the caller after returning from hold</w:t>
            </w:r>
            <w:r w:rsidR="009514A5" w:rsidRPr="009514A5">
              <w:rPr>
                <w:rFonts w:cstheme="minorHAnsi"/>
                <w:color w:val="000000" w:themeColor="text1"/>
                <w:szCs w:val="24"/>
              </w:rPr>
              <w:t xml:space="preserve">. </w:t>
            </w:r>
          </w:p>
          <w:p w14:paraId="1975C7E1" w14:textId="77777777" w:rsidR="009514A5" w:rsidRPr="009514A5" w:rsidRDefault="009514A5" w:rsidP="009A3511">
            <w:pPr>
              <w:spacing w:before="120" w:after="120"/>
              <w:rPr>
                <w:rFonts w:cstheme="minorHAnsi"/>
                <w:b/>
                <w:bCs/>
                <w:color w:val="000000" w:themeColor="text1"/>
                <w:szCs w:val="24"/>
              </w:rPr>
            </w:pPr>
            <w:r w:rsidRPr="009514A5">
              <w:rPr>
                <w:rFonts w:cstheme="minorHAnsi"/>
                <w:b/>
                <w:bCs/>
                <w:color w:val="000000" w:themeColor="text1"/>
                <w:szCs w:val="24"/>
              </w:rPr>
              <w:t>Examples:</w:t>
            </w:r>
          </w:p>
          <w:p w14:paraId="160395A1" w14:textId="5B2305C4" w:rsidR="009514A5" w:rsidRDefault="009514A5" w:rsidP="009514A5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 w:rsidRPr="009514A5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T</w:t>
            </w:r>
            <w:r w:rsidR="009A3511" w:rsidRPr="009514A5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hank you for holding</w:t>
            </w:r>
            <w:r w:rsidR="00297F8E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.</w:t>
            </w:r>
          </w:p>
          <w:p w14:paraId="55B14653" w14:textId="69A10552" w:rsidR="009514A5" w:rsidRPr="009514A5" w:rsidRDefault="009A3511" w:rsidP="009514A5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 w:rsidRPr="009514A5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I appreciate your patience</w:t>
            </w:r>
            <w:r w:rsidR="00297F8E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9A3511" w14:paraId="7326C115" w14:textId="77777777" w:rsidTr="714705D0">
        <w:trPr>
          <w:trHeight w:val="1241"/>
        </w:trPr>
        <w:tc>
          <w:tcPr>
            <w:tcW w:w="1276" w:type="pct"/>
            <w:vMerge/>
            <w:vAlign w:val="center"/>
            <w:hideMark/>
          </w:tcPr>
          <w:p w14:paraId="15F12A24" w14:textId="77777777" w:rsidR="009A3511" w:rsidRDefault="009A3511" w:rsidP="009A3511">
            <w:pPr>
              <w:spacing w:before="120" w:after="120"/>
              <w:rPr>
                <w:rFonts w:cstheme="minorHAnsi"/>
                <w:color w:val="000000" w:themeColor="text1"/>
                <w:sz w:val="22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A5874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Empathy (10 pts)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04EE1" w14:textId="37E5A22C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Yes, No</w:t>
            </w:r>
            <w:r w:rsidR="009514A5">
              <w:rPr>
                <w:rFonts w:cstheme="minorHAnsi"/>
                <w:color w:val="000000" w:themeColor="text1"/>
              </w:rPr>
              <w:t>,</w:t>
            </w:r>
            <w:r>
              <w:rPr>
                <w:rFonts w:cstheme="minorHAnsi"/>
                <w:color w:val="000000" w:themeColor="text1"/>
              </w:rPr>
              <w:t xml:space="preserve"> or N/A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E76D" w14:textId="7BD78FF6" w:rsidR="009A3511" w:rsidRPr="009514A5" w:rsidRDefault="009A3511" w:rsidP="009A3511">
            <w:pPr>
              <w:spacing w:before="120" w:after="120"/>
              <w:rPr>
                <w:rFonts w:cstheme="minorHAnsi"/>
                <w:color w:val="000000" w:themeColor="text1"/>
                <w:szCs w:val="24"/>
              </w:rPr>
            </w:pPr>
            <w:r w:rsidRPr="009514A5">
              <w:rPr>
                <w:rFonts w:cstheme="minorHAnsi"/>
                <w:b/>
                <w:bCs/>
                <w:color w:val="000000" w:themeColor="text1"/>
                <w:szCs w:val="24"/>
              </w:rPr>
              <w:t>Action:</w:t>
            </w:r>
            <w:r w:rsidRPr="009514A5">
              <w:rPr>
                <w:rFonts w:cstheme="minorHAnsi"/>
                <w:color w:val="000000" w:themeColor="text1"/>
                <w:szCs w:val="24"/>
              </w:rPr>
              <w:t xml:space="preserve"> Caller uses words indicating that he/she is upset or is seeking comfort.</w:t>
            </w:r>
          </w:p>
          <w:p w14:paraId="3B312AB2" w14:textId="77777777" w:rsidR="009A3511" w:rsidRPr="009514A5" w:rsidRDefault="009A3511" w:rsidP="009A3511">
            <w:pPr>
              <w:spacing w:before="120" w:after="120"/>
              <w:rPr>
                <w:rFonts w:cstheme="minorHAnsi"/>
                <w:color w:val="000000" w:themeColor="text1"/>
                <w:szCs w:val="24"/>
              </w:rPr>
            </w:pPr>
          </w:p>
          <w:p w14:paraId="686070BB" w14:textId="17BAC57C" w:rsidR="009514A5" w:rsidRPr="009514A5" w:rsidRDefault="009A3511" w:rsidP="009A3511">
            <w:pPr>
              <w:spacing w:before="120" w:after="120"/>
              <w:rPr>
                <w:rFonts w:cstheme="minorHAnsi"/>
                <w:color w:val="000000" w:themeColor="text1"/>
                <w:szCs w:val="24"/>
              </w:rPr>
            </w:pPr>
            <w:r w:rsidRPr="009514A5">
              <w:rPr>
                <w:rFonts w:cstheme="minorHAnsi"/>
                <w:b/>
                <w:bCs/>
                <w:color w:val="000000" w:themeColor="text1"/>
                <w:szCs w:val="24"/>
              </w:rPr>
              <w:t>Response:</w:t>
            </w:r>
            <w:r w:rsidRPr="009514A5">
              <w:rPr>
                <w:rFonts w:cstheme="minorHAnsi"/>
                <w:color w:val="000000" w:themeColor="text1"/>
                <w:szCs w:val="24"/>
              </w:rPr>
              <w:t xml:space="preserve"> Create a human connection</w:t>
            </w:r>
            <w:r w:rsidR="009514A5" w:rsidRPr="009514A5">
              <w:rPr>
                <w:rFonts w:cstheme="minorHAnsi"/>
                <w:color w:val="000000" w:themeColor="text1"/>
                <w:szCs w:val="24"/>
              </w:rPr>
              <w:t xml:space="preserve">. </w:t>
            </w:r>
          </w:p>
          <w:p w14:paraId="0571B89B" w14:textId="745D4209" w:rsidR="00C85013" w:rsidRPr="00C85013" w:rsidRDefault="009514A5" w:rsidP="00C85013">
            <w:pPr>
              <w:spacing w:before="120" w:after="120"/>
              <w:rPr>
                <w:rFonts w:cstheme="minorHAnsi"/>
                <w:color w:val="000000" w:themeColor="text1"/>
                <w:szCs w:val="24"/>
              </w:rPr>
            </w:pPr>
            <w:r w:rsidRPr="00C85013">
              <w:rPr>
                <w:b/>
                <w:bCs/>
                <w:color w:val="000000" w:themeColor="text1"/>
                <w:szCs w:val="24"/>
              </w:rPr>
              <w:t>Examples:</w:t>
            </w:r>
            <w:r w:rsidR="00C85013" w:rsidRPr="00C85013">
              <w:rPr>
                <w:b/>
                <w:bCs/>
                <w:color w:val="000000" w:themeColor="text1"/>
                <w:szCs w:val="24"/>
              </w:rPr>
              <w:t xml:space="preserve"> </w:t>
            </w:r>
          </w:p>
          <w:p w14:paraId="6E186813" w14:textId="77777777" w:rsidR="00C85013" w:rsidRPr="00C85013" w:rsidRDefault="009A3511" w:rsidP="009514A5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 w:rsidRPr="00C8501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I </w:t>
            </w:r>
            <w:r w:rsidR="00297F8E" w:rsidRPr="00C85013">
              <w:rPr>
                <w:rFonts w:ascii="Verdana" w:hAnsi="Verdana"/>
                <w:color w:val="000000" w:themeColor="text1"/>
                <w:sz w:val="24"/>
                <w:szCs w:val="24"/>
              </w:rPr>
              <w:t xml:space="preserve">absolutely </w:t>
            </w:r>
            <w:r w:rsidRPr="00C85013">
              <w:rPr>
                <w:rFonts w:ascii="Verdana" w:hAnsi="Verdana"/>
                <w:color w:val="000000" w:themeColor="text1"/>
                <w:sz w:val="24"/>
                <w:szCs w:val="24"/>
              </w:rPr>
              <w:t>understand</w:t>
            </w:r>
            <w:r w:rsidR="009514A5" w:rsidRPr="00C85013">
              <w:rPr>
                <w:rFonts w:ascii="Verdana" w:hAnsi="Verdana"/>
                <w:color w:val="000000" w:themeColor="text1"/>
                <w:sz w:val="24"/>
                <w:szCs w:val="24"/>
              </w:rPr>
              <w:t>…</w:t>
            </w:r>
          </w:p>
          <w:p w14:paraId="683FD04B" w14:textId="362615A0" w:rsidR="009A3511" w:rsidRPr="00C85013" w:rsidRDefault="009A3511" w:rsidP="009514A5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 w:rsidRPr="00C85013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I </w:t>
            </w:r>
            <w:proofErr w:type="gramStart"/>
            <w:r w:rsidR="00297F8E" w:rsidRPr="00C85013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definitely would</w:t>
            </w:r>
            <w:proofErr w:type="gramEnd"/>
            <w:r w:rsidR="00297F8E" w:rsidRPr="00C85013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 feel…</w:t>
            </w:r>
          </w:p>
        </w:tc>
      </w:tr>
      <w:tr w:rsidR="009A3511" w14:paraId="535D33D8" w14:textId="77777777" w:rsidTr="714705D0">
        <w:trPr>
          <w:trHeight w:val="1250"/>
        </w:trPr>
        <w:tc>
          <w:tcPr>
            <w:tcW w:w="1276" w:type="pct"/>
            <w:vMerge/>
            <w:vAlign w:val="center"/>
            <w:hideMark/>
          </w:tcPr>
          <w:p w14:paraId="30CA3BCA" w14:textId="77777777" w:rsidR="009A3511" w:rsidRDefault="009A3511" w:rsidP="009A3511">
            <w:pPr>
              <w:spacing w:before="120" w:after="120"/>
              <w:rPr>
                <w:rFonts w:cstheme="minorHAnsi"/>
                <w:color w:val="000000" w:themeColor="text1"/>
                <w:sz w:val="22"/>
              </w:rPr>
            </w:pP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48348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Transferred (15 pts)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D4544" w14:textId="7F8B42C1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Yes, No</w:t>
            </w:r>
            <w:r w:rsidR="009514A5">
              <w:rPr>
                <w:rFonts w:cstheme="minorHAnsi"/>
                <w:color w:val="000000" w:themeColor="text1"/>
              </w:rPr>
              <w:t>,</w:t>
            </w:r>
            <w:r>
              <w:rPr>
                <w:rFonts w:cstheme="minorHAnsi"/>
                <w:color w:val="000000" w:themeColor="text1"/>
              </w:rPr>
              <w:t xml:space="preserve"> or N/A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6E898" w14:textId="5BAF9B17" w:rsidR="009A3511" w:rsidRDefault="009A3511" w:rsidP="009A3511">
            <w:pPr>
              <w:spacing w:before="120" w:after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Action</w:t>
            </w:r>
            <w:r w:rsidRPr="009A3511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Caller requests to speak to a supervisor or escalates.</w:t>
            </w:r>
          </w:p>
          <w:p w14:paraId="27B5CD1D" w14:textId="77777777" w:rsidR="009A3511" w:rsidRDefault="009A3511" w:rsidP="009A3511">
            <w:pPr>
              <w:spacing w:before="120" w:after="120"/>
              <w:rPr>
                <w:rFonts w:cstheme="minorHAnsi"/>
                <w:color w:val="000000" w:themeColor="text1"/>
              </w:rPr>
            </w:pPr>
          </w:p>
          <w:p w14:paraId="048A9405" w14:textId="23F92EEE" w:rsidR="009A3511" w:rsidRDefault="009A3511" w:rsidP="009A3511">
            <w:pPr>
              <w:spacing w:before="120" w:after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Response</w:t>
            </w:r>
            <w:r w:rsidRPr="009A3511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Confirm who the call is being transferred to: Supervisor, Senior</w:t>
            </w:r>
            <w:r w:rsidR="00297F8E">
              <w:rPr>
                <w:rFonts w:cstheme="minorHAnsi"/>
                <w:color w:val="000000" w:themeColor="text1"/>
              </w:rPr>
              <w:t xml:space="preserve"> Resolution Team</w:t>
            </w:r>
            <w:r>
              <w:rPr>
                <w:rFonts w:cstheme="minorHAnsi"/>
                <w:color w:val="000000" w:themeColor="text1"/>
              </w:rPr>
              <w:t>,</w:t>
            </w:r>
            <w:r w:rsidR="00297F8E">
              <w:rPr>
                <w:rFonts w:cstheme="minorHAnsi"/>
                <w:color w:val="000000" w:themeColor="text1"/>
              </w:rPr>
              <w:t xml:space="preserve"> Clinical Care,</w:t>
            </w:r>
            <w:r>
              <w:rPr>
                <w:rFonts w:cstheme="minorHAnsi"/>
                <w:color w:val="000000" w:themeColor="text1"/>
              </w:rPr>
              <w:t xml:space="preserve"> etc.</w:t>
            </w:r>
          </w:p>
        </w:tc>
      </w:tr>
      <w:tr w:rsidR="009A3511" w14:paraId="1CDD4ABF" w14:textId="77777777" w:rsidTr="714705D0">
        <w:trPr>
          <w:trHeight w:val="2060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ACFDE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Ensure Resolution (10 pts)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54ECB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Resolution (10 pts)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C7EBD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Yes or No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80AC8" w14:textId="77777777" w:rsidR="009514A5" w:rsidRPr="009514A5" w:rsidRDefault="009A3511" w:rsidP="009A3511">
            <w:pPr>
              <w:spacing w:before="120" w:after="120"/>
              <w:rPr>
                <w:rFonts w:cstheme="minorHAnsi"/>
                <w:color w:val="000000" w:themeColor="text1"/>
                <w:szCs w:val="24"/>
              </w:rPr>
            </w:pPr>
            <w:r w:rsidRPr="009514A5">
              <w:rPr>
                <w:rFonts w:cstheme="minorHAnsi"/>
                <w:color w:val="000000" w:themeColor="text1"/>
                <w:szCs w:val="24"/>
              </w:rPr>
              <w:t xml:space="preserve">Ensure the </w:t>
            </w:r>
            <w:proofErr w:type="gramStart"/>
            <w:r w:rsidRPr="009514A5">
              <w:rPr>
                <w:rFonts w:cstheme="minorHAnsi"/>
                <w:color w:val="000000" w:themeColor="text1"/>
                <w:szCs w:val="24"/>
              </w:rPr>
              <w:t>member was</w:t>
            </w:r>
            <w:proofErr w:type="gramEnd"/>
            <w:r w:rsidRPr="009514A5">
              <w:rPr>
                <w:rFonts w:cstheme="minorHAnsi"/>
                <w:color w:val="000000" w:themeColor="text1"/>
                <w:szCs w:val="24"/>
              </w:rPr>
              <w:t xml:space="preserve"> fully taken care of</w:t>
            </w:r>
            <w:r w:rsidR="009514A5" w:rsidRPr="009514A5">
              <w:rPr>
                <w:rFonts w:cstheme="minorHAnsi"/>
                <w:color w:val="000000" w:themeColor="text1"/>
                <w:szCs w:val="24"/>
              </w:rPr>
              <w:t xml:space="preserve">. </w:t>
            </w:r>
          </w:p>
          <w:p w14:paraId="39036038" w14:textId="77777777" w:rsidR="009514A5" w:rsidRPr="009514A5" w:rsidRDefault="009514A5" w:rsidP="009A3511">
            <w:pPr>
              <w:spacing w:before="120" w:after="120"/>
              <w:rPr>
                <w:rFonts w:cstheme="minorHAnsi"/>
                <w:b/>
                <w:bCs/>
                <w:color w:val="000000" w:themeColor="text1"/>
                <w:szCs w:val="24"/>
              </w:rPr>
            </w:pPr>
            <w:r w:rsidRPr="009514A5">
              <w:rPr>
                <w:rFonts w:cstheme="minorHAnsi"/>
                <w:b/>
                <w:bCs/>
                <w:color w:val="000000" w:themeColor="text1"/>
                <w:szCs w:val="24"/>
              </w:rPr>
              <w:t>Examples:</w:t>
            </w:r>
          </w:p>
          <w:p w14:paraId="25F728A3" w14:textId="77777777" w:rsidR="009514A5" w:rsidRPr="009514A5" w:rsidRDefault="009514A5" w:rsidP="009514A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 w:rsidRPr="009514A5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W</w:t>
            </w:r>
            <w:r w:rsidR="009A3511" w:rsidRPr="009514A5">
              <w:rPr>
                <w:rFonts w:ascii="Verdana" w:hAnsi="Verdana" w:cstheme="minorHAnsi"/>
                <w:color w:val="000000"/>
                <w:sz w:val="24"/>
                <w:szCs w:val="24"/>
              </w:rPr>
              <w:t>as I able to fully address your reason for calling today</w:t>
            </w:r>
            <w:r>
              <w:rPr>
                <w:rFonts w:ascii="Verdana" w:hAnsi="Verdana" w:cstheme="minorHAnsi"/>
                <w:color w:val="000000"/>
                <w:sz w:val="24"/>
                <w:szCs w:val="24"/>
              </w:rPr>
              <w:t>?</w:t>
            </w:r>
          </w:p>
          <w:p w14:paraId="57BCD860" w14:textId="77777777" w:rsidR="009514A5" w:rsidRDefault="009514A5" w:rsidP="009514A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I</w:t>
            </w:r>
            <w:r w:rsidR="009A3511" w:rsidRPr="009514A5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s there anything else I can help with</w:t>
            </w:r>
            <w:r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?</w:t>
            </w:r>
          </w:p>
          <w:p w14:paraId="16A6ECF6" w14:textId="550D14B5" w:rsidR="009A3511" w:rsidRPr="009514A5" w:rsidRDefault="009514A5" w:rsidP="009514A5">
            <w:pPr>
              <w:pStyle w:val="ListParagraph"/>
              <w:numPr>
                <w:ilvl w:val="0"/>
                <w:numId w:val="4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D</w:t>
            </w:r>
            <w:r w:rsidR="009A3511" w:rsidRPr="009514A5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oes this take care of everything</w:t>
            </w:r>
            <w:r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? </w:t>
            </w:r>
          </w:p>
        </w:tc>
      </w:tr>
      <w:tr w:rsidR="009A3511" w14:paraId="3091D17C" w14:textId="77777777" w:rsidTr="714705D0">
        <w:trPr>
          <w:trHeight w:val="1250"/>
        </w:trPr>
        <w:tc>
          <w:tcPr>
            <w:tcW w:w="1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94FC2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Closing (10 pts)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C587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Courteous (10 pts)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7B637" w14:textId="77777777" w:rsidR="009A3511" w:rsidRDefault="009A3511" w:rsidP="009A3511">
            <w:pPr>
              <w:spacing w:before="120" w:after="12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Yes or No</w:t>
            </w:r>
          </w:p>
        </w:tc>
        <w:tc>
          <w:tcPr>
            <w:tcW w:w="1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57C6E" w14:textId="2DCC3150" w:rsidR="009514A5" w:rsidRDefault="009A3511" w:rsidP="009514A5">
            <w:pPr>
              <w:spacing w:before="120" w:after="120"/>
              <w:rPr>
                <w:rFonts w:cstheme="minorHAnsi"/>
                <w:color w:val="000000" w:themeColor="text1"/>
                <w:szCs w:val="24"/>
              </w:rPr>
            </w:pPr>
            <w:r w:rsidRPr="009514A5">
              <w:rPr>
                <w:rFonts w:cstheme="minorHAnsi"/>
                <w:color w:val="000000" w:themeColor="text1"/>
                <w:szCs w:val="24"/>
              </w:rPr>
              <w:t>End the call with</w:t>
            </w:r>
            <w:r w:rsidR="009514A5">
              <w:rPr>
                <w:rFonts w:cstheme="minorHAnsi"/>
                <w:color w:val="000000" w:themeColor="text1"/>
                <w:szCs w:val="24"/>
              </w:rPr>
              <w:t xml:space="preserve"> courteousness.</w:t>
            </w:r>
            <w:r w:rsidR="009514A5" w:rsidRPr="009514A5">
              <w:rPr>
                <w:rFonts w:cstheme="minorHAnsi"/>
                <w:color w:val="000000" w:themeColor="text1"/>
                <w:szCs w:val="24"/>
              </w:rPr>
              <w:t xml:space="preserve">  </w:t>
            </w:r>
          </w:p>
          <w:p w14:paraId="44B8AA18" w14:textId="5B47CB63" w:rsidR="009514A5" w:rsidRPr="009514A5" w:rsidRDefault="009514A5" w:rsidP="009514A5">
            <w:pPr>
              <w:spacing w:before="120" w:after="120"/>
              <w:rPr>
                <w:rFonts w:cstheme="minorHAnsi"/>
                <w:b/>
                <w:bCs/>
                <w:color w:val="000000" w:themeColor="text1"/>
                <w:szCs w:val="24"/>
              </w:rPr>
            </w:pPr>
            <w:r>
              <w:rPr>
                <w:rFonts w:cstheme="minorHAnsi"/>
                <w:b/>
                <w:bCs/>
                <w:color w:val="000000" w:themeColor="text1"/>
                <w:szCs w:val="24"/>
              </w:rPr>
              <w:t>Examples:</w:t>
            </w:r>
          </w:p>
          <w:p w14:paraId="6DC35F97" w14:textId="2E2DE412" w:rsidR="009514A5" w:rsidRDefault="009514A5" w:rsidP="009514A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 w:rsidRPr="009514A5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T</w:t>
            </w:r>
            <w:r w:rsidR="009A3511" w:rsidRPr="009514A5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hank you</w:t>
            </w:r>
            <w:r w:rsidR="00297F8E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!</w:t>
            </w:r>
          </w:p>
          <w:p w14:paraId="4587F2DC" w14:textId="31934089" w:rsidR="009514A5" w:rsidRDefault="009514A5" w:rsidP="009514A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Y</w:t>
            </w:r>
            <w:r w:rsidR="009A3511" w:rsidRPr="009514A5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ou’re welcome</w:t>
            </w:r>
            <w:r w:rsidR="00297F8E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!</w:t>
            </w:r>
          </w:p>
          <w:p w14:paraId="2DBEC88E" w14:textId="791F91DF" w:rsidR="009514A5" w:rsidRDefault="009514A5" w:rsidP="009514A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M</w:t>
            </w:r>
            <w:r w:rsidR="009A3511" w:rsidRPr="009514A5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y pleasure</w:t>
            </w:r>
            <w:r w:rsidR="00297F8E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!</w:t>
            </w:r>
          </w:p>
          <w:p w14:paraId="48564495" w14:textId="4B2C0A80" w:rsidR="009A3511" w:rsidRPr="009514A5" w:rsidRDefault="009514A5" w:rsidP="009514A5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H</w:t>
            </w:r>
            <w:r w:rsidR="009A3511" w:rsidRPr="009514A5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ave a good day/night</w:t>
            </w:r>
            <w:r w:rsidR="00297F8E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>!</w:t>
            </w:r>
          </w:p>
        </w:tc>
      </w:tr>
    </w:tbl>
    <w:p w14:paraId="651E5537" w14:textId="77777777" w:rsidR="009A3511" w:rsidRDefault="009A3511" w:rsidP="009A3511"/>
    <w:p w14:paraId="0F486E71" w14:textId="5D6E477A" w:rsidR="009A3511" w:rsidRDefault="009A3511" w:rsidP="009A3511">
      <w:pPr>
        <w:spacing w:before="120" w:after="120"/>
      </w:pPr>
    </w:p>
    <w:p w14:paraId="6AB90D3A" w14:textId="7CE8B20F" w:rsidR="009A3511" w:rsidRDefault="009A3511" w:rsidP="009A3511">
      <w:pPr>
        <w:spacing w:before="120" w:after="120"/>
        <w:jc w:val="right"/>
      </w:pPr>
      <w:hyperlink w:anchor="_top" w:history="1">
        <w:r w:rsidRPr="009A3511">
          <w:rPr>
            <w:rStyle w:val="Hyperlink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9A3511" w14:paraId="1083AFB8" w14:textId="77777777" w:rsidTr="009A3511">
        <w:tc>
          <w:tcPr>
            <w:tcW w:w="5000" w:type="pct"/>
            <w:shd w:val="clear" w:color="auto" w:fill="BFBFBF" w:themeFill="background1" w:themeFillShade="BF"/>
          </w:tcPr>
          <w:p w14:paraId="42494909" w14:textId="35A3BC63" w:rsidR="009A3511" w:rsidRDefault="009A3511" w:rsidP="00284672">
            <w:pPr>
              <w:pStyle w:val="Heading2"/>
            </w:pPr>
            <w:bookmarkStart w:id="6" w:name="_Toc199418250"/>
            <w:r w:rsidRPr="009A3511">
              <w:t xml:space="preserve">How is </w:t>
            </w:r>
            <w:proofErr w:type="spellStart"/>
            <w:r w:rsidRPr="009A3511">
              <w:t>VQS</w:t>
            </w:r>
            <w:proofErr w:type="spellEnd"/>
            <w:r w:rsidRPr="009A3511">
              <w:t xml:space="preserve"> Calculated</w:t>
            </w:r>
            <w:bookmarkEnd w:id="6"/>
          </w:p>
        </w:tc>
      </w:tr>
    </w:tbl>
    <w:p w14:paraId="0603E695" w14:textId="6074B828" w:rsidR="009A3511" w:rsidRDefault="009A3511" w:rsidP="009A3511">
      <w:pPr>
        <w:spacing w:before="120" w:after="120"/>
      </w:pPr>
      <w:r>
        <w:t xml:space="preserve">The </w:t>
      </w:r>
      <w:proofErr w:type="spellStart"/>
      <w:r>
        <w:t>VQS</w:t>
      </w:r>
      <w:proofErr w:type="spellEnd"/>
      <w:r>
        <w:t xml:space="preserve"> Goal calculation is Total Score of all completed </w:t>
      </w:r>
      <w:proofErr w:type="spellStart"/>
      <w:r>
        <w:t>VQS</w:t>
      </w:r>
      <w:proofErr w:type="spellEnd"/>
      <w:r>
        <w:t xml:space="preserve"> Evaluations divided by the Total Count of </w:t>
      </w:r>
      <w:proofErr w:type="spellStart"/>
      <w:r>
        <w:t>VQS</w:t>
      </w:r>
      <w:proofErr w:type="spellEnd"/>
      <w:r>
        <w:t xml:space="preserve"> Evaluations (</w:t>
      </w:r>
      <w:r w:rsidRPr="714705D0">
        <w:rPr>
          <w:b/>
          <w:bCs/>
        </w:rPr>
        <w:t xml:space="preserve">Example: </w:t>
      </w:r>
      <w:r>
        <w:t>Total Score/Total Count).</w:t>
      </w:r>
    </w:p>
    <w:p w14:paraId="5A8CF49B" w14:textId="71687626" w:rsidR="009A3511" w:rsidRDefault="009A3511" w:rsidP="00F524B3">
      <w:pPr>
        <w:spacing w:before="120" w:after="120"/>
      </w:pPr>
      <w:bookmarkStart w:id="7" w:name="OLE_LINK1"/>
      <w:r w:rsidRPr="714705D0">
        <w:rPr>
          <w:b/>
          <w:bCs/>
        </w:rPr>
        <w:t xml:space="preserve">Example: </w:t>
      </w:r>
      <w:r>
        <w:t xml:space="preserve">You have 10 total </w:t>
      </w:r>
      <w:r w:rsidR="0073223E">
        <w:t xml:space="preserve">evaluations </w:t>
      </w:r>
      <w:r>
        <w:t>(Total Count)</w:t>
      </w:r>
      <w:r w:rsidR="008A77A3">
        <w:t xml:space="preserve">. </w:t>
      </w:r>
      <w:r>
        <w:t xml:space="preserve">Each </w:t>
      </w:r>
      <w:r w:rsidR="0073223E">
        <w:t xml:space="preserve">evaluation </w:t>
      </w:r>
      <w:r>
        <w:t>is worth a total of 100 points</w:t>
      </w:r>
      <w:r w:rsidR="008A77A3">
        <w:t xml:space="preserve">. </w:t>
      </w:r>
      <w:r>
        <w:t xml:space="preserve">Out of those 10 </w:t>
      </w:r>
      <w:r w:rsidR="0073223E">
        <w:t>evaluations</w:t>
      </w:r>
      <w:r>
        <w:t>, the Total Score (points achieved) is 980</w:t>
      </w:r>
      <w:r w:rsidR="008A77A3">
        <w:t xml:space="preserve">. </w:t>
      </w:r>
      <w:r>
        <w:t xml:space="preserve">The </w:t>
      </w:r>
      <w:proofErr w:type="spellStart"/>
      <w:r>
        <w:t>VQS</w:t>
      </w:r>
      <w:proofErr w:type="spellEnd"/>
      <w:r>
        <w:t xml:space="preserve"> Goal calculation is 980/10 = 98% (Total Score/Total Count)</w:t>
      </w:r>
      <w:r w:rsidR="00763E3C">
        <w:t>.</w:t>
      </w:r>
    </w:p>
    <w:bookmarkEnd w:id="7"/>
    <w:p w14:paraId="37AEAF96" w14:textId="35319A1B" w:rsidR="009A3511" w:rsidRDefault="009A3511" w:rsidP="009A3511">
      <w:pPr>
        <w:spacing w:before="120" w:after="120"/>
        <w:rPr>
          <w:szCs w:val="24"/>
        </w:rPr>
      </w:pPr>
    </w:p>
    <w:p w14:paraId="4AF1BD59" w14:textId="0297378D" w:rsidR="009A3511" w:rsidRDefault="009A3511" w:rsidP="009A3511">
      <w:pPr>
        <w:spacing w:before="120" w:after="120"/>
        <w:jc w:val="right"/>
        <w:rPr>
          <w:szCs w:val="24"/>
        </w:rPr>
      </w:pPr>
      <w:hyperlink w:anchor="_top" w:history="1">
        <w:r w:rsidRPr="009A3511">
          <w:rPr>
            <w:rStyle w:val="Hyperlink"/>
            <w:szCs w:val="24"/>
          </w:rPr>
          <w:t>Top of the Document</w:t>
        </w:r>
      </w:hyperlink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950"/>
      </w:tblGrid>
      <w:tr w:rsidR="009A3511" w14:paraId="3171DEEE" w14:textId="77777777" w:rsidTr="009A3511">
        <w:tc>
          <w:tcPr>
            <w:tcW w:w="5000" w:type="pct"/>
            <w:shd w:val="clear" w:color="auto" w:fill="BFBFBF" w:themeFill="background1" w:themeFillShade="BF"/>
          </w:tcPr>
          <w:p w14:paraId="6DDC2484" w14:textId="69B94EAB" w:rsidR="009A3511" w:rsidRDefault="009A3511" w:rsidP="00284672">
            <w:pPr>
              <w:pStyle w:val="Heading2"/>
            </w:pPr>
            <w:bookmarkStart w:id="8" w:name="_Toc199418251"/>
            <w:r>
              <w:t>Related Documents</w:t>
            </w:r>
            <w:bookmarkEnd w:id="8"/>
          </w:p>
        </w:tc>
      </w:tr>
    </w:tbl>
    <w:p w14:paraId="7E3AD46A" w14:textId="01E8BAE4" w:rsidR="009A3511" w:rsidRDefault="009A3511" w:rsidP="009A3511">
      <w:pPr>
        <w:spacing w:before="120" w:after="120"/>
        <w:rPr>
          <w:szCs w:val="24"/>
        </w:rPr>
      </w:pPr>
      <w:hyperlink r:id="rId9" w:anchor="!/view?docid=d9eec58d-f754-497f-b253-ced75bac8770" w:history="1">
        <w:r w:rsidRPr="009A3511">
          <w:rPr>
            <w:rStyle w:val="Hyperlink"/>
            <w:szCs w:val="24"/>
          </w:rPr>
          <w:t>Using Verint</w:t>
        </w:r>
      </w:hyperlink>
      <w:r w:rsidR="00AB723C">
        <w:rPr>
          <w:rStyle w:val="Hyperlink"/>
          <w:szCs w:val="24"/>
        </w:rPr>
        <w:t xml:space="preserve"> </w:t>
      </w:r>
      <w:r w:rsidR="00AB723C" w:rsidRPr="00AB723C">
        <w:rPr>
          <w:color w:val="0563C1" w:themeColor="hyperlink"/>
          <w:szCs w:val="24"/>
          <w:u w:val="single"/>
        </w:rPr>
        <w:t>056210</w:t>
      </w:r>
    </w:p>
    <w:p w14:paraId="37B500D7" w14:textId="22D853F1" w:rsidR="009A3511" w:rsidRDefault="009A3511" w:rsidP="009A3511">
      <w:pPr>
        <w:spacing w:before="120" w:after="120"/>
        <w:rPr>
          <w:szCs w:val="24"/>
        </w:rPr>
      </w:pPr>
      <w:hyperlink r:id="rId10" w:anchor="!/view?docid=c1f1028b-e42c-4b4f-a4cf-cc0b42c91606" w:history="1">
        <w:r w:rsidRPr="009A3511">
          <w:rPr>
            <w:rStyle w:val="Hyperlink"/>
            <w:szCs w:val="24"/>
          </w:rPr>
          <w:t>Customer Care Abbreviations, Definitions and Terms Index</w:t>
        </w:r>
      </w:hyperlink>
      <w:r w:rsidR="001D6D08">
        <w:rPr>
          <w:rStyle w:val="Hyperlink"/>
          <w:szCs w:val="24"/>
        </w:rPr>
        <w:t xml:space="preserve"> </w:t>
      </w:r>
      <w:r w:rsidR="001D6D08" w:rsidRPr="001D6D08">
        <w:rPr>
          <w:color w:val="0563C1" w:themeColor="hyperlink"/>
          <w:szCs w:val="24"/>
          <w:u w:val="single"/>
        </w:rPr>
        <w:t>017428</w:t>
      </w:r>
    </w:p>
    <w:p w14:paraId="32C0E7D1" w14:textId="68429790" w:rsidR="009A3511" w:rsidRDefault="009A3511" w:rsidP="009A3511">
      <w:pPr>
        <w:spacing w:before="120" w:after="120"/>
        <w:jc w:val="right"/>
        <w:rPr>
          <w:szCs w:val="24"/>
        </w:rPr>
      </w:pPr>
      <w:hyperlink w:anchor="_top" w:history="1">
        <w:r w:rsidRPr="009A3511">
          <w:rPr>
            <w:rStyle w:val="Hyperlink"/>
            <w:szCs w:val="24"/>
          </w:rPr>
          <w:t>Top of the Document</w:t>
        </w:r>
      </w:hyperlink>
    </w:p>
    <w:p w14:paraId="0A0A87E4" w14:textId="77777777" w:rsidR="009A3511" w:rsidRDefault="009A3511" w:rsidP="009A3511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5DBD5956" w14:textId="58C58ABB" w:rsidR="009A3511" w:rsidRPr="009A3511" w:rsidRDefault="009A3511" w:rsidP="009A3511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ELECTRONIC DATA = OFFICIAL VERSION – PAPER COPY – INFORMATIONAL ONLY</w:t>
      </w:r>
    </w:p>
    <w:p w14:paraId="2198DCEB" w14:textId="77777777" w:rsidR="009A3511" w:rsidRPr="009A3511" w:rsidRDefault="009A3511" w:rsidP="009A3511">
      <w:pPr>
        <w:spacing w:before="120" w:after="120"/>
        <w:rPr>
          <w:szCs w:val="24"/>
        </w:rPr>
      </w:pPr>
    </w:p>
    <w:sectPr w:rsidR="009A3511" w:rsidRPr="009A3511" w:rsidSect="0025621E"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A33AB" w14:textId="77777777" w:rsidR="005A4392" w:rsidRDefault="005A4392" w:rsidP="009514A5">
      <w:pPr>
        <w:spacing w:after="0" w:line="240" w:lineRule="auto"/>
      </w:pPr>
      <w:r>
        <w:separator/>
      </w:r>
    </w:p>
  </w:endnote>
  <w:endnote w:type="continuationSeparator" w:id="0">
    <w:p w14:paraId="21161DF8" w14:textId="77777777" w:rsidR="005A4392" w:rsidRDefault="005A4392" w:rsidP="009514A5">
      <w:pPr>
        <w:spacing w:after="0" w:line="240" w:lineRule="auto"/>
      </w:pPr>
      <w:r>
        <w:continuationSeparator/>
      </w:r>
    </w:p>
  </w:endnote>
  <w:endnote w:type="continuationNotice" w:id="1">
    <w:p w14:paraId="5879CB2B" w14:textId="77777777" w:rsidR="005A4392" w:rsidRDefault="005A43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B933AA" w14:textId="77777777" w:rsidR="005A4392" w:rsidRDefault="005A4392" w:rsidP="009514A5">
      <w:pPr>
        <w:spacing w:after="0" w:line="240" w:lineRule="auto"/>
      </w:pPr>
      <w:r>
        <w:separator/>
      </w:r>
    </w:p>
  </w:footnote>
  <w:footnote w:type="continuationSeparator" w:id="0">
    <w:p w14:paraId="7B0E5AD7" w14:textId="77777777" w:rsidR="005A4392" w:rsidRDefault="005A4392" w:rsidP="009514A5">
      <w:pPr>
        <w:spacing w:after="0" w:line="240" w:lineRule="auto"/>
      </w:pPr>
      <w:r>
        <w:continuationSeparator/>
      </w:r>
    </w:p>
  </w:footnote>
  <w:footnote w:type="continuationNotice" w:id="1">
    <w:p w14:paraId="0A289182" w14:textId="77777777" w:rsidR="005A4392" w:rsidRDefault="005A43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9181F"/>
    <w:multiLevelType w:val="hybridMultilevel"/>
    <w:tmpl w:val="1E2E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D38E4"/>
    <w:multiLevelType w:val="hybridMultilevel"/>
    <w:tmpl w:val="6016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B1DB1"/>
    <w:multiLevelType w:val="hybridMultilevel"/>
    <w:tmpl w:val="82C6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3F1A"/>
    <w:multiLevelType w:val="hybridMultilevel"/>
    <w:tmpl w:val="F3686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F76EA"/>
    <w:multiLevelType w:val="hybridMultilevel"/>
    <w:tmpl w:val="79BE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23051"/>
    <w:multiLevelType w:val="hybridMultilevel"/>
    <w:tmpl w:val="9D3C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77584"/>
    <w:multiLevelType w:val="hybridMultilevel"/>
    <w:tmpl w:val="497CB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720596">
    <w:abstractNumId w:val="5"/>
  </w:num>
  <w:num w:numId="2" w16cid:durableId="808595085">
    <w:abstractNumId w:val="5"/>
  </w:num>
  <w:num w:numId="3" w16cid:durableId="238637269">
    <w:abstractNumId w:val="2"/>
  </w:num>
  <w:num w:numId="4" w16cid:durableId="515926977">
    <w:abstractNumId w:val="0"/>
  </w:num>
  <w:num w:numId="5" w16cid:durableId="1672835350">
    <w:abstractNumId w:val="3"/>
  </w:num>
  <w:num w:numId="6" w16cid:durableId="670062887">
    <w:abstractNumId w:val="1"/>
  </w:num>
  <w:num w:numId="7" w16cid:durableId="372968704">
    <w:abstractNumId w:val="6"/>
  </w:num>
  <w:num w:numId="8" w16cid:durableId="2039041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11"/>
    <w:rsid w:val="00083679"/>
    <w:rsid w:val="000A3211"/>
    <w:rsid w:val="000F4572"/>
    <w:rsid w:val="00127994"/>
    <w:rsid w:val="001A0305"/>
    <w:rsid w:val="001A1B8C"/>
    <w:rsid w:val="001D6D08"/>
    <w:rsid w:val="00246DBE"/>
    <w:rsid w:val="0025621E"/>
    <w:rsid w:val="00264FEE"/>
    <w:rsid w:val="00284672"/>
    <w:rsid w:val="00297F8E"/>
    <w:rsid w:val="002F7450"/>
    <w:rsid w:val="00335DAA"/>
    <w:rsid w:val="004158B1"/>
    <w:rsid w:val="00481C2F"/>
    <w:rsid w:val="00482D8C"/>
    <w:rsid w:val="004F7E06"/>
    <w:rsid w:val="00542063"/>
    <w:rsid w:val="00544144"/>
    <w:rsid w:val="00554EA0"/>
    <w:rsid w:val="00594E6A"/>
    <w:rsid w:val="005A4392"/>
    <w:rsid w:val="005A7606"/>
    <w:rsid w:val="005E2667"/>
    <w:rsid w:val="006405C3"/>
    <w:rsid w:val="00672523"/>
    <w:rsid w:val="0068295C"/>
    <w:rsid w:val="006C4EE9"/>
    <w:rsid w:val="006C7850"/>
    <w:rsid w:val="006D0578"/>
    <w:rsid w:val="00714A6E"/>
    <w:rsid w:val="0073223E"/>
    <w:rsid w:val="00763E3C"/>
    <w:rsid w:val="00781017"/>
    <w:rsid w:val="007D15C6"/>
    <w:rsid w:val="00851673"/>
    <w:rsid w:val="008516CA"/>
    <w:rsid w:val="008742CD"/>
    <w:rsid w:val="008A77A3"/>
    <w:rsid w:val="008C7C15"/>
    <w:rsid w:val="00913C3B"/>
    <w:rsid w:val="009366B5"/>
    <w:rsid w:val="00950CB3"/>
    <w:rsid w:val="00950DCD"/>
    <w:rsid w:val="009514A5"/>
    <w:rsid w:val="0096420A"/>
    <w:rsid w:val="009A3511"/>
    <w:rsid w:val="009B7DEF"/>
    <w:rsid w:val="009C2B56"/>
    <w:rsid w:val="009D07A0"/>
    <w:rsid w:val="009F5F5C"/>
    <w:rsid w:val="00A26C20"/>
    <w:rsid w:val="00AA0E06"/>
    <w:rsid w:val="00AA46FA"/>
    <w:rsid w:val="00AB723C"/>
    <w:rsid w:val="00AC1FA0"/>
    <w:rsid w:val="00AC20AB"/>
    <w:rsid w:val="00AD4BE2"/>
    <w:rsid w:val="00B317BA"/>
    <w:rsid w:val="00B4609F"/>
    <w:rsid w:val="00C1137C"/>
    <w:rsid w:val="00C767D7"/>
    <w:rsid w:val="00C85013"/>
    <w:rsid w:val="00C94244"/>
    <w:rsid w:val="00CC0B6C"/>
    <w:rsid w:val="00CD547D"/>
    <w:rsid w:val="00CF1511"/>
    <w:rsid w:val="00D56342"/>
    <w:rsid w:val="00DD3F55"/>
    <w:rsid w:val="00DF3F4C"/>
    <w:rsid w:val="00E74FB2"/>
    <w:rsid w:val="00EA5937"/>
    <w:rsid w:val="00EB107C"/>
    <w:rsid w:val="00EE11E0"/>
    <w:rsid w:val="00EF02C3"/>
    <w:rsid w:val="00F22F2E"/>
    <w:rsid w:val="00F264FE"/>
    <w:rsid w:val="00F47706"/>
    <w:rsid w:val="00F524B3"/>
    <w:rsid w:val="15247356"/>
    <w:rsid w:val="16E326EF"/>
    <w:rsid w:val="7147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40CA45"/>
  <w15:chartTrackingRefBased/>
  <w15:docId w15:val="{D79AC43A-D14D-45EA-B2B2-E1D63C25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342"/>
    <w:rPr>
      <w:rFonts w:ascii="Verdana" w:hAnsi="Verdana"/>
      <w:sz w:val="24"/>
    </w:rPr>
  </w:style>
  <w:style w:type="paragraph" w:styleId="Heading1">
    <w:name w:val="heading 1"/>
    <w:basedOn w:val="Normal"/>
    <w:next w:val="Heading4"/>
    <w:link w:val="Heading1Char"/>
    <w:autoRedefine/>
    <w:qFormat/>
    <w:rsid w:val="007D15C6"/>
    <w:pPr>
      <w:spacing w:after="240" w:line="240" w:lineRule="auto"/>
      <w:outlineLvl w:val="0"/>
    </w:pPr>
    <w:rPr>
      <w:rFonts w:cs="Arial"/>
      <w:b/>
      <w:sz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284672"/>
    <w:pPr>
      <w:keepNext/>
      <w:spacing w:before="240" w:after="60" w:line="240" w:lineRule="auto"/>
      <w:outlineLvl w:val="1"/>
    </w:pPr>
    <w:rPr>
      <w:rFonts w:eastAsia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54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D15C6"/>
    <w:rPr>
      <w:rFonts w:ascii="Verdana" w:hAnsi="Verdana" w:cs="Arial"/>
      <w:b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D54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link w:val="Heading2"/>
    <w:rsid w:val="00284672"/>
    <w:rPr>
      <w:rFonts w:ascii="Verdana" w:eastAsia="Times New Roman" w:hAnsi="Verdana" w:cs="Arial"/>
      <w:b/>
      <w:bCs/>
      <w:iCs/>
      <w:sz w:val="28"/>
      <w:szCs w:val="28"/>
    </w:rPr>
  </w:style>
  <w:style w:type="table" w:styleId="TableGrid">
    <w:name w:val="Table Grid"/>
    <w:basedOn w:val="TableNormal"/>
    <w:uiPriority w:val="39"/>
    <w:rsid w:val="009A3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511"/>
    <w:pPr>
      <w:spacing w:after="0" w:line="240" w:lineRule="auto"/>
      <w:ind w:left="72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9A3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5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3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4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3223E"/>
    <w:pPr>
      <w:tabs>
        <w:tab w:val="right" w:leader="dot" w:pos="12950"/>
      </w:tabs>
      <w:spacing w:after="0"/>
    </w:pPr>
  </w:style>
  <w:style w:type="paragraph" w:styleId="Revision">
    <w:name w:val="Revision"/>
    <w:hidden/>
    <w:uiPriority w:val="99"/>
    <w:semiHidden/>
    <w:rsid w:val="0073223E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5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0CB3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5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0CB3"/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0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hesource.cvshealth.com/nuxeo/thesour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72C26-2DE5-42F6-8806-664139178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Links>
    <vt:vector size="60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2031682</vt:i4>
      </vt:variant>
      <vt:variant>
        <vt:i4>24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!/view?docid=d9eec58d-f754-497f-b253-ced75bac8770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_Toc199418251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_Toc199418250</vt:lpwstr>
      </vt:variant>
      <vt:variant>
        <vt:i4>1441851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_Toc199418249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_Toc199418248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Dugdale, Brienna</cp:lastModifiedBy>
  <cp:revision>28</cp:revision>
  <dcterms:created xsi:type="dcterms:W3CDTF">2025-03-15T03:45:00Z</dcterms:created>
  <dcterms:modified xsi:type="dcterms:W3CDTF">2025-07-29T16:39:00Z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2023-03-16T17:48:46Z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488f9880-03d5-4c23-83b3-9af98afc6fa5</vt:lpwstr>
  </property>
  <property fmtid="{D5CDD505-2E9C-101B-9397-08002B2CF9AE}" pid="8" name="MSIP_Label_67599526-06ca-49cc-9fa9-5307800a949a_ContentBits">
    <vt:lpwstr>0</vt:lpwstr>
  </property>
</Properties>
</file>