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AE0C5" w14:textId="4BCFF37B" w:rsidR="00EA26A9" w:rsidRDefault="00BC5B0E" w:rsidP="00BC5B0E">
      <w:pPr>
        <w:pStyle w:val="Heading1"/>
      </w:pPr>
      <w:bookmarkStart w:id="0" w:name="_top"/>
      <w:bookmarkEnd w:id="0"/>
      <w:r>
        <w:t xml:space="preserve">Five9 </w:t>
      </w:r>
      <w:proofErr w:type="spellStart"/>
      <w:r>
        <w:t>MGR</w:t>
      </w:r>
      <w:proofErr w:type="spellEnd"/>
      <w:r>
        <w:t xml:space="preserve"> User Guide</w:t>
      </w:r>
    </w:p>
    <w:p w14:paraId="4144268A" w14:textId="1CDBC1E8" w:rsidR="00B94EED" w:rsidRDefault="00537D51">
      <w:pPr>
        <w:pStyle w:val="TOC2"/>
        <w:rPr>
          <w:rFonts w:asciiTheme="minorHAnsi" w:eastAsiaTheme="minorEastAsia" w:hAnsiTheme="minorHAnsi"/>
          <w:noProof/>
          <w:kern w:val="2"/>
          <w:szCs w:val="24"/>
          <w14:ligatures w14:val="standardContextual"/>
        </w:rPr>
      </w:pPr>
      <w:r>
        <w:fldChar w:fldCharType="begin"/>
      </w:r>
      <w:r>
        <w:instrText xml:space="preserve"> TOC \o "2-2" \n \p " " \h \z \u </w:instrText>
      </w:r>
      <w:r>
        <w:fldChar w:fldCharType="separate"/>
      </w:r>
      <w:hyperlink w:anchor="_Toc197433144" w:history="1">
        <w:r w:rsidR="00B94EED" w:rsidRPr="00697D32">
          <w:rPr>
            <w:rStyle w:val="Hyperlink"/>
            <w:noProof/>
          </w:rPr>
          <w:t>General Information</w:t>
        </w:r>
      </w:hyperlink>
    </w:p>
    <w:p w14:paraId="6E8742DD" w14:textId="7074F5F8" w:rsidR="00B94EED" w:rsidRDefault="00B94EED">
      <w:pPr>
        <w:pStyle w:val="TOC2"/>
        <w:rPr>
          <w:rFonts w:asciiTheme="minorHAnsi" w:eastAsiaTheme="minorEastAsia" w:hAnsiTheme="minorHAnsi"/>
          <w:noProof/>
          <w:kern w:val="2"/>
          <w:szCs w:val="24"/>
          <w14:ligatures w14:val="standardContextual"/>
        </w:rPr>
      </w:pPr>
      <w:hyperlink w:anchor="_Toc197433145" w:history="1">
        <w:r w:rsidRPr="00697D32">
          <w:rPr>
            <w:rStyle w:val="Hyperlink"/>
            <w:noProof/>
          </w:rPr>
          <w:t>Farm Move</w:t>
        </w:r>
      </w:hyperlink>
    </w:p>
    <w:p w14:paraId="561D041B" w14:textId="5A494223" w:rsidR="00B94EED" w:rsidRDefault="00B94EED">
      <w:pPr>
        <w:pStyle w:val="TOC2"/>
        <w:rPr>
          <w:rFonts w:asciiTheme="minorHAnsi" w:eastAsiaTheme="minorEastAsia" w:hAnsiTheme="minorHAnsi"/>
          <w:noProof/>
          <w:kern w:val="2"/>
          <w:szCs w:val="24"/>
          <w14:ligatures w14:val="standardContextual"/>
        </w:rPr>
      </w:pPr>
      <w:hyperlink w:anchor="_Toc197433146" w:history="1">
        <w:r w:rsidRPr="00697D32">
          <w:rPr>
            <w:rStyle w:val="Hyperlink"/>
            <w:noProof/>
          </w:rPr>
          <w:t>MGR</w:t>
        </w:r>
      </w:hyperlink>
    </w:p>
    <w:p w14:paraId="32336856" w14:textId="58A5F632" w:rsidR="00B94EED" w:rsidRDefault="00B94EED">
      <w:pPr>
        <w:pStyle w:val="TOC2"/>
        <w:rPr>
          <w:rFonts w:asciiTheme="minorHAnsi" w:eastAsiaTheme="minorEastAsia" w:hAnsiTheme="minorHAnsi"/>
          <w:noProof/>
          <w:kern w:val="2"/>
          <w:szCs w:val="24"/>
          <w14:ligatures w14:val="standardContextual"/>
        </w:rPr>
      </w:pPr>
      <w:hyperlink w:anchor="_Toc197433147" w:history="1">
        <w:r w:rsidRPr="00697D32">
          <w:rPr>
            <w:rStyle w:val="Hyperlink"/>
            <w:noProof/>
          </w:rPr>
          <w:t>Related Documents</w:t>
        </w:r>
      </w:hyperlink>
    </w:p>
    <w:p w14:paraId="609A94EB" w14:textId="79366DA0" w:rsidR="00BC5B0E" w:rsidRDefault="00537D51" w:rsidP="00F13188">
      <w:r>
        <w:fldChar w:fldCharType="end"/>
      </w:r>
    </w:p>
    <w:p w14:paraId="07A41164" w14:textId="3BD757A4" w:rsidR="00BC5B0E" w:rsidRDefault="00BC5B0E" w:rsidP="00BC5B0E">
      <w:r w:rsidRPr="4B413E84">
        <w:rPr>
          <w:b/>
          <w:bCs/>
        </w:rPr>
        <w:t>Description:</w:t>
      </w:r>
      <w:r>
        <w:t xml:space="preserve">  Provides frontline agents and their leaders an understanding of actions that Five9 can take when system issues occur as well as best practices in the event one </w:t>
      </w:r>
      <w:r w:rsidR="38C2909B">
        <w:t xml:space="preserve">of </w:t>
      </w:r>
      <w:r>
        <w:t>these actions occur</w:t>
      </w:r>
      <w:r w:rsidR="4E08B5CB">
        <w:t>s</w:t>
      </w:r>
      <w:r>
        <w:t>.</w:t>
      </w:r>
    </w:p>
    <w:p w14:paraId="17872A60" w14:textId="37715D26" w:rsidR="00BC5B0E" w:rsidRDefault="00BC5B0E" w:rsidP="00BC5B0E"/>
    <w:tbl>
      <w:tblPr>
        <w:tblStyle w:val="TableGrid"/>
        <w:tblW w:w="5000" w:type="pct"/>
        <w:tblLook w:val="04A0" w:firstRow="1" w:lastRow="0" w:firstColumn="1" w:lastColumn="0" w:noHBand="0" w:noVBand="1"/>
      </w:tblPr>
      <w:tblGrid>
        <w:gridCol w:w="9350"/>
      </w:tblGrid>
      <w:tr w:rsidR="00BC5B0E" w14:paraId="1F4C649C" w14:textId="77777777" w:rsidTr="00BC5B0E">
        <w:tc>
          <w:tcPr>
            <w:tcW w:w="5000" w:type="pct"/>
            <w:shd w:val="clear" w:color="auto" w:fill="BFBFBF" w:themeFill="background1" w:themeFillShade="BF"/>
          </w:tcPr>
          <w:p w14:paraId="5F7ED208" w14:textId="06BD3D15" w:rsidR="00BC5B0E" w:rsidRDefault="00BC5B0E" w:rsidP="00097F9E">
            <w:pPr>
              <w:pStyle w:val="Heading2"/>
            </w:pPr>
            <w:bookmarkStart w:id="1" w:name="_Toc197433144"/>
            <w:r>
              <w:t>General Information</w:t>
            </w:r>
            <w:bookmarkEnd w:id="1"/>
          </w:p>
        </w:tc>
      </w:tr>
    </w:tbl>
    <w:p w14:paraId="64DF9339" w14:textId="4ED90945" w:rsidR="00BC5B0E" w:rsidRDefault="00BC5B0E" w:rsidP="00BC5B0E">
      <w:r>
        <w:t>When Five9 experiences an issue, there are two options available to restore service. The first being a farm move, which is the least impactful of the two options. The other option is to perform a</w:t>
      </w:r>
      <w:r w:rsidR="0063281A">
        <w:t>n</w:t>
      </w:r>
      <w:r>
        <w:t xml:space="preserve"> </w:t>
      </w:r>
      <w:proofErr w:type="spellStart"/>
      <w:r>
        <w:t>MGR</w:t>
      </w:r>
      <w:proofErr w:type="spellEnd"/>
      <w:r>
        <w:t xml:space="preserve">, which routes calls and agents to a new, healthy environment. </w:t>
      </w:r>
    </w:p>
    <w:p w14:paraId="50B6640C" w14:textId="77777777" w:rsidR="00BC5B0E" w:rsidRDefault="00BC5B0E" w:rsidP="00BC5B0E"/>
    <w:p w14:paraId="3255034F" w14:textId="04F0F7CC" w:rsidR="00BC6EF2" w:rsidRDefault="00B94EED" w:rsidP="00B94EED">
      <w:pPr>
        <w:jc w:val="center"/>
      </w:pPr>
      <w:r>
        <w:rPr>
          <w:noProof/>
        </w:rPr>
        <w:drawing>
          <wp:inline distT="0" distB="0" distL="0" distR="0" wp14:anchorId="2B5F042F" wp14:editId="096E7857">
            <wp:extent cx="304762" cy="304762"/>
            <wp:effectExtent l="0" t="0" r="635" b="635"/>
            <wp:docPr id="204646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6167" name="Picture 204646167"/>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t xml:space="preserve"> </w:t>
      </w:r>
      <w:r w:rsidR="00BC6EF2">
        <w:rPr>
          <w:noProof/>
        </w:rPr>
        <w:drawing>
          <wp:inline distT="0" distB="0" distL="0" distR="0" wp14:anchorId="473E5B9D" wp14:editId="2B85D2DC">
            <wp:extent cx="2238375" cy="2819400"/>
            <wp:effectExtent l="0" t="0" r="9525" b="0"/>
            <wp:docPr id="1752698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238375" cy="2819400"/>
                    </a:xfrm>
                    <a:prstGeom prst="rect">
                      <a:avLst/>
                    </a:prstGeom>
                    <a:noFill/>
                    <a:ln>
                      <a:noFill/>
                    </a:ln>
                  </pic:spPr>
                </pic:pic>
              </a:graphicData>
            </a:graphic>
          </wp:inline>
        </w:drawing>
      </w:r>
    </w:p>
    <w:p w14:paraId="762C167F" w14:textId="77777777" w:rsidR="00BC6EF2" w:rsidRDefault="00BC6EF2" w:rsidP="00BC5B0E">
      <w:pPr>
        <w:jc w:val="right"/>
      </w:pPr>
    </w:p>
    <w:p w14:paraId="3DD3BF33" w14:textId="3E4788C0" w:rsidR="00BC5B0E" w:rsidRDefault="00B94EED" w:rsidP="00BC5B0E">
      <w:pPr>
        <w:jc w:val="right"/>
      </w:pPr>
      <w:hyperlink w:anchor="_top" w:history="1">
        <w:r w:rsidR="00BC5B0E" w:rsidRPr="00B94EED">
          <w:rPr>
            <w:rStyle w:val="Hyperlink"/>
          </w:rPr>
          <w:t>Top of the Document</w:t>
        </w:r>
      </w:hyperlink>
    </w:p>
    <w:tbl>
      <w:tblPr>
        <w:tblStyle w:val="TableGrid"/>
        <w:tblW w:w="5000" w:type="pct"/>
        <w:tblLook w:val="04A0" w:firstRow="1" w:lastRow="0" w:firstColumn="1" w:lastColumn="0" w:noHBand="0" w:noVBand="1"/>
      </w:tblPr>
      <w:tblGrid>
        <w:gridCol w:w="9350"/>
      </w:tblGrid>
      <w:tr w:rsidR="00BC5B0E" w14:paraId="7F69F1B9" w14:textId="77777777" w:rsidTr="00B94EED">
        <w:tc>
          <w:tcPr>
            <w:tcW w:w="5000" w:type="pct"/>
            <w:shd w:val="clear" w:color="auto" w:fill="BFBFBF" w:themeFill="background1" w:themeFillShade="BF"/>
          </w:tcPr>
          <w:p w14:paraId="323A3E04" w14:textId="1AA51BCF" w:rsidR="00BC5B0E" w:rsidRDefault="00BC5B0E" w:rsidP="00097F9E">
            <w:pPr>
              <w:pStyle w:val="Heading2"/>
            </w:pPr>
            <w:bookmarkStart w:id="2" w:name="_Toc197433145"/>
            <w:r>
              <w:t>Farm Move</w:t>
            </w:r>
            <w:bookmarkEnd w:id="2"/>
          </w:p>
        </w:tc>
      </w:tr>
    </w:tbl>
    <w:p w14:paraId="4502811E" w14:textId="49290CC2" w:rsidR="00022C06" w:rsidRPr="001A6466" w:rsidRDefault="00B94EED" w:rsidP="00022C06">
      <w:pPr>
        <w:rPr>
          <w:b/>
          <w:bCs/>
        </w:rPr>
      </w:pPr>
      <w:r>
        <w:rPr>
          <w:noProof/>
        </w:rPr>
        <w:drawing>
          <wp:inline distT="0" distB="0" distL="0" distR="0" wp14:anchorId="5AF4C9A4" wp14:editId="7BE88EE3">
            <wp:extent cx="304762" cy="304762"/>
            <wp:effectExtent l="0" t="0" r="635" b="635"/>
            <wp:docPr id="1997395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6167" name="Picture 204646167"/>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022C06">
        <w:t xml:space="preserve"> </w:t>
      </w:r>
      <w:r w:rsidR="00BC6EF2">
        <w:t>The Five9 system consists of multiple “farms”, which are separate server environments that handle call processing. If there is an issue with the current farm, Five9 can move the agents and system functions to another farm that is working correctly.</w:t>
      </w:r>
      <w:r w:rsidR="00022C06">
        <w:t xml:space="preserve"> </w:t>
      </w:r>
    </w:p>
    <w:p w14:paraId="776031FD" w14:textId="30198189" w:rsidR="00BC5B0E" w:rsidRDefault="00BC5B0E" w:rsidP="00BC5B0E"/>
    <w:p w14:paraId="5D8B2222" w14:textId="313776E3" w:rsidR="001A6466" w:rsidRPr="001A6466" w:rsidRDefault="00B94EED" w:rsidP="00BC5B0E">
      <w:pPr>
        <w:rPr>
          <w:b/>
          <w:bCs/>
        </w:rPr>
      </w:pPr>
      <w:r>
        <w:rPr>
          <w:noProof/>
        </w:rPr>
        <w:drawing>
          <wp:inline distT="0" distB="0" distL="0" distR="0" wp14:anchorId="37D8B08A" wp14:editId="0EF98251">
            <wp:extent cx="304762" cy="304762"/>
            <wp:effectExtent l="0" t="0" r="635" b="635"/>
            <wp:docPr id="1921417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6167" name="Picture 204646167"/>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1A6466">
        <w:rPr>
          <w:b/>
          <w:bCs/>
        </w:rPr>
        <w:t xml:space="preserve">Agent Experience:  </w:t>
      </w:r>
      <w:r w:rsidR="001A6466">
        <w:t>Calls in queue</w:t>
      </w:r>
      <w:r w:rsidR="00BC6EF2">
        <w:t>, including callbacks,</w:t>
      </w:r>
      <w:r w:rsidR="001A6466">
        <w:t xml:space="preserve"> will not be impacted. However, agents will experience the Five9 application reload. Agents will not be logged out and active calls will not be dropped.  </w:t>
      </w:r>
    </w:p>
    <w:p w14:paraId="3A6AA25C" w14:textId="47F1A9F5" w:rsidR="00022C06" w:rsidRDefault="00B94EED" w:rsidP="00022C06">
      <w:pPr>
        <w:jc w:val="right"/>
      </w:pPr>
      <w:hyperlink w:anchor="_top" w:history="1">
        <w:r w:rsidR="00022C06" w:rsidRPr="00B94EED">
          <w:rPr>
            <w:rStyle w:val="Hyperlink"/>
          </w:rPr>
          <w:t>Top of the Document</w:t>
        </w:r>
      </w:hyperlink>
    </w:p>
    <w:tbl>
      <w:tblPr>
        <w:tblStyle w:val="TableGrid"/>
        <w:tblW w:w="5000" w:type="pct"/>
        <w:tblLook w:val="04A0" w:firstRow="1" w:lastRow="0" w:firstColumn="1" w:lastColumn="0" w:noHBand="0" w:noVBand="1"/>
      </w:tblPr>
      <w:tblGrid>
        <w:gridCol w:w="9350"/>
      </w:tblGrid>
      <w:tr w:rsidR="00022C06" w14:paraId="066323B2" w14:textId="77777777" w:rsidTr="00022C06">
        <w:tc>
          <w:tcPr>
            <w:tcW w:w="5000" w:type="pct"/>
            <w:shd w:val="clear" w:color="auto" w:fill="BFBFBF" w:themeFill="background1" w:themeFillShade="BF"/>
          </w:tcPr>
          <w:p w14:paraId="6B5065ED" w14:textId="0F2164AF" w:rsidR="00022C06" w:rsidRDefault="00022C06" w:rsidP="00097F9E">
            <w:pPr>
              <w:pStyle w:val="Heading2"/>
            </w:pPr>
            <w:bookmarkStart w:id="3" w:name="_Toc197433146"/>
            <w:proofErr w:type="spellStart"/>
            <w:r>
              <w:t>MGR</w:t>
            </w:r>
            <w:bookmarkEnd w:id="3"/>
            <w:proofErr w:type="spellEnd"/>
          </w:p>
        </w:tc>
      </w:tr>
    </w:tbl>
    <w:p w14:paraId="25E72537" w14:textId="014C3245" w:rsidR="00022C06" w:rsidRDefault="00022C06" w:rsidP="00022C06">
      <w:r>
        <w:t xml:space="preserve">The intent of an </w:t>
      </w:r>
      <w:proofErr w:type="spellStart"/>
      <w:r>
        <w:t>MGR</w:t>
      </w:r>
      <w:proofErr w:type="spellEnd"/>
      <w:r>
        <w:t xml:space="preserve"> is a control</w:t>
      </w:r>
      <w:r w:rsidR="617DEF01">
        <w:t>led</w:t>
      </w:r>
      <w:r>
        <w:t xml:space="preserve"> movement of calls and call agents to a new, healthy environment.  </w:t>
      </w:r>
    </w:p>
    <w:p w14:paraId="6033AA0C" w14:textId="55834BA2" w:rsidR="001A6466" w:rsidRPr="00B94EED" w:rsidRDefault="00B94EED" w:rsidP="00EA4071">
      <w:pPr>
        <w:pStyle w:val="ListParagraph"/>
        <w:numPr>
          <w:ilvl w:val="0"/>
          <w:numId w:val="11"/>
        </w:numPr>
        <w:rPr>
          <w:b/>
          <w:bCs/>
        </w:rPr>
      </w:pPr>
      <w:r>
        <w:rPr>
          <w:noProof/>
        </w:rPr>
        <w:drawing>
          <wp:inline distT="0" distB="0" distL="0" distR="0" wp14:anchorId="28F96C6E" wp14:editId="03C184FE">
            <wp:extent cx="304762" cy="304762"/>
            <wp:effectExtent l="0" t="0" r="635" b="635"/>
            <wp:docPr id="1117524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6167" name="Picture 204646167"/>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EA4071">
        <w:t xml:space="preserve">During an </w:t>
      </w:r>
      <w:proofErr w:type="spellStart"/>
      <w:r w:rsidR="00EA4071">
        <w:t>MGR</w:t>
      </w:r>
      <w:proofErr w:type="spellEnd"/>
      <w:r w:rsidR="00EA4071">
        <w:t xml:space="preserve">, the conference or transfer button within Five9 may not work. </w:t>
      </w:r>
    </w:p>
    <w:p w14:paraId="619BECA4" w14:textId="0AAC6D98" w:rsidR="00EA4071" w:rsidRPr="00B94EED" w:rsidRDefault="00B94EED" w:rsidP="00EA4071">
      <w:pPr>
        <w:pStyle w:val="ListParagraph"/>
        <w:numPr>
          <w:ilvl w:val="0"/>
          <w:numId w:val="11"/>
        </w:numPr>
        <w:rPr>
          <w:b/>
          <w:bCs/>
        </w:rPr>
      </w:pPr>
      <w:r>
        <w:rPr>
          <w:noProof/>
        </w:rPr>
        <w:drawing>
          <wp:inline distT="0" distB="0" distL="0" distR="0" wp14:anchorId="13F506E3" wp14:editId="3A15DB74">
            <wp:extent cx="304762" cy="304762"/>
            <wp:effectExtent l="0" t="0" r="635" b="635"/>
            <wp:docPr id="1414869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46167" name="Picture 204646167"/>
                    <pic:cNvPicPr/>
                  </pic:nvPicPr>
                  <pic:blipFill>
                    <a:blip r:embed="rId6">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EA4071">
        <w:t xml:space="preserve">Callbacks are not impacted during an </w:t>
      </w:r>
      <w:proofErr w:type="spellStart"/>
      <w:r w:rsidR="00EA4071">
        <w:t>MGR</w:t>
      </w:r>
      <w:proofErr w:type="spellEnd"/>
      <w:r w:rsidR="00EA4071">
        <w:t xml:space="preserve">, as members will still be given the option of a callback when </w:t>
      </w:r>
      <w:proofErr w:type="gramStart"/>
      <w:r w:rsidR="00EA4071">
        <w:t>hold</w:t>
      </w:r>
      <w:proofErr w:type="gramEnd"/>
      <w:r w:rsidR="00EA4071">
        <w:t xml:space="preserve"> times are high. </w:t>
      </w:r>
    </w:p>
    <w:p w14:paraId="6ADE59FB" w14:textId="77777777" w:rsidR="00EA4071" w:rsidRPr="00B94EED" w:rsidRDefault="00EA4071" w:rsidP="00B94EED">
      <w:pPr>
        <w:pStyle w:val="ListParagraph"/>
        <w:rPr>
          <w:b/>
          <w:bCs/>
        </w:rPr>
      </w:pPr>
    </w:p>
    <w:p w14:paraId="152F0B1B" w14:textId="08E76A54" w:rsidR="001A6466" w:rsidRDefault="001A6466" w:rsidP="001A6466">
      <w:r>
        <w:rPr>
          <w:b/>
          <w:bCs/>
        </w:rPr>
        <w:t xml:space="preserve">Initiation:  </w:t>
      </w:r>
      <w:r>
        <w:t xml:space="preserve">An </w:t>
      </w:r>
      <w:proofErr w:type="spellStart"/>
      <w:r>
        <w:t>MGR</w:t>
      </w:r>
      <w:proofErr w:type="spellEnd"/>
      <w:r>
        <w:t xml:space="preserve"> is initiated with a timer, usually sixty (60) minutes. </w:t>
      </w:r>
    </w:p>
    <w:p w14:paraId="01AC44A2" w14:textId="77777777" w:rsidR="001A6466" w:rsidRDefault="001A6466" w:rsidP="001A6466"/>
    <w:p w14:paraId="6099A619" w14:textId="3779164A" w:rsidR="000B253D" w:rsidRDefault="001A6466" w:rsidP="001A6466">
      <w:r>
        <w:rPr>
          <w:b/>
          <w:bCs/>
        </w:rPr>
        <w:t xml:space="preserve">Timer Purpose:  </w:t>
      </w:r>
      <w:r>
        <w:t xml:space="preserve">The timer allows agents that can take calls to continue to work through the call volume that exists in the original queues. </w:t>
      </w:r>
      <w:r w:rsidRPr="001A6466">
        <w:t xml:space="preserve">When the timer reaches </w:t>
      </w:r>
      <w:r>
        <w:t>five (</w:t>
      </w:r>
      <w:r w:rsidRPr="001A6466">
        <w:t>5</w:t>
      </w:r>
      <w:r>
        <w:t>)</w:t>
      </w:r>
      <w:r w:rsidRPr="001A6466">
        <w:t xml:space="preserve"> minutes</w:t>
      </w:r>
      <w:r>
        <w:t>,</w:t>
      </w:r>
      <w:r w:rsidRPr="001A6466">
        <w:t xml:space="preserve"> agents on </w:t>
      </w:r>
      <w:proofErr w:type="gramStart"/>
      <w:r w:rsidRPr="001A6466">
        <w:t>an active</w:t>
      </w:r>
      <w:proofErr w:type="gramEnd"/>
      <w:r w:rsidRPr="001A6466">
        <w:t xml:space="preserve"> call will see a pop</w:t>
      </w:r>
      <w:r w:rsidR="0068235C">
        <w:t>-</w:t>
      </w:r>
      <w:r w:rsidRPr="001A6466">
        <w:t>up indicating that the application is about to restart. Agents should</w:t>
      </w:r>
      <w:r w:rsidR="000B253D">
        <w:t>:</w:t>
      </w:r>
    </w:p>
    <w:p w14:paraId="5662145F" w14:textId="081D750C" w:rsidR="000B253D" w:rsidRDefault="000B253D" w:rsidP="000B253D">
      <w:pPr>
        <w:pStyle w:val="ListParagraph"/>
        <w:numPr>
          <w:ilvl w:val="0"/>
          <w:numId w:val="10"/>
        </w:numPr>
      </w:pPr>
      <w:r>
        <w:t>D</w:t>
      </w:r>
      <w:r w:rsidR="001A6466" w:rsidRPr="001A6466">
        <w:t xml:space="preserve">o their best to complete </w:t>
      </w:r>
      <w:r w:rsidR="00A625F4">
        <w:t xml:space="preserve">the </w:t>
      </w:r>
      <w:r w:rsidR="001A6466" w:rsidRPr="001A6466">
        <w:t>call</w:t>
      </w:r>
      <w:r>
        <w:t xml:space="preserve">. </w:t>
      </w:r>
    </w:p>
    <w:p w14:paraId="415026C2" w14:textId="397B1BEA" w:rsidR="00A625F4" w:rsidRDefault="00A625F4" w:rsidP="000B253D">
      <w:pPr>
        <w:pStyle w:val="ListParagraph"/>
        <w:numPr>
          <w:ilvl w:val="0"/>
          <w:numId w:val="10"/>
        </w:numPr>
      </w:pPr>
      <w:r>
        <w:t xml:space="preserve">Inform the member of the updates and ask them to call back if the call drops. </w:t>
      </w:r>
    </w:p>
    <w:p w14:paraId="6EB931F8" w14:textId="6D1FF811" w:rsidR="00662A92" w:rsidRDefault="00662A92" w:rsidP="00662A92">
      <w:pPr>
        <w:pStyle w:val="ListParagraph"/>
        <w:numPr>
          <w:ilvl w:val="0"/>
          <w:numId w:val="10"/>
        </w:numPr>
      </w:pPr>
      <w:r>
        <w:t xml:space="preserve">Verify and document the member’s phone number. </w:t>
      </w:r>
    </w:p>
    <w:p w14:paraId="2011AA36" w14:textId="2EF8A801" w:rsidR="001A6466" w:rsidRDefault="00662A92" w:rsidP="0023740C">
      <w:pPr>
        <w:pStyle w:val="ListParagraph"/>
        <w:numPr>
          <w:ilvl w:val="0"/>
          <w:numId w:val="10"/>
        </w:numPr>
      </w:pPr>
      <w:r>
        <w:t xml:space="preserve">Document the account appropriately for the call. </w:t>
      </w:r>
    </w:p>
    <w:p w14:paraId="77164044" w14:textId="2BAC612C" w:rsidR="009D52EA" w:rsidRDefault="009D52EA" w:rsidP="001A6466"/>
    <w:p w14:paraId="0F18A131" w14:textId="654F315F" w:rsidR="009D52EA" w:rsidRDefault="009D52EA" w:rsidP="009D52EA">
      <w:pPr>
        <w:jc w:val="center"/>
      </w:pPr>
      <w:r>
        <w:rPr>
          <w:noProof/>
        </w:rPr>
        <w:drawing>
          <wp:inline distT="0" distB="0" distL="0" distR="0" wp14:anchorId="2A25EEBE" wp14:editId="02C33A55">
            <wp:extent cx="4667250" cy="1431290"/>
            <wp:effectExtent l="19050" t="19050" r="1905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0" cy="1431290"/>
                    </a:xfrm>
                    <a:prstGeom prst="rect">
                      <a:avLst/>
                    </a:prstGeom>
                    <a:noFill/>
                    <a:ln>
                      <a:solidFill>
                        <a:schemeClr val="tx1"/>
                      </a:solidFill>
                    </a:ln>
                  </pic:spPr>
                </pic:pic>
              </a:graphicData>
            </a:graphic>
          </wp:inline>
        </w:drawing>
      </w:r>
    </w:p>
    <w:p w14:paraId="19B2BA45" w14:textId="77777777" w:rsidR="001A6466" w:rsidRDefault="001A6466" w:rsidP="001A6466"/>
    <w:p w14:paraId="30287ECC" w14:textId="26E4092A" w:rsidR="00F46716" w:rsidRDefault="001A6466" w:rsidP="00F46716">
      <w:r>
        <w:rPr>
          <w:b/>
          <w:bCs/>
        </w:rPr>
        <w:t xml:space="preserve">Inbound Calls:  </w:t>
      </w:r>
      <w:r w:rsidR="009D52EA">
        <w:t>Once the time</w:t>
      </w:r>
      <w:r w:rsidR="00F46716">
        <w:t>r is complete</w:t>
      </w:r>
      <w:r>
        <w:t xml:space="preserve">, </w:t>
      </w:r>
      <w:r w:rsidR="00F46716">
        <w:t xml:space="preserve">the skilled agent for the Five9 application will automatically route </w:t>
      </w:r>
      <w:r>
        <w:t>inbound calls to the new environment.</w:t>
      </w:r>
      <w:r w:rsidR="00F46716" w:rsidRPr="00F46716">
        <w:t xml:space="preserve"> </w:t>
      </w:r>
      <w:r w:rsidR="00F46716">
        <w:t xml:space="preserve">When the timer ends, all active calls, including calls in queue at the original environment, will be dropped. </w:t>
      </w:r>
    </w:p>
    <w:p w14:paraId="25A646B8" w14:textId="3F4F9DF1" w:rsidR="001A6466" w:rsidRDefault="001A6466" w:rsidP="001A6466">
      <w:pPr>
        <w:rPr>
          <w:b/>
          <w:bCs/>
        </w:rPr>
      </w:pPr>
    </w:p>
    <w:p w14:paraId="204D06E2" w14:textId="460DBF47" w:rsidR="00F46716" w:rsidRDefault="001A6466" w:rsidP="00022C06">
      <w:r w:rsidRPr="001A6466">
        <w:rPr>
          <w:b/>
          <w:bCs/>
        </w:rPr>
        <w:t>Agent Routing:</w:t>
      </w:r>
      <w:r>
        <w:t xml:space="preserve">  Any agents that log into Five9 after the </w:t>
      </w:r>
      <w:proofErr w:type="spellStart"/>
      <w:r>
        <w:t>MGR</w:t>
      </w:r>
      <w:proofErr w:type="spellEnd"/>
      <w:r>
        <w:t xml:space="preserve"> is initiated will also route to the new environment.</w:t>
      </w:r>
      <w:r w:rsidR="00F46716">
        <w:t xml:space="preserve"> </w:t>
      </w:r>
      <w:r w:rsidR="00022C06">
        <w:t xml:space="preserve">Agents logged into Five9 prior to the </w:t>
      </w:r>
      <w:proofErr w:type="spellStart"/>
      <w:r w:rsidR="00022C06">
        <w:t>MGR</w:t>
      </w:r>
      <w:proofErr w:type="spellEnd"/>
      <w:r w:rsidR="00022C06">
        <w:t xml:space="preserve">, including those on </w:t>
      </w:r>
      <w:proofErr w:type="gramStart"/>
      <w:r w:rsidR="00022C06">
        <w:t>an active call</w:t>
      </w:r>
      <w:proofErr w:type="gramEnd"/>
      <w:r w:rsidR="00022C06">
        <w:t xml:space="preserve">, as well as calls in queue before the </w:t>
      </w:r>
      <w:proofErr w:type="spellStart"/>
      <w:r w:rsidR="00022C06">
        <w:t>MGR</w:t>
      </w:r>
      <w:proofErr w:type="spellEnd"/>
      <w:proofErr w:type="gramStart"/>
      <w:r w:rsidR="00022C06">
        <w:t>, will</w:t>
      </w:r>
      <w:proofErr w:type="gramEnd"/>
      <w:r w:rsidR="00022C06">
        <w:t xml:space="preserve"> remain in the original queue. </w:t>
      </w:r>
    </w:p>
    <w:p w14:paraId="40A4B0BC" w14:textId="2EE0125C" w:rsidR="00022C06" w:rsidRDefault="00022C06" w:rsidP="00022C06"/>
    <w:p w14:paraId="652D1A9A" w14:textId="45C59524" w:rsidR="00F46716" w:rsidRDefault="00F46716" w:rsidP="00F46716">
      <w:pPr>
        <w:pStyle w:val="Heading3"/>
      </w:pPr>
      <w:proofErr w:type="spellStart"/>
      <w:r>
        <w:t>MGR</w:t>
      </w:r>
      <w:proofErr w:type="spellEnd"/>
      <w:r>
        <w:t xml:space="preserve"> Best Practices</w:t>
      </w:r>
    </w:p>
    <w:p w14:paraId="07CEDBAC" w14:textId="154052A6" w:rsidR="00F46716" w:rsidRDefault="00F46716" w:rsidP="00F46716">
      <w:pPr>
        <w:pStyle w:val="ListParagraph"/>
        <w:numPr>
          <w:ilvl w:val="0"/>
          <w:numId w:val="3"/>
        </w:numPr>
      </w:pPr>
      <w:r>
        <w:t xml:space="preserve">When </w:t>
      </w:r>
      <w:proofErr w:type="gramStart"/>
      <w:r>
        <w:t xml:space="preserve">a </w:t>
      </w:r>
      <w:proofErr w:type="spellStart"/>
      <w:r>
        <w:t>MGR</w:t>
      </w:r>
      <w:proofErr w:type="spellEnd"/>
      <w:proofErr w:type="gramEnd"/>
      <w:r>
        <w:t xml:space="preserve"> is initiated, it is imperative Five9 application users who </w:t>
      </w:r>
      <w:proofErr w:type="gramStart"/>
      <w:r>
        <w:t>are able to</w:t>
      </w:r>
      <w:proofErr w:type="gramEnd"/>
      <w:r>
        <w:t xml:space="preserve"> take calls remain logged in. This will allow agents to work through the queued calls and reduce the number of members impacted in the event the volume cannot be cleared before the timer ends.</w:t>
      </w:r>
    </w:p>
    <w:p w14:paraId="5AA62C97" w14:textId="3DC5896F" w:rsidR="00663562" w:rsidRDefault="00F46716" w:rsidP="00663562">
      <w:pPr>
        <w:pStyle w:val="ListParagraph"/>
        <w:numPr>
          <w:ilvl w:val="0"/>
          <w:numId w:val="3"/>
        </w:numPr>
      </w:pPr>
      <w:r>
        <w:t xml:space="preserve">During the </w:t>
      </w:r>
      <w:proofErr w:type="spellStart"/>
      <w:r>
        <w:t>MGR</w:t>
      </w:r>
      <w:proofErr w:type="spellEnd"/>
      <w:r>
        <w:t xml:space="preserve">, you may experience the application reloading. Allow this process to </w:t>
      </w:r>
      <w:proofErr w:type="gramStart"/>
      <w:r>
        <w:t>complete</w:t>
      </w:r>
      <w:proofErr w:type="gramEnd"/>
      <w:r>
        <w:t xml:space="preserve"> (it may take up to 5 minutes). Do not close the application while it is reloading as this will result in application errors.</w:t>
      </w:r>
    </w:p>
    <w:p w14:paraId="571E9A79" w14:textId="77777777" w:rsidR="007E6C0E" w:rsidRDefault="007E6C0E" w:rsidP="007E6C0E">
      <w:pPr>
        <w:pStyle w:val="ListParagraph"/>
        <w:numPr>
          <w:ilvl w:val="1"/>
          <w:numId w:val="3"/>
        </w:numPr>
      </w:pPr>
      <w:r>
        <w:t xml:space="preserve">During an </w:t>
      </w:r>
      <w:proofErr w:type="spellStart"/>
      <w:r>
        <w:t>MGR</w:t>
      </w:r>
      <w:proofErr w:type="spellEnd"/>
      <w:r>
        <w:t xml:space="preserve">, you may experience any of the </w:t>
      </w:r>
      <w:proofErr w:type="gramStart"/>
      <w:r>
        <w:t>below symptoms or application errors</w:t>
      </w:r>
      <w:proofErr w:type="gramEnd"/>
      <w:r>
        <w:t xml:space="preserve">:  </w:t>
      </w:r>
    </w:p>
    <w:p w14:paraId="04C738E3" w14:textId="77777777" w:rsidR="007E6C0E" w:rsidRDefault="007E6C0E" w:rsidP="007E6C0E">
      <w:pPr>
        <w:pStyle w:val="ListParagraph"/>
        <w:numPr>
          <w:ilvl w:val="2"/>
          <w:numId w:val="3"/>
        </w:numPr>
      </w:pPr>
      <w:r>
        <w:t>Server Connection Lost:</w:t>
      </w:r>
    </w:p>
    <w:p w14:paraId="6EFD3203" w14:textId="77777777" w:rsidR="007E6C0E" w:rsidRDefault="007E6C0E" w:rsidP="007E6C0E">
      <w:pPr>
        <w:pStyle w:val="ListParagraph"/>
        <w:ind w:left="2160"/>
      </w:pPr>
    </w:p>
    <w:p w14:paraId="655A1EC4" w14:textId="60684F9B" w:rsidR="007E6C0E" w:rsidRDefault="007E6C0E" w:rsidP="0023740C">
      <w:pPr>
        <w:jc w:val="center"/>
      </w:pPr>
      <w:r>
        <w:rPr>
          <w:noProof/>
        </w:rPr>
        <w:drawing>
          <wp:inline distT="0" distB="0" distL="0" distR="0" wp14:anchorId="1CC2DAA2" wp14:editId="7A4A2CD9">
            <wp:extent cx="4267200" cy="2901950"/>
            <wp:effectExtent l="19050" t="19050" r="190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0"/>
                    <a:stretch>
                      <a:fillRect/>
                    </a:stretch>
                  </pic:blipFill>
                  <pic:spPr>
                    <a:xfrm>
                      <a:off x="0" y="0"/>
                      <a:ext cx="4267200" cy="2901950"/>
                    </a:xfrm>
                    <a:prstGeom prst="rect">
                      <a:avLst/>
                    </a:prstGeom>
                    <a:ln>
                      <a:solidFill>
                        <a:schemeClr val="tx1"/>
                      </a:solidFill>
                    </a:ln>
                  </pic:spPr>
                </pic:pic>
              </a:graphicData>
            </a:graphic>
          </wp:inline>
        </w:drawing>
      </w:r>
    </w:p>
    <w:p w14:paraId="23FD96FA" w14:textId="77777777" w:rsidR="007E6C0E" w:rsidRDefault="007E6C0E" w:rsidP="0023740C">
      <w:pPr>
        <w:pStyle w:val="ListParagraph"/>
        <w:ind w:left="2160"/>
      </w:pPr>
    </w:p>
    <w:p w14:paraId="65202E0C" w14:textId="77777777" w:rsidR="007E6C0E" w:rsidRDefault="007E6C0E" w:rsidP="007E6C0E">
      <w:pPr>
        <w:pStyle w:val="ListParagraph"/>
        <w:numPr>
          <w:ilvl w:val="2"/>
          <w:numId w:val="3"/>
        </w:numPr>
      </w:pPr>
      <w:r>
        <w:t>Timed out waiting for response from server:</w:t>
      </w:r>
    </w:p>
    <w:p w14:paraId="05F4D017" w14:textId="77777777" w:rsidR="007E6C0E" w:rsidRDefault="007E6C0E" w:rsidP="007E6C0E">
      <w:pPr>
        <w:pStyle w:val="ListParagraph"/>
      </w:pPr>
    </w:p>
    <w:p w14:paraId="6C9EDB86" w14:textId="462363FF" w:rsidR="007E6C0E" w:rsidRDefault="007E6C0E" w:rsidP="0023740C">
      <w:pPr>
        <w:jc w:val="center"/>
      </w:pPr>
      <w:r>
        <w:rPr>
          <w:noProof/>
        </w:rPr>
        <w:drawing>
          <wp:inline distT="0" distB="0" distL="0" distR="0" wp14:anchorId="56BFFE7C" wp14:editId="1E92B483">
            <wp:extent cx="3959860" cy="2607945"/>
            <wp:effectExtent l="19050" t="19050" r="2159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9860" cy="2607945"/>
                    </a:xfrm>
                    <a:prstGeom prst="rect">
                      <a:avLst/>
                    </a:prstGeom>
                    <a:noFill/>
                    <a:ln>
                      <a:solidFill>
                        <a:schemeClr val="tx1"/>
                      </a:solidFill>
                    </a:ln>
                  </pic:spPr>
                </pic:pic>
              </a:graphicData>
            </a:graphic>
          </wp:inline>
        </w:drawing>
      </w:r>
    </w:p>
    <w:p w14:paraId="6408C8AA" w14:textId="77777777" w:rsidR="007E6C0E" w:rsidRDefault="007E6C0E" w:rsidP="0023740C">
      <w:pPr>
        <w:pStyle w:val="ListParagraph"/>
      </w:pPr>
    </w:p>
    <w:p w14:paraId="059DB229" w14:textId="77777777" w:rsidR="007E6C0E" w:rsidRDefault="007E6C0E" w:rsidP="007E6C0E">
      <w:pPr>
        <w:pStyle w:val="ListParagraph"/>
        <w:numPr>
          <w:ilvl w:val="2"/>
          <w:numId w:val="3"/>
        </w:numPr>
      </w:pPr>
      <w:r>
        <w:t>Internal Server Error:</w:t>
      </w:r>
    </w:p>
    <w:p w14:paraId="2C25970E" w14:textId="77777777" w:rsidR="00FA643B" w:rsidRDefault="00FA643B" w:rsidP="00FA643B">
      <w:pPr>
        <w:pStyle w:val="ListParagraph"/>
        <w:ind w:left="2160"/>
      </w:pPr>
    </w:p>
    <w:p w14:paraId="52B327A6" w14:textId="68DD1DC3" w:rsidR="00FA643B" w:rsidRDefault="00FA643B" w:rsidP="0023740C">
      <w:pPr>
        <w:jc w:val="center"/>
      </w:pPr>
      <w:r>
        <w:rPr>
          <w:noProof/>
        </w:rPr>
        <w:drawing>
          <wp:inline distT="0" distB="0" distL="0" distR="0" wp14:anchorId="05CBB695" wp14:editId="73282574">
            <wp:extent cx="4580890" cy="36188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4580890" cy="3618865"/>
                    </a:xfrm>
                    <a:prstGeom prst="rect">
                      <a:avLst/>
                    </a:prstGeom>
                  </pic:spPr>
                </pic:pic>
              </a:graphicData>
            </a:graphic>
          </wp:inline>
        </w:drawing>
      </w:r>
    </w:p>
    <w:p w14:paraId="58590F7F" w14:textId="77777777" w:rsidR="00FA643B" w:rsidRDefault="00FA643B" w:rsidP="0023740C">
      <w:pPr>
        <w:pStyle w:val="ListParagraph"/>
        <w:ind w:left="2160"/>
      </w:pPr>
    </w:p>
    <w:p w14:paraId="0F51FB1A" w14:textId="77A784EF" w:rsidR="00800502" w:rsidRDefault="007E6C0E" w:rsidP="00800502">
      <w:pPr>
        <w:pStyle w:val="ListParagraph"/>
        <w:numPr>
          <w:ilvl w:val="2"/>
          <w:numId w:val="3"/>
        </w:numPr>
      </w:pPr>
      <w:r>
        <w:t>Connection Problem:</w:t>
      </w:r>
    </w:p>
    <w:p w14:paraId="009293F0" w14:textId="77777777" w:rsidR="00800502" w:rsidRDefault="00800502" w:rsidP="00800502"/>
    <w:p w14:paraId="0B6EBACB" w14:textId="6346FA85" w:rsidR="00800502" w:rsidRDefault="00800502" w:rsidP="0023740C">
      <w:pPr>
        <w:jc w:val="center"/>
      </w:pPr>
      <w:r>
        <w:rPr>
          <w:noProof/>
        </w:rPr>
        <w:drawing>
          <wp:inline distT="0" distB="0" distL="0" distR="0" wp14:anchorId="3505B355" wp14:editId="36BD96C0">
            <wp:extent cx="1981200" cy="27241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1981200" cy="2724150"/>
                    </a:xfrm>
                    <a:prstGeom prst="rect">
                      <a:avLst/>
                    </a:prstGeom>
                    <a:ln>
                      <a:solidFill>
                        <a:schemeClr val="tx1"/>
                      </a:solidFill>
                    </a:ln>
                  </pic:spPr>
                </pic:pic>
              </a:graphicData>
            </a:graphic>
          </wp:inline>
        </w:drawing>
      </w:r>
    </w:p>
    <w:p w14:paraId="06B88257" w14:textId="77777777" w:rsidR="00800502" w:rsidRDefault="00800502" w:rsidP="0023740C"/>
    <w:p w14:paraId="5E364608" w14:textId="77777777" w:rsidR="00663562" w:rsidRDefault="00663562" w:rsidP="00663562"/>
    <w:p w14:paraId="5B9EE50C" w14:textId="5519D250" w:rsidR="00F46716" w:rsidRDefault="00663562" w:rsidP="00663562">
      <w:pPr>
        <w:pStyle w:val="Heading3"/>
      </w:pPr>
      <w:r>
        <w:t xml:space="preserve">Post </w:t>
      </w:r>
      <w:proofErr w:type="spellStart"/>
      <w:r>
        <w:t>MGR</w:t>
      </w:r>
      <w:proofErr w:type="spellEnd"/>
      <w:r>
        <w:t xml:space="preserve"> Troubleshooting:</w:t>
      </w:r>
    </w:p>
    <w:p w14:paraId="4A70A34D" w14:textId="057F4EDD" w:rsidR="00537D51" w:rsidRDefault="00537D51" w:rsidP="00537D51">
      <w:r>
        <w:rPr>
          <w:noProof/>
        </w:rPr>
        <w:drawing>
          <wp:inline distT="0" distB="0" distL="0" distR="0" wp14:anchorId="000124D8" wp14:editId="265C305D">
            <wp:extent cx="238095" cy="20952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t xml:space="preserve"> Ensure you have allowed 5 minutes to pass before proceeding to the next steps.</w:t>
      </w:r>
    </w:p>
    <w:p w14:paraId="6D61E1CB" w14:textId="77777777" w:rsidR="00537D51" w:rsidRDefault="00537D51" w:rsidP="003C23EB"/>
    <w:p w14:paraId="732F409A" w14:textId="77777777" w:rsidR="00537D51" w:rsidRDefault="00663562" w:rsidP="00537D51">
      <w:r>
        <w:t xml:space="preserve">If issues persist after five (5) minutes, </w:t>
      </w:r>
      <w:r w:rsidR="00537D51">
        <w:t>complete the following steps:</w:t>
      </w:r>
    </w:p>
    <w:tbl>
      <w:tblPr>
        <w:tblStyle w:val="TableGrid"/>
        <w:tblW w:w="5000" w:type="pct"/>
        <w:tblLook w:val="04A0" w:firstRow="1" w:lastRow="0" w:firstColumn="1" w:lastColumn="0" w:noHBand="0" w:noVBand="1"/>
      </w:tblPr>
      <w:tblGrid>
        <w:gridCol w:w="824"/>
        <w:gridCol w:w="8526"/>
      </w:tblGrid>
      <w:tr w:rsidR="00F56A5E" w14:paraId="15AEC9C0" w14:textId="77777777" w:rsidTr="0023740C">
        <w:tc>
          <w:tcPr>
            <w:tcW w:w="353" w:type="pct"/>
            <w:shd w:val="clear" w:color="auto" w:fill="D9D9D9" w:themeFill="background1" w:themeFillShade="D9"/>
          </w:tcPr>
          <w:p w14:paraId="5C2255CE" w14:textId="3540C54E" w:rsidR="00F56A5E" w:rsidRPr="0023740C" w:rsidRDefault="00437967" w:rsidP="0023740C">
            <w:pPr>
              <w:jc w:val="center"/>
              <w:rPr>
                <w:b/>
                <w:bCs/>
              </w:rPr>
            </w:pPr>
            <w:r>
              <w:rPr>
                <w:b/>
                <w:bCs/>
              </w:rPr>
              <w:t>Step</w:t>
            </w:r>
          </w:p>
        </w:tc>
        <w:tc>
          <w:tcPr>
            <w:tcW w:w="4647" w:type="pct"/>
            <w:shd w:val="clear" w:color="auto" w:fill="D9D9D9" w:themeFill="background1" w:themeFillShade="D9"/>
          </w:tcPr>
          <w:p w14:paraId="2C42B1E1" w14:textId="4763F994" w:rsidR="00F56A5E" w:rsidRPr="0023740C" w:rsidRDefault="00437967" w:rsidP="0023740C">
            <w:pPr>
              <w:jc w:val="center"/>
              <w:rPr>
                <w:b/>
                <w:bCs/>
              </w:rPr>
            </w:pPr>
            <w:r>
              <w:rPr>
                <w:b/>
                <w:bCs/>
              </w:rPr>
              <w:t>Action</w:t>
            </w:r>
          </w:p>
        </w:tc>
      </w:tr>
      <w:tr w:rsidR="00F56A5E" w14:paraId="2F981C33" w14:textId="77777777" w:rsidTr="0023740C">
        <w:tc>
          <w:tcPr>
            <w:tcW w:w="353" w:type="pct"/>
          </w:tcPr>
          <w:p w14:paraId="6D7E8963" w14:textId="0B2043D9" w:rsidR="00F56A5E" w:rsidRPr="0023740C" w:rsidRDefault="00437967" w:rsidP="0023740C">
            <w:pPr>
              <w:jc w:val="center"/>
              <w:rPr>
                <w:b/>
                <w:bCs/>
              </w:rPr>
            </w:pPr>
            <w:r>
              <w:rPr>
                <w:b/>
                <w:bCs/>
              </w:rPr>
              <w:t>1</w:t>
            </w:r>
          </w:p>
        </w:tc>
        <w:tc>
          <w:tcPr>
            <w:tcW w:w="4647" w:type="pct"/>
          </w:tcPr>
          <w:p w14:paraId="6AC3C21C" w14:textId="77777777" w:rsidR="00F56A5E" w:rsidRDefault="00437967" w:rsidP="00537D51">
            <w:r>
              <w:t xml:space="preserve">Clear browser cache, cookies, and host application data in Chrome. Refer to </w:t>
            </w:r>
            <w:hyperlink r:id="rId15" w:anchor="!/view?docid=cd7acfcb-ad36-4da3-b973-faf08afb7dea" w:history="1">
              <w:r>
                <w:rPr>
                  <w:rStyle w:val="Hyperlink"/>
                </w:rPr>
                <w:t>Clearing Your Cache (008655)</w:t>
              </w:r>
            </w:hyperlink>
            <w:r>
              <w:t>.</w:t>
            </w:r>
          </w:p>
          <w:p w14:paraId="31C4CC17" w14:textId="52284584" w:rsidR="00437967" w:rsidRDefault="00437967" w:rsidP="0023740C">
            <w:r>
              <w:rPr>
                <w:noProof/>
              </w:rPr>
              <w:drawing>
                <wp:inline distT="0" distB="0" distL="0" distR="0" wp14:anchorId="1F79914D" wp14:editId="216F9EB5">
                  <wp:extent cx="238125" cy="209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t xml:space="preserve"> Ensure the Hosted app data checkbox is checked when clearing cache.</w:t>
            </w:r>
          </w:p>
          <w:p w14:paraId="65D64952" w14:textId="77777777" w:rsidR="00437967" w:rsidRDefault="00437967" w:rsidP="00437967"/>
          <w:p w14:paraId="68C7CD1E" w14:textId="36BE6409" w:rsidR="00437967" w:rsidRDefault="00437967" w:rsidP="00437967">
            <w:pPr>
              <w:jc w:val="center"/>
            </w:pPr>
            <w:r>
              <w:rPr>
                <w:noProof/>
              </w:rPr>
              <w:drawing>
                <wp:inline distT="0" distB="0" distL="0" distR="0" wp14:anchorId="15C7EC66" wp14:editId="6FCD6C3D">
                  <wp:extent cx="3657600" cy="34099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3409950"/>
                          </a:xfrm>
                          <a:prstGeom prst="rect">
                            <a:avLst/>
                          </a:prstGeom>
                          <a:noFill/>
                          <a:ln w="9525" cmpd="sng">
                            <a:solidFill>
                              <a:srgbClr val="000000"/>
                            </a:solidFill>
                            <a:miter lim="800000"/>
                            <a:headEnd/>
                            <a:tailEnd/>
                          </a:ln>
                          <a:effectLst/>
                        </pic:spPr>
                      </pic:pic>
                    </a:graphicData>
                  </a:graphic>
                </wp:inline>
              </w:drawing>
            </w:r>
          </w:p>
          <w:p w14:paraId="2A699579" w14:textId="7B6EF541" w:rsidR="00437967" w:rsidRDefault="00437967" w:rsidP="00537D51"/>
        </w:tc>
      </w:tr>
      <w:tr w:rsidR="00F56A5E" w14:paraId="4C66AA09" w14:textId="77777777" w:rsidTr="0023740C">
        <w:tc>
          <w:tcPr>
            <w:tcW w:w="353" w:type="pct"/>
          </w:tcPr>
          <w:p w14:paraId="797E90D0" w14:textId="79E9AC06" w:rsidR="00F56A5E" w:rsidRPr="0023740C" w:rsidRDefault="00437967" w:rsidP="0023740C">
            <w:pPr>
              <w:jc w:val="center"/>
              <w:rPr>
                <w:b/>
                <w:bCs/>
              </w:rPr>
            </w:pPr>
            <w:r>
              <w:rPr>
                <w:b/>
                <w:bCs/>
              </w:rPr>
              <w:t>2</w:t>
            </w:r>
          </w:p>
        </w:tc>
        <w:tc>
          <w:tcPr>
            <w:tcW w:w="4647" w:type="pct"/>
          </w:tcPr>
          <w:p w14:paraId="2B29C706" w14:textId="77777777" w:rsidR="00F56A5E" w:rsidRDefault="00437967" w:rsidP="00537D51">
            <w:r>
              <w:t>Close all Chrome browser windows before attempting to open the Five9 application.</w:t>
            </w:r>
          </w:p>
          <w:p w14:paraId="7A9FA0C6" w14:textId="77777777" w:rsidR="006541CF" w:rsidRDefault="00216685" w:rsidP="006541CF">
            <w:pPr>
              <w:pStyle w:val="ListParagraph"/>
              <w:numPr>
                <w:ilvl w:val="2"/>
                <w:numId w:val="3"/>
              </w:numPr>
              <w:ind w:left="436"/>
            </w:pPr>
            <w:r>
              <w:t>If you continue to experience Five9 issues, complete a computer shut down.</w:t>
            </w:r>
          </w:p>
          <w:p w14:paraId="605A10F7" w14:textId="77777777" w:rsidR="006541CF" w:rsidRDefault="00216685" w:rsidP="0023740C">
            <w:pPr>
              <w:pStyle w:val="ListParagraph"/>
              <w:ind w:left="436"/>
            </w:pPr>
            <w:r w:rsidRPr="006541CF">
              <w:rPr>
                <w:b/>
                <w:bCs/>
              </w:rPr>
              <w:t>Note:</w:t>
            </w:r>
            <w:r>
              <w:t xml:space="preserve">  Do not perform a restart. You must select </w:t>
            </w:r>
            <w:r w:rsidRPr="006541CF">
              <w:rPr>
                <w:b/>
                <w:bCs/>
              </w:rPr>
              <w:t>shut down</w:t>
            </w:r>
            <w:r>
              <w:t>.</w:t>
            </w:r>
          </w:p>
          <w:p w14:paraId="078675ED" w14:textId="26EC27AF" w:rsidR="00216685" w:rsidRDefault="00216685" w:rsidP="0023740C">
            <w:pPr>
              <w:pStyle w:val="ListParagraph"/>
              <w:numPr>
                <w:ilvl w:val="1"/>
                <w:numId w:val="3"/>
              </w:numPr>
            </w:pPr>
            <w:r>
              <w:t xml:space="preserve">If you continue to experience issues after shutting down, take a screenshot of the error(s) and send them to your leader along with your Network ID (The ID used to log in to your computer.). They will send these details to the </w:t>
            </w:r>
            <w:proofErr w:type="spellStart"/>
            <w:r>
              <w:t>CMO</w:t>
            </w:r>
            <w:proofErr w:type="spellEnd"/>
            <w:r>
              <w:t xml:space="preserve"> Incident Management team. </w:t>
            </w:r>
          </w:p>
        </w:tc>
      </w:tr>
    </w:tbl>
    <w:p w14:paraId="55FA45B2" w14:textId="77777777" w:rsidR="007C6577" w:rsidRDefault="007C6577" w:rsidP="00537D51">
      <w:pPr>
        <w:jc w:val="right"/>
      </w:pPr>
    </w:p>
    <w:p w14:paraId="76ED7CD9" w14:textId="19643864" w:rsidR="00537D51" w:rsidRDefault="00B94EED" w:rsidP="00537D51">
      <w:pPr>
        <w:jc w:val="right"/>
        <w:rPr>
          <w:rStyle w:val="Hyperlink"/>
        </w:rPr>
      </w:pPr>
      <w:hyperlink w:anchor="_top" w:history="1">
        <w:r w:rsidR="00537D51" w:rsidRPr="00B94EED">
          <w:rPr>
            <w:rStyle w:val="Hyperlink"/>
          </w:rPr>
          <w:t>Top of the Document</w:t>
        </w:r>
      </w:hyperlink>
    </w:p>
    <w:tbl>
      <w:tblPr>
        <w:tblStyle w:val="TableGrid"/>
        <w:tblW w:w="5000" w:type="pct"/>
        <w:tblLook w:val="04A0" w:firstRow="1" w:lastRow="0" w:firstColumn="1" w:lastColumn="0" w:noHBand="0" w:noVBand="1"/>
      </w:tblPr>
      <w:tblGrid>
        <w:gridCol w:w="9350"/>
      </w:tblGrid>
      <w:tr w:rsidR="00097F9E" w14:paraId="6136380A" w14:textId="77777777" w:rsidTr="0023740C">
        <w:tc>
          <w:tcPr>
            <w:tcW w:w="5000" w:type="pct"/>
            <w:shd w:val="clear" w:color="auto" w:fill="BFBFBF" w:themeFill="background1" w:themeFillShade="BF"/>
          </w:tcPr>
          <w:p w14:paraId="324376ED" w14:textId="2DD48A5D" w:rsidR="00097F9E" w:rsidRDefault="00097F9E" w:rsidP="0023740C">
            <w:pPr>
              <w:pStyle w:val="Heading2"/>
            </w:pPr>
            <w:bookmarkStart w:id="4" w:name="_Toc197433147"/>
            <w:r>
              <w:t>Related Documents</w:t>
            </w:r>
            <w:bookmarkEnd w:id="4"/>
          </w:p>
        </w:tc>
      </w:tr>
    </w:tbl>
    <w:p w14:paraId="12D8FCBD" w14:textId="14D554E6" w:rsidR="00624CC4" w:rsidRDefault="00097F9E" w:rsidP="00097F9E">
      <w:hyperlink r:id="rId17" w:anchor="!/view?docid=e696b7c2-078e-444c-a317-bf857986aa23" w:history="1">
        <w:r w:rsidRPr="00097F9E">
          <w:rPr>
            <w:rStyle w:val="Hyperlink"/>
          </w:rPr>
          <w:t>Five9 Document Index for Agents (052307)</w:t>
        </w:r>
      </w:hyperlink>
    </w:p>
    <w:p w14:paraId="387D459D" w14:textId="6D97845C" w:rsidR="00B360F7" w:rsidRDefault="00864809" w:rsidP="00097F9E">
      <w:r>
        <w:rPr>
          <w:b/>
          <w:bCs/>
          <w:color w:val="000000"/>
        </w:rPr>
        <w:t>Parent Documents:  </w:t>
      </w:r>
      <w:hyperlink r:id="rId18" w:tgtFrame="_blank" w:history="1">
        <w:r>
          <w:rPr>
            <w:rStyle w:val="Hyperlink"/>
          </w:rPr>
          <w:t>CALL 0049 Customer Care Internal and External Call Handling</w:t>
        </w:r>
      </w:hyperlink>
    </w:p>
    <w:p w14:paraId="609B8732" w14:textId="35F03C74" w:rsidR="00097F9E" w:rsidRDefault="00B94EED" w:rsidP="00B124E3">
      <w:pPr>
        <w:jc w:val="right"/>
      </w:pPr>
      <w:hyperlink w:anchor="_top" w:history="1">
        <w:r w:rsidR="00F13188" w:rsidRPr="00B94EED">
          <w:rPr>
            <w:rStyle w:val="Hyperlink"/>
          </w:rPr>
          <w:t>Top of the Document</w:t>
        </w:r>
      </w:hyperlink>
    </w:p>
    <w:p w14:paraId="42305DE1" w14:textId="77777777" w:rsidR="00537D51" w:rsidRDefault="00537D51" w:rsidP="00537D51">
      <w:pPr>
        <w:pStyle w:val="NormalWeb"/>
        <w:spacing w:before="0" w:beforeAutospacing="0" w:after="0" w:afterAutospacing="0"/>
        <w:jc w:val="center"/>
        <w:rPr>
          <w:color w:val="000000"/>
          <w:sz w:val="27"/>
          <w:szCs w:val="27"/>
        </w:rPr>
      </w:pPr>
      <w:r>
        <w:rPr>
          <w:rFonts w:ascii="Verdana" w:hAnsi="Verdana"/>
          <w:color w:val="000000"/>
          <w:sz w:val="16"/>
          <w:szCs w:val="16"/>
        </w:rPr>
        <w:t>Not to Be Reproduced or Disclosed to Others without Prior Written Approval</w:t>
      </w:r>
    </w:p>
    <w:p w14:paraId="1F5E498E" w14:textId="43377E20" w:rsidR="00537D51" w:rsidRPr="00537D51" w:rsidRDefault="00537D51" w:rsidP="00537D51">
      <w:pPr>
        <w:pStyle w:val="NormalWeb"/>
        <w:spacing w:before="0" w:beforeAutospacing="0" w:after="0" w:afterAutospacing="0"/>
        <w:jc w:val="center"/>
        <w:rPr>
          <w:color w:val="000000"/>
          <w:sz w:val="27"/>
          <w:szCs w:val="27"/>
        </w:rPr>
      </w:pPr>
      <w:r>
        <w:rPr>
          <w:rFonts w:ascii="Verdana" w:hAnsi="Verdana"/>
          <w:b/>
          <w:bCs/>
          <w:color w:val="000000"/>
          <w:sz w:val="16"/>
          <w:szCs w:val="16"/>
        </w:rPr>
        <w:t>ELECTRONIC DATA = OFFICIAL VERSION / PAPER COPY = INFORMATIONAL ONLY</w:t>
      </w:r>
    </w:p>
    <w:sectPr w:rsidR="00537D51" w:rsidRPr="00537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5A4B10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4010814" o:spid="_x0000_i1025" type="#_x0000_t75" style="width:18.75pt;height:16.5pt;visibility:visible;mso-wrap-style:square">
            <v:imagedata r:id="rId1" o:title=""/>
          </v:shape>
        </w:pict>
      </mc:Choice>
      <mc:Fallback>
        <w:drawing>
          <wp:inline distT="0" distB="0" distL="0" distR="0" wp14:anchorId="6AEAA5FA" wp14:editId="6AEAA5FB">
            <wp:extent cx="238125" cy="209550"/>
            <wp:effectExtent l="0" t="0" r="0" b="0"/>
            <wp:docPr id="474010814" name="Picture 474010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mc:Fallback>
    </mc:AlternateContent>
  </w:numPicBullet>
  <w:abstractNum w:abstractNumId="0" w15:restartNumberingAfterBreak="0">
    <w:nsid w:val="09996283"/>
    <w:multiLevelType w:val="hybridMultilevel"/>
    <w:tmpl w:val="FCF28A8E"/>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756EB6"/>
    <w:multiLevelType w:val="hybridMultilevel"/>
    <w:tmpl w:val="4740D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A7C6F"/>
    <w:multiLevelType w:val="hybridMultilevel"/>
    <w:tmpl w:val="19AE82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406DC"/>
    <w:multiLevelType w:val="hybridMultilevel"/>
    <w:tmpl w:val="CF42C48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2F21BC7"/>
    <w:multiLevelType w:val="hybridMultilevel"/>
    <w:tmpl w:val="AAD64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526245"/>
    <w:multiLevelType w:val="hybridMultilevel"/>
    <w:tmpl w:val="98FC84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A75A49"/>
    <w:multiLevelType w:val="hybridMultilevel"/>
    <w:tmpl w:val="0E30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400FE"/>
    <w:multiLevelType w:val="hybridMultilevel"/>
    <w:tmpl w:val="77CC5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49052">
    <w:abstractNumId w:val="6"/>
  </w:num>
  <w:num w:numId="2" w16cid:durableId="130487311">
    <w:abstractNumId w:val="6"/>
  </w:num>
  <w:num w:numId="3" w16cid:durableId="855272403">
    <w:abstractNumId w:val="5"/>
  </w:num>
  <w:num w:numId="4" w16cid:durableId="668681173">
    <w:abstractNumId w:val="1"/>
  </w:num>
  <w:num w:numId="5" w16cid:durableId="2115126643">
    <w:abstractNumId w:val="2"/>
  </w:num>
  <w:num w:numId="6" w16cid:durableId="1339502174">
    <w:abstractNumId w:val="0"/>
  </w:num>
  <w:num w:numId="7" w16cid:durableId="643972834">
    <w:abstractNumId w:val="3"/>
  </w:num>
  <w:num w:numId="8" w16cid:durableId="2061899933">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27055939">
    <w:abstractNumId w:val="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4589810">
    <w:abstractNumId w:val="7"/>
  </w:num>
  <w:num w:numId="11" w16cid:durableId="15280588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B0E"/>
    <w:rsid w:val="00022C06"/>
    <w:rsid w:val="000721B8"/>
    <w:rsid w:val="00097F9E"/>
    <w:rsid w:val="000A3954"/>
    <w:rsid w:val="000B253D"/>
    <w:rsid w:val="00171AA3"/>
    <w:rsid w:val="00191767"/>
    <w:rsid w:val="001967AD"/>
    <w:rsid w:val="001A6466"/>
    <w:rsid w:val="001A6884"/>
    <w:rsid w:val="001D7C7C"/>
    <w:rsid w:val="00216685"/>
    <w:rsid w:val="0023740C"/>
    <w:rsid w:val="002D09C0"/>
    <w:rsid w:val="002F4758"/>
    <w:rsid w:val="003C23EB"/>
    <w:rsid w:val="004276FA"/>
    <w:rsid w:val="00437967"/>
    <w:rsid w:val="00537D51"/>
    <w:rsid w:val="00624CC4"/>
    <w:rsid w:val="0063281A"/>
    <w:rsid w:val="006541CF"/>
    <w:rsid w:val="00662A92"/>
    <w:rsid w:val="00663562"/>
    <w:rsid w:val="0068235C"/>
    <w:rsid w:val="00796E7D"/>
    <w:rsid w:val="007C6577"/>
    <w:rsid w:val="007E6C0E"/>
    <w:rsid w:val="00800502"/>
    <w:rsid w:val="00864809"/>
    <w:rsid w:val="00870C71"/>
    <w:rsid w:val="00914F44"/>
    <w:rsid w:val="009C379D"/>
    <w:rsid w:val="009D52EA"/>
    <w:rsid w:val="00A014B9"/>
    <w:rsid w:val="00A37906"/>
    <w:rsid w:val="00A625F4"/>
    <w:rsid w:val="00AD73D5"/>
    <w:rsid w:val="00AF4834"/>
    <w:rsid w:val="00B124E3"/>
    <w:rsid w:val="00B360F7"/>
    <w:rsid w:val="00B50578"/>
    <w:rsid w:val="00B85118"/>
    <w:rsid w:val="00B94EED"/>
    <w:rsid w:val="00BC5B0E"/>
    <w:rsid w:val="00BC6EF2"/>
    <w:rsid w:val="00C015C0"/>
    <w:rsid w:val="00C7609E"/>
    <w:rsid w:val="00DA21C2"/>
    <w:rsid w:val="00E006A1"/>
    <w:rsid w:val="00E03056"/>
    <w:rsid w:val="00E25F77"/>
    <w:rsid w:val="00E6299B"/>
    <w:rsid w:val="00EA26A9"/>
    <w:rsid w:val="00EA4071"/>
    <w:rsid w:val="00ED5EFE"/>
    <w:rsid w:val="00F13188"/>
    <w:rsid w:val="00F46716"/>
    <w:rsid w:val="00F56A5E"/>
    <w:rsid w:val="00F9653E"/>
    <w:rsid w:val="00FA643B"/>
    <w:rsid w:val="050B8048"/>
    <w:rsid w:val="06086BA5"/>
    <w:rsid w:val="0622185A"/>
    <w:rsid w:val="07DBCDA2"/>
    <w:rsid w:val="085397D2"/>
    <w:rsid w:val="11DC4E1D"/>
    <w:rsid w:val="36D09D3C"/>
    <w:rsid w:val="38C2909B"/>
    <w:rsid w:val="4B413E84"/>
    <w:rsid w:val="4E08B5CB"/>
    <w:rsid w:val="617DE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D9F8"/>
  <w15:chartTrackingRefBased/>
  <w15:docId w15:val="{75D92247-C83D-4F78-94F4-42771E43E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6FA"/>
    <w:pPr>
      <w:spacing w:before="120" w:after="120" w:line="240" w:lineRule="auto"/>
    </w:pPr>
    <w:rPr>
      <w:rFonts w:ascii="Verdana" w:hAnsi="Verdana"/>
      <w:sz w:val="24"/>
    </w:rPr>
  </w:style>
  <w:style w:type="paragraph" w:styleId="Heading1">
    <w:name w:val="heading 1"/>
    <w:basedOn w:val="Normal"/>
    <w:next w:val="Normal"/>
    <w:link w:val="Heading1Char"/>
    <w:uiPriority w:val="9"/>
    <w:qFormat/>
    <w:rsid w:val="004276FA"/>
    <w:pPr>
      <w:keepNext/>
      <w:keepLines/>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097F9E"/>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4276FA"/>
    <w:pPr>
      <w:keepNext/>
      <w:keepLines/>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FA"/>
    <w:rPr>
      <w:rFonts w:ascii="Verdana" w:eastAsiaTheme="majorEastAsia" w:hAnsi="Verdana" w:cstheme="majorBidi"/>
      <w:b/>
      <w:sz w:val="36"/>
      <w:szCs w:val="32"/>
    </w:rPr>
  </w:style>
  <w:style w:type="character" w:customStyle="1" w:styleId="Heading2Char">
    <w:name w:val="Heading 2 Char"/>
    <w:basedOn w:val="DefaultParagraphFont"/>
    <w:link w:val="Heading2"/>
    <w:uiPriority w:val="9"/>
    <w:rsid w:val="00097F9E"/>
    <w:rPr>
      <w:rFonts w:ascii="Verdana" w:eastAsiaTheme="majorEastAsia" w:hAnsi="Verdana" w:cstheme="majorBidi"/>
      <w:b/>
      <w:sz w:val="28"/>
      <w:szCs w:val="26"/>
    </w:rPr>
  </w:style>
  <w:style w:type="character" w:customStyle="1" w:styleId="Heading3Char">
    <w:name w:val="Heading 3 Char"/>
    <w:basedOn w:val="DefaultParagraphFont"/>
    <w:link w:val="Heading3"/>
    <w:uiPriority w:val="9"/>
    <w:rsid w:val="004276FA"/>
    <w:rPr>
      <w:rFonts w:ascii="Verdana" w:eastAsiaTheme="majorEastAsia" w:hAnsi="Verdana" w:cstheme="majorBidi"/>
      <w:b/>
      <w:sz w:val="24"/>
      <w:szCs w:val="24"/>
    </w:rPr>
  </w:style>
  <w:style w:type="table" w:styleId="TableGrid">
    <w:name w:val="Table Grid"/>
    <w:basedOn w:val="TableNormal"/>
    <w:uiPriority w:val="39"/>
    <w:rsid w:val="00BC5B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C5B0E"/>
    <w:pPr>
      <w:ind w:left="720"/>
      <w:contextualSpacing/>
    </w:pPr>
  </w:style>
  <w:style w:type="paragraph" w:styleId="Revision">
    <w:name w:val="Revision"/>
    <w:hidden/>
    <w:uiPriority w:val="99"/>
    <w:semiHidden/>
    <w:rsid w:val="00BC5B0E"/>
    <w:pPr>
      <w:spacing w:after="0" w:line="240" w:lineRule="auto"/>
    </w:pPr>
    <w:rPr>
      <w:rFonts w:ascii="Verdana" w:hAnsi="Verdana"/>
      <w:sz w:val="24"/>
    </w:rPr>
  </w:style>
  <w:style w:type="character" w:styleId="Hyperlink">
    <w:name w:val="Hyperlink"/>
    <w:basedOn w:val="DefaultParagraphFont"/>
    <w:uiPriority w:val="99"/>
    <w:unhideWhenUsed/>
    <w:rsid w:val="00BC5B0E"/>
    <w:rPr>
      <w:color w:val="0563C1" w:themeColor="hyperlink"/>
      <w:u w:val="single"/>
    </w:rPr>
  </w:style>
  <w:style w:type="character" w:styleId="UnresolvedMention">
    <w:name w:val="Unresolved Mention"/>
    <w:basedOn w:val="DefaultParagraphFont"/>
    <w:uiPriority w:val="99"/>
    <w:semiHidden/>
    <w:unhideWhenUsed/>
    <w:rsid w:val="00BC5B0E"/>
    <w:rPr>
      <w:color w:val="605E5C"/>
      <w:shd w:val="clear" w:color="auto" w:fill="E1DFDD"/>
    </w:rPr>
  </w:style>
  <w:style w:type="paragraph" w:styleId="NormalWeb">
    <w:name w:val="Normal (Web)"/>
    <w:basedOn w:val="Normal"/>
    <w:uiPriority w:val="99"/>
    <w:unhideWhenUsed/>
    <w:rsid w:val="00537D51"/>
    <w:pPr>
      <w:spacing w:before="100" w:beforeAutospacing="1" w:after="100" w:afterAutospacing="1"/>
    </w:pPr>
    <w:rPr>
      <w:rFonts w:ascii="Times New Roman" w:eastAsia="Times New Roman" w:hAnsi="Times New Roman" w:cs="Times New Roman"/>
      <w:szCs w:val="24"/>
    </w:rPr>
  </w:style>
  <w:style w:type="paragraph" w:styleId="TOC2">
    <w:name w:val="toc 2"/>
    <w:basedOn w:val="Normal"/>
    <w:next w:val="Normal"/>
    <w:autoRedefine/>
    <w:uiPriority w:val="39"/>
    <w:unhideWhenUsed/>
    <w:rsid w:val="00F13188"/>
    <w:pPr>
      <w:tabs>
        <w:tab w:val="right" w:leader="dot" w:pos="9350"/>
      </w:tabs>
      <w:spacing w:after="100"/>
      <w:ind w:left="240"/>
    </w:pPr>
  </w:style>
  <w:style w:type="character" w:styleId="CommentReference">
    <w:name w:val="annotation reference"/>
    <w:basedOn w:val="DefaultParagraphFont"/>
    <w:uiPriority w:val="99"/>
    <w:semiHidden/>
    <w:unhideWhenUsed/>
    <w:rsid w:val="002D09C0"/>
    <w:rPr>
      <w:sz w:val="16"/>
      <w:szCs w:val="16"/>
    </w:rPr>
  </w:style>
  <w:style w:type="paragraph" w:styleId="CommentText">
    <w:name w:val="annotation text"/>
    <w:basedOn w:val="Normal"/>
    <w:link w:val="CommentTextChar"/>
    <w:uiPriority w:val="99"/>
    <w:unhideWhenUsed/>
    <w:rsid w:val="002D09C0"/>
    <w:rPr>
      <w:sz w:val="20"/>
      <w:szCs w:val="20"/>
    </w:rPr>
  </w:style>
  <w:style w:type="character" w:customStyle="1" w:styleId="CommentTextChar">
    <w:name w:val="Comment Text Char"/>
    <w:basedOn w:val="DefaultParagraphFont"/>
    <w:link w:val="CommentText"/>
    <w:uiPriority w:val="99"/>
    <w:rsid w:val="002D09C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2D09C0"/>
    <w:rPr>
      <w:b/>
      <w:bCs/>
    </w:rPr>
  </w:style>
  <w:style w:type="character" w:customStyle="1" w:styleId="CommentSubjectChar">
    <w:name w:val="Comment Subject Char"/>
    <w:basedOn w:val="CommentTextChar"/>
    <w:link w:val="CommentSubject"/>
    <w:uiPriority w:val="99"/>
    <w:semiHidden/>
    <w:rsid w:val="002D09C0"/>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253550">
      <w:bodyDiv w:val="1"/>
      <w:marLeft w:val="0"/>
      <w:marRight w:val="0"/>
      <w:marTop w:val="0"/>
      <w:marBottom w:val="0"/>
      <w:divBdr>
        <w:top w:val="none" w:sz="0" w:space="0" w:color="auto"/>
        <w:left w:val="none" w:sz="0" w:space="0" w:color="auto"/>
        <w:bottom w:val="none" w:sz="0" w:space="0" w:color="auto"/>
        <w:right w:val="none" w:sz="0" w:space="0" w:color="auto"/>
      </w:divBdr>
    </w:div>
    <w:div w:id="380133226">
      <w:bodyDiv w:val="1"/>
      <w:marLeft w:val="0"/>
      <w:marRight w:val="0"/>
      <w:marTop w:val="0"/>
      <w:marBottom w:val="0"/>
      <w:divBdr>
        <w:top w:val="none" w:sz="0" w:space="0" w:color="auto"/>
        <w:left w:val="none" w:sz="0" w:space="0" w:color="auto"/>
        <w:bottom w:val="none" w:sz="0" w:space="0" w:color="auto"/>
        <w:right w:val="none" w:sz="0" w:space="0" w:color="auto"/>
      </w:divBdr>
    </w:div>
    <w:div w:id="417597200">
      <w:bodyDiv w:val="1"/>
      <w:marLeft w:val="0"/>
      <w:marRight w:val="0"/>
      <w:marTop w:val="0"/>
      <w:marBottom w:val="0"/>
      <w:divBdr>
        <w:top w:val="none" w:sz="0" w:space="0" w:color="auto"/>
        <w:left w:val="none" w:sz="0" w:space="0" w:color="auto"/>
        <w:bottom w:val="none" w:sz="0" w:space="0" w:color="auto"/>
        <w:right w:val="none" w:sz="0" w:space="0" w:color="auto"/>
      </w:divBdr>
    </w:div>
    <w:div w:id="687172100">
      <w:bodyDiv w:val="1"/>
      <w:marLeft w:val="0"/>
      <w:marRight w:val="0"/>
      <w:marTop w:val="0"/>
      <w:marBottom w:val="0"/>
      <w:divBdr>
        <w:top w:val="none" w:sz="0" w:space="0" w:color="auto"/>
        <w:left w:val="none" w:sz="0" w:space="0" w:color="auto"/>
        <w:bottom w:val="none" w:sz="0" w:space="0" w:color="auto"/>
        <w:right w:val="none" w:sz="0" w:space="0" w:color="auto"/>
      </w:divBdr>
    </w:div>
    <w:div w:id="778259428">
      <w:bodyDiv w:val="1"/>
      <w:marLeft w:val="0"/>
      <w:marRight w:val="0"/>
      <w:marTop w:val="0"/>
      <w:marBottom w:val="0"/>
      <w:divBdr>
        <w:top w:val="none" w:sz="0" w:space="0" w:color="auto"/>
        <w:left w:val="none" w:sz="0" w:space="0" w:color="auto"/>
        <w:bottom w:val="none" w:sz="0" w:space="0" w:color="auto"/>
        <w:right w:val="none" w:sz="0" w:space="0" w:color="auto"/>
      </w:divBdr>
    </w:div>
    <w:div w:id="813107521">
      <w:bodyDiv w:val="1"/>
      <w:marLeft w:val="0"/>
      <w:marRight w:val="0"/>
      <w:marTop w:val="0"/>
      <w:marBottom w:val="0"/>
      <w:divBdr>
        <w:top w:val="none" w:sz="0" w:space="0" w:color="auto"/>
        <w:left w:val="none" w:sz="0" w:space="0" w:color="auto"/>
        <w:bottom w:val="none" w:sz="0" w:space="0" w:color="auto"/>
        <w:right w:val="none" w:sz="0" w:space="0" w:color="auto"/>
      </w:divBdr>
    </w:div>
    <w:div w:id="870872658">
      <w:bodyDiv w:val="1"/>
      <w:marLeft w:val="0"/>
      <w:marRight w:val="0"/>
      <w:marTop w:val="0"/>
      <w:marBottom w:val="0"/>
      <w:divBdr>
        <w:top w:val="none" w:sz="0" w:space="0" w:color="auto"/>
        <w:left w:val="none" w:sz="0" w:space="0" w:color="auto"/>
        <w:bottom w:val="none" w:sz="0" w:space="0" w:color="auto"/>
        <w:right w:val="none" w:sz="0" w:space="0" w:color="auto"/>
      </w:divBdr>
    </w:div>
    <w:div w:id="1131165597">
      <w:bodyDiv w:val="1"/>
      <w:marLeft w:val="0"/>
      <w:marRight w:val="0"/>
      <w:marTop w:val="0"/>
      <w:marBottom w:val="0"/>
      <w:divBdr>
        <w:top w:val="none" w:sz="0" w:space="0" w:color="auto"/>
        <w:left w:val="none" w:sz="0" w:space="0" w:color="auto"/>
        <w:bottom w:val="none" w:sz="0" w:space="0" w:color="auto"/>
        <w:right w:val="none" w:sz="0" w:space="0" w:color="auto"/>
      </w:divBdr>
    </w:div>
    <w:div w:id="155746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7.png@01DB89CE.36853750" TargetMode="External"/><Relationship Id="rId13" Type="http://schemas.openxmlformats.org/officeDocument/2006/relationships/image" Target="media/image9.png"/><Relationship Id="rId18" Type="http://schemas.openxmlformats.org/officeDocument/2006/relationships/hyperlink" Target="https://policy.corp.cvscaremark.com/pnp/faces/DocRenderer?documentId=CALL-0049" TargetMode="External"/><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thesource.cvshealth.com/nuxeo/thesource/"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thesource.cvshealth.com/nuxeo/thesource/"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2.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61D604-F182-4F85-9492-8F8C86F17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750</Words>
  <Characters>4279</Characters>
  <Application>Microsoft Office Word</Application>
  <DocSecurity>0</DocSecurity>
  <Lines>35</Lines>
  <Paragraphs>10</Paragraphs>
  <ScaleCrop>false</ScaleCrop>
  <Company/>
  <LinksUpToDate>false</LinksUpToDate>
  <CharactersWithSpaces>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Dugdale, Brienna</dc:creator>
  <cp:keywords/>
  <dc:description/>
  <cp:lastModifiedBy>Dugdale, Brienna</cp:lastModifiedBy>
  <cp:revision>8</cp:revision>
  <dcterms:created xsi:type="dcterms:W3CDTF">2025-01-14T19:01:00Z</dcterms:created>
  <dcterms:modified xsi:type="dcterms:W3CDTF">2025-05-06T19:12:00Z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ecdf243-b9b0-4f63-8694-76742e4201b7_Enabled">
    <vt:lpwstr>true</vt:lpwstr>
  </property>
  <property fmtid="{D5CDD505-2E9C-101B-9397-08002B2CF9AE}" pid="3" name="MSIP_Label_1ecdf243-b9b0-4f63-8694-76742e4201b7_SetDate">
    <vt:lpwstr>2023-12-21T21:45:17Z</vt:lpwstr>
  </property>
  <property fmtid="{D5CDD505-2E9C-101B-9397-08002B2CF9AE}" pid="4" name="MSIP_Label_1ecdf243-b9b0-4f63-8694-76742e4201b7_Method">
    <vt:lpwstr>Standard</vt:lpwstr>
  </property>
  <property fmtid="{D5CDD505-2E9C-101B-9397-08002B2CF9AE}" pid="5" name="MSIP_Label_1ecdf243-b9b0-4f63-8694-76742e4201b7_Name">
    <vt:lpwstr>Proprietary general</vt:lpwstr>
  </property>
  <property fmtid="{D5CDD505-2E9C-101B-9397-08002B2CF9AE}" pid="6" name="MSIP_Label_1ecdf243-b9b0-4f63-8694-76742e4201b7_SiteId">
    <vt:lpwstr>fabb61b8-3afe-4e75-b934-a47f782b8cd7</vt:lpwstr>
  </property>
  <property fmtid="{D5CDD505-2E9C-101B-9397-08002B2CF9AE}" pid="7" name="MSIP_Label_1ecdf243-b9b0-4f63-8694-76742e4201b7_ActionId">
    <vt:lpwstr>0c4b68df-6bf9-449a-84f5-499dd3a012aa</vt:lpwstr>
  </property>
  <property fmtid="{D5CDD505-2E9C-101B-9397-08002B2CF9AE}" pid="8" name="MSIP_Label_1ecdf243-b9b0-4f63-8694-76742e4201b7_ContentBits">
    <vt:lpwstr>0</vt:lpwstr>
  </property>
</Properties>
</file>