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23841" w14:textId="02F0DDBF" w:rsidR="00E32DFD" w:rsidRPr="00A03947" w:rsidRDefault="00E32DFD" w:rsidP="00E32DFD">
      <w:pPr>
        <w:rPr>
          <w:rFonts w:ascii="Helvetica" w:hAnsi="Helvetica" w:cs="Helvetica"/>
          <w:b/>
          <w:bCs/>
          <w:sz w:val="24"/>
          <w:szCs w:val="24"/>
        </w:rPr>
      </w:pPr>
      <w:r w:rsidRPr="00A03947">
        <w:rPr>
          <w:rFonts w:ascii="Helvetica" w:hAnsi="Helvetica" w:cs="Helvetica"/>
          <w:b/>
          <w:bCs/>
          <w:sz w:val="24"/>
          <w:szCs w:val="24"/>
        </w:rPr>
        <w:t xml:space="preserve">Formulary Preference </w:t>
      </w:r>
    </w:p>
    <w:p w14:paraId="0244CF2A" w14:textId="77E1C00D" w:rsidR="00E32DFD" w:rsidRPr="00A03947" w:rsidRDefault="00E32DFD" w:rsidP="00E32DFD">
      <w:pPr>
        <w:rPr>
          <w:rFonts w:ascii="Helvetica" w:hAnsi="Helvetica" w:cs="Helvetica"/>
          <w:sz w:val="24"/>
          <w:szCs w:val="24"/>
        </w:rPr>
      </w:pPr>
      <w:r w:rsidRPr="00A03947">
        <w:rPr>
          <w:rFonts w:ascii="Helvetica" w:hAnsi="Helvetica" w:cs="Helvetica"/>
          <w:sz w:val="24"/>
          <w:szCs w:val="24"/>
        </w:rPr>
        <w:t>When entering a PA, if the intent of the override is to only cover the preferred, non-preferred or non-formulary products utilize the instructions provided below.</w:t>
      </w:r>
      <w:r w:rsidR="00A03947" w:rsidRPr="00A03947">
        <w:rPr>
          <w:rFonts w:ascii="Helvetica" w:hAnsi="Helvetica" w:cs="Helvetica"/>
          <w:sz w:val="24"/>
          <w:szCs w:val="24"/>
        </w:rPr>
        <w:t xml:space="preserve"> </w:t>
      </w:r>
    </w:p>
    <w:p w14:paraId="5ED8683A" w14:textId="2F236E56" w:rsidR="00A03947" w:rsidRPr="00A03947" w:rsidRDefault="00A03947" w:rsidP="00E32DFD">
      <w:pPr>
        <w:rPr>
          <w:rFonts w:ascii="Helvetica" w:hAnsi="Helvetica" w:cs="Helvetica"/>
          <w:sz w:val="24"/>
          <w:szCs w:val="24"/>
        </w:rPr>
      </w:pPr>
    </w:p>
    <w:p w14:paraId="7E490ECB" w14:textId="0F913127" w:rsidR="00A03947" w:rsidRPr="00A03947" w:rsidRDefault="00A03947" w:rsidP="00A03947">
      <w:pPr>
        <w:shd w:val="clear" w:color="auto" w:fill="FFFFFF"/>
        <w:spacing w:after="272" w:line="242" w:lineRule="atLeast"/>
        <w:ind w:left="10" w:hanging="10"/>
        <w:rPr>
          <w:rFonts w:ascii="Helvetica" w:hAnsi="Helvetica" w:cs="Helvetica"/>
          <w:color w:val="333333"/>
          <w:sz w:val="24"/>
          <w:szCs w:val="24"/>
        </w:rPr>
      </w:pPr>
      <w:r w:rsidRPr="00691B76">
        <w:rPr>
          <w:rFonts w:ascii="Helvetica" w:hAnsi="Helvetica" w:cs="Helvetica"/>
          <w:b/>
          <w:bCs/>
          <w:color w:val="333333"/>
          <w:sz w:val="24"/>
          <w:szCs w:val="24"/>
        </w:rPr>
        <w:t>Always use Ignore PA Status of “N”</w:t>
      </w:r>
      <w:r w:rsidRPr="00A03947">
        <w:rPr>
          <w:rFonts w:ascii="Helvetica" w:hAnsi="Helvetica" w:cs="Helvetica"/>
          <w:color w:val="333333"/>
          <w:sz w:val="24"/>
          <w:szCs w:val="24"/>
        </w:rPr>
        <w:t xml:space="preserve"> (never use other options, because they allow non-formulary NDCs to </w:t>
      </w:r>
      <w:proofErr w:type="gramStart"/>
      <w:r w:rsidRPr="00A03947">
        <w:rPr>
          <w:rFonts w:ascii="Helvetica" w:hAnsi="Helvetica" w:cs="Helvetica"/>
          <w:color w:val="333333"/>
          <w:sz w:val="24"/>
          <w:szCs w:val="24"/>
        </w:rPr>
        <w:t>pay</w:t>
      </w:r>
      <w:proofErr w:type="gramEnd"/>
      <w:r w:rsidRPr="00A03947">
        <w:rPr>
          <w:rFonts w:ascii="Helvetica" w:hAnsi="Helvetica" w:cs="Helvetica"/>
          <w:color w:val="333333"/>
          <w:sz w:val="24"/>
          <w:szCs w:val="24"/>
        </w:rPr>
        <w:t xml:space="preserve"> and Molina has a closed NDC-based formulary</w:t>
      </w:r>
      <w:r w:rsidR="00691B76">
        <w:rPr>
          <w:rFonts w:ascii="Helvetica" w:hAnsi="Helvetica" w:cs="Helvetica"/>
          <w:color w:val="333333"/>
          <w:sz w:val="24"/>
          <w:szCs w:val="24"/>
        </w:rPr>
        <w:t>)</w:t>
      </w:r>
    </w:p>
    <w:p w14:paraId="7D4C96FB" w14:textId="33FDAC86" w:rsidR="00A03947" w:rsidRPr="00A03947" w:rsidRDefault="00A03947" w:rsidP="00E32DFD">
      <w:pPr>
        <w:rPr>
          <w:rFonts w:ascii="Helvetica" w:hAnsi="Helvetica" w:cs="Helvetica"/>
          <w:sz w:val="24"/>
          <w:szCs w:val="24"/>
        </w:rPr>
      </w:pPr>
      <w:r w:rsidRPr="00A03947">
        <w:rPr>
          <w:rFonts w:ascii="Helvetica" w:hAnsi="Helvetica" w:cs="Helvetica"/>
          <w:sz w:val="24"/>
          <w:szCs w:val="24"/>
        </w:rPr>
        <w:t>For Rejects “</w:t>
      </w:r>
      <w:r w:rsidRPr="00691B76">
        <w:rPr>
          <w:rFonts w:ascii="Helvetica" w:hAnsi="Helvetica" w:cs="Helvetica"/>
          <w:b/>
          <w:bCs/>
          <w:color w:val="FF0000"/>
          <w:sz w:val="24"/>
          <w:szCs w:val="24"/>
        </w:rPr>
        <w:t>MR</w:t>
      </w:r>
      <w:r w:rsidRPr="00A03947">
        <w:rPr>
          <w:rFonts w:ascii="Helvetica" w:hAnsi="Helvetica" w:cs="Helvetica"/>
          <w:sz w:val="24"/>
          <w:szCs w:val="24"/>
        </w:rPr>
        <w:t>”</w:t>
      </w:r>
      <w:r w:rsidR="00691B76">
        <w:rPr>
          <w:rFonts w:ascii="Helvetica" w:hAnsi="Helvetica" w:cs="Helvetica"/>
          <w:sz w:val="24"/>
          <w:szCs w:val="24"/>
        </w:rPr>
        <w:t xml:space="preserve"> </w:t>
      </w:r>
      <w:r w:rsidRPr="00A03947">
        <w:rPr>
          <w:rFonts w:ascii="Helvetica" w:hAnsi="Helvetica" w:cs="Helvetica"/>
          <w:sz w:val="24"/>
          <w:szCs w:val="24"/>
        </w:rPr>
        <w:t>and “</w:t>
      </w:r>
      <w:r w:rsidRPr="00691B76">
        <w:rPr>
          <w:rFonts w:ascii="Helvetica" w:hAnsi="Helvetica" w:cs="Helvetica"/>
          <w:b/>
          <w:bCs/>
          <w:color w:val="FF0000"/>
          <w:sz w:val="24"/>
          <w:szCs w:val="24"/>
        </w:rPr>
        <w:t>75</w:t>
      </w:r>
      <w:r w:rsidRPr="00A03947">
        <w:rPr>
          <w:rFonts w:ascii="Helvetica" w:hAnsi="Helvetica" w:cs="Helvetica"/>
          <w:sz w:val="24"/>
          <w:szCs w:val="24"/>
        </w:rPr>
        <w:t xml:space="preserve">” follow the below instructions. </w:t>
      </w:r>
    </w:p>
    <w:p w14:paraId="2014ABF2" w14:textId="54152DC4" w:rsidR="00694C87" w:rsidRPr="00A03947" w:rsidRDefault="00694C87" w:rsidP="00E32DFD">
      <w:pPr>
        <w:rPr>
          <w:rFonts w:ascii="Helvetica" w:hAnsi="Helvetica" w:cs="Helvetica"/>
          <w:sz w:val="24"/>
          <w:szCs w:val="24"/>
        </w:rPr>
      </w:pPr>
    </w:p>
    <w:p w14:paraId="6E0C43E5" w14:textId="77777777" w:rsidR="00694C87" w:rsidRPr="00691B76" w:rsidRDefault="00694C87" w:rsidP="00694C87">
      <w:pPr>
        <w:pStyle w:val="ListParagraph"/>
        <w:numPr>
          <w:ilvl w:val="0"/>
          <w:numId w:val="2"/>
        </w:numPr>
        <w:rPr>
          <w:rFonts w:ascii="Helvetica" w:hAnsi="Helvetica" w:cs="Helvetica"/>
          <w:b/>
          <w:bCs/>
          <w:sz w:val="24"/>
          <w:szCs w:val="24"/>
        </w:rPr>
      </w:pPr>
      <w:r w:rsidRPr="00691B76">
        <w:rPr>
          <w:rFonts w:ascii="Helvetica" w:hAnsi="Helvetica" w:cs="Helvetica"/>
          <w:b/>
          <w:bCs/>
          <w:sz w:val="24"/>
          <w:szCs w:val="24"/>
        </w:rPr>
        <w:t xml:space="preserve">For claims that are rejecting as MR: </w:t>
      </w:r>
    </w:p>
    <w:p w14:paraId="679591EA" w14:textId="77777777" w:rsidR="00694C87" w:rsidRPr="00A03947" w:rsidRDefault="00694C87" w:rsidP="00694C87">
      <w:pPr>
        <w:pStyle w:val="ListParagraph"/>
        <w:numPr>
          <w:ilvl w:val="1"/>
          <w:numId w:val="2"/>
        </w:numPr>
        <w:rPr>
          <w:rFonts w:ascii="Helvetica" w:hAnsi="Helvetica" w:cs="Helvetica"/>
          <w:sz w:val="24"/>
          <w:szCs w:val="24"/>
        </w:rPr>
      </w:pPr>
      <w:r w:rsidRPr="00A03947">
        <w:rPr>
          <w:rFonts w:ascii="Helvetica" w:hAnsi="Helvetica" w:cs="Helvetica"/>
          <w:sz w:val="24"/>
          <w:szCs w:val="24"/>
        </w:rPr>
        <w:t>Use drug status “C”</w:t>
      </w:r>
    </w:p>
    <w:p w14:paraId="700BA33C" w14:textId="0B24F3E3" w:rsidR="00694C87" w:rsidRDefault="00694C87" w:rsidP="00694C87">
      <w:pPr>
        <w:pStyle w:val="ListParagraph"/>
        <w:numPr>
          <w:ilvl w:val="1"/>
          <w:numId w:val="2"/>
        </w:numPr>
        <w:rPr>
          <w:rFonts w:ascii="Helvetica" w:hAnsi="Helvetica" w:cs="Helvetica"/>
          <w:sz w:val="24"/>
          <w:szCs w:val="24"/>
        </w:rPr>
      </w:pPr>
      <w:r w:rsidRPr="00A03947">
        <w:rPr>
          <w:rFonts w:ascii="Helvetica" w:hAnsi="Helvetica" w:cs="Helvetica"/>
          <w:sz w:val="24"/>
          <w:szCs w:val="24"/>
        </w:rPr>
        <w:t>Update MONY codes to IIII</w:t>
      </w:r>
    </w:p>
    <w:p w14:paraId="23AD023D" w14:textId="77777777" w:rsidR="00691B76" w:rsidRPr="00A03947" w:rsidRDefault="00691B76" w:rsidP="00691B76">
      <w:pPr>
        <w:pStyle w:val="ListParagraph"/>
        <w:ind w:left="1440"/>
        <w:rPr>
          <w:rFonts w:ascii="Helvetica" w:hAnsi="Helvetica" w:cs="Helvetica"/>
          <w:sz w:val="24"/>
          <w:szCs w:val="24"/>
        </w:rPr>
      </w:pPr>
    </w:p>
    <w:p w14:paraId="09821DDA" w14:textId="25502B13" w:rsidR="00694C87" w:rsidRPr="00691B76" w:rsidRDefault="00694C87" w:rsidP="00694C87">
      <w:pPr>
        <w:pStyle w:val="ListParagraph"/>
        <w:numPr>
          <w:ilvl w:val="0"/>
          <w:numId w:val="2"/>
        </w:numPr>
        <w:rPr>
          <w:rFonts w:ascii="Helvetica" w:hAnsi="Helvetica" w:cs="Helvetica"/>
          <w:b/>
          <w:bCs/>
          <w:sz w:val="24"/>
          <w:szCs w:val="24"/>
        </w:rPr>
      </w:pPr>
      <w:r w:rsidRPr="00691B76">
        <w:rPr>
          <w:rFonts w:ascii="Helvetica" w:hAnsi="Helvetica" w:cs="Helvetica"/>
          <w:b/>
          <w:bCs/>
          <w:sz w:val="24"/>
          <w:szCs w:val="24"/>
        </w:rPr>
        <w:t>For claims that are rejecting as 75</w:t>
      </w:r>
      <w:r w:rsidR="00937A31" w:rsidRPr="00691B76">
        <w:rPr>
          <w:rFonts w:ascii="Helvetica" w:hAnsi="Helvetica" w:cs="Helvetica"/>
          <w:b/>
          <w:bCs/>
          <w:sz w:val="24"/>
          <w:szCs w:val="24"/>
        </w:rPr>
        <w:t xml:space="preserve"> (</w:t>
      </w:r>
      <w:r w:rsidR="00937A31" w:rsidRPr="00691B76">
        <w:rPr>
          <w:rFonts w:ascii="Helvetica" w:eastAsia="Times New Roman" w:hAnsi="Helvetica" w:cs="Helvetica"/>
          <w:b/>
          <w:bCs/>
          <w:color w:val="000000"/>
          <w:sz w:val="24"/>
          <w:szCs w:val="24"/>
        </w:rPr>
        <w:t>PA Required</w:t>
      </w:r>
      <w:r w:rsidR="00691B76">
        <w:rPr>
          <w:rFonts w:ascii="Helvetica" w:eastAsia="Times New Roman" w:hAnsi="Helvetica" w:cs="Helvetica"/>
          <w:b/>
          <w:bCs/>
          <w:color w:val="000000"/>
          <w:sz w:val="24"/>
          <w:szCs w:val="24"/>
        </w:rPr>
        <w:t>)</w:t>
      </w:r>
      <w:r w:rsidR="00937A31" w:rsidRPr="00691B76">
        <w:rPr>
          <w:rFonts w:ascii="Helvetica" w:eastAsia="Times New Roman" w:hAnsi="Helvetica" w:cs="Helvetica"/>
          <w:b/>
          <w:bCs/>
          <w:color w:val="000000"/>
          <w:sz w:val="24"/>
          <w:szCs w:val="24"/>
        </w:rPr>
        <w:t>. Fax a completed Medication PA Request form to Molina at (877) 281-5364)</w:t>
      </w:r>
    </w:p>
    <w:p w14:paraId="5FBFDAC8" w14:textId="77777777" w:rsidR="00694C87" w:rsidRPr="00A03947" w:rsidRDefault="00694C87" w:rsidP="00694C87">
      <w:pPr>
        <w:pStyle w:val="ListParagraph"/>
        <w:numPr>
          <w:ilvl w:val="1"/>
          <w:numId w:val="2"/>
        </w:numPr>
        <w:rPr>
          <w:rFonts w:ascii="Helvetica" w:hAnsi="Helvetica" w:cs="Helvetica"/>
          <w:sz w:val="24"/>
          <w:szCs w:val="24"/>
        </w:rPr>
      </w:pPr>
      <w:r w:rsidRPr="00A03947">
        <w:rPr>
          <w:rFonts w:ascii="Helvetica" w:hAnsi="Helvetica" w:cs="Helvetica"/>
          <w:sz w:val="24"/>
          <w:szCs w:val="24"/>
        </w:rPr>
        <w:t>Use drug status “a”</w:t>
      </w:r>
    </w:p>
    <w:p w14:paraId="5E391966" w14:textId="77777777" w:rsidR="00694C87" w:rsidRPr="00A03947" w:rsidRDefault="00694C87" w:rsidP="00694C87">
      <w:pPr>
        <w:pStyle w:val="ListParagraph"/>
        <w:numPr>
          <w:ilvl w:val="1"/>
          <w:numId w:val="2"/>
        </w:numPr>
        <w:rPr>
          <w:rFonts w:ascii="Helvetica" w:hAnsi="Helvetica" w:cs="Helvetica"/>
          <w:sz w:val="24"/>
          <w:szCs w:val="24"/>
        </w:rPr>
      </w:pPr>
      <w:bookmarkStart w:id="0" w:name="OLE_LINK43"/>
      <w:r w:rsidRPr="00A03947">
        <w:rPr>
          <w:rFonts w:ascii="Helvetica" w:hAnsi="Helvetica" w:cs="Helvetica"/>
          <w:sz w:val="24"/>
          <w:szCs w:val="24"/>
        </w:rPr>
        <w:t>Attach the formulary preference list "MHC-PREF"</w:t>
      </w:r>
    </w:p>
    <w:bookmarkEnd w:id="0"/>
    <w:p w14:paraId="4F9049BA" w14:textId="3F3BAF88" w:rsidR="00694C87" w:rsidRDefault="00694C87" w:rsidP="00694C87">
      <w:pPr>
        <w:pStyle w:val="ListParagraph"/>
        <w:numPr>
          <w:ilvl w:val="1"/>
          <w:numId w:val="2"/>
        </w:numPr>
        <w:rPr>
          <w:rFonts w:ascii="Helvetica" w:hAnsi="Helvetica" w:cs="Helvetica"/>
          <w:sz w:val="24"/>
          <w:szCs w:val="24"/>
        </w:rPr>
      </w:pPr>
      <w:r w:rsidRPr="00A03947">
        <w:rPr>
          <w:rFonts w:ascii="Helvetica" w:hAnsi="Helvetica" w:cs="Helvetica"/>
          <w:sz w:val="24"/>
          <w:szCs w:val="24"/>
        </w:rPr>
        <w:t>Update MONY codes to I</w:t>
      </w:r>
      <w:r w:rsidR="007266B4">
        <w:rPr>
          <w:rFonts w:ascii="Helvetica" w:hAnsi="Helvetica" w:cs="Helvetica"/>
          <w:sz w:val="24"/>
          <w:szCs w:val="24"/>
        </w:rPr>
        <w:t>I</w:t>
      </w:r>
      <w:r w:rsidRPr="00A03947">
        <w:rPr>
          <w:rFonts w:ascii="Helvetica" w:hAnsi="Helvetica" w:cs="Helvetica"/>
          <w:sz w:val="24"/>
          <w:szCs w:val="24"/>
        </w:rPr>
        <w:t>II</w:t>
      </w:r>
    </w:p>
    <w:p w14:paraId="6FC9D848" w14:textId="77777777" w:rsidR="00691B76" w:rsidRDefault="00691B76" w:rsidP="00691B76">
      <w:pPr>
        <w:pStyle w:val="ListParagraph"/>
        <w:rPr>
          <w:rFonts w:ascii="Helvetica" w:hAnsi="Helvetica" w:cs="Helvetica"/>
          <w:sz w:val="24"/>
          <w:szCs w:val="24"/>
        </w:rPr>
      </w:pPr>
    </w:p>
    <w:p w14:paraId="4C471C7D" w14:textId="6D686CAF" w:rsidR="00937A31" w:rsidRPr="00691B76" w:rsidRDefault="00937A31" w:rsidP="00C24F69">
      <w:pPr>
        <w:pStyle w:val="ListParagraph"/>
        <w:numPr>
          <w:ilvl w:val="0"/>
          <w:numId w:val="4"/>
        </w:numPr>
        <w:contextualSpacing/>
        <w:rPr>
          <w:rFonts w:ascii="Helvetica" w:eastAsia="Times New Roman" w:hAnsi="Helvetica" w:cs="Helvetica"/>
          <w:b/>
          <w:bCs/>
          <w:color w:val="000000" w:themeColor="text1"/>
          <w:sz w:val="24"/>
          <w:szCs w:val="24"/>
        </w:rPr>
      </w:pPr>
      <w:r w:rsidRPr="00691B76">
        <w:rPr>
          <w:rFonts w:ascii="Helvetica" w:eastAsia="Times New Roman" w:hAnsi="Helvetica" w:cs="Helvetica"/>
          <w:b/>
          <w:bCs/>
          <w:color w:val="000000" w:themeColor="text1"/>
          <w:sz w:val="24"/>
          <w:szCs w:val="24"/>
        </w:rPr>
        <w:t>For Claims that are rejecting as 75 that (</w:t>
      </w:r>
      <w:proofErr w:type="gramStart"/>
      <w:r w:rsidRPr="00691B76">
        <w:rPr>
          <w:rFonts w:ascii="Helvetica" w:eastAsia="Times New Roman" w:hAnsi="Helvetica" w:cs="Helvetica"/>
          <w:b/>
          <w:bCs/>
          <w:color w:val="000000" w:themeColor="text1"/>
          <w:sz w:val="24"/>
          <w:szCs w:val="24"/>
        </w:rPr>
        <w:t>Non-Pref NDC</w:t>
      </w:r>
      <w:proofErr w:type="gramEnd"/>
      <w:r w:rsidR="00691B76" w:rsidRPr="00691B76">
        <w:rPr>
          <w:rFonts w:ascii="Helvetica" w:eastAsia="Times New Roman" w:hAnsi="Helvetica" w:cs="Helvetica"/>
          <w:b/>
          <w:bCs/>
          <w:color w:val="000000" w:themeColor="text1"/>
          <w:sz w:val="24"/>
          <w:szCs w:val="24"/>
        </w:rPr>
        <w:t>)</w:t>
      </w:r>
      <w:r w:rsidRPr="00691B76">
        <w:rPr>
          <w:rFonts w:ascii="Helvetica" w:eastAsia="Times New Roman" w:hAnsi="Helvetica" w:cs="Helvetica"/>
          <w:b/>
          <w:bCs/>
          <w:color w:val="000000" w:themeColor="text1"/>
          <w:sz w:val="24"/>
          <w:szCs w:val="24"/>
        </w:rPr>
        <w:t xml:space="preserve">. Fax a completed Medication PA Request form to Molina at (877) 281-5364) </w:t>
      </w:r>
    </w:p>
    <w:p w14:paraId="5F1CC2AC" w14:textId="47EE4591" w:rsidR="00937A31" w:rsidRDefault="00937A31" w:rsidP="00937A31">
      <w:pPr>
        <w:numPr>
          <w:ilvl w:val="1"/>
          <w:numId w:val="2"/>
        </w:numPr>
        <w:rPr>
          <w:rFonts w:ascii="Helvetica" w:eastAsia="Times New Roman" w:hAnsi="Helvetica" w:cs="Helvetica"/>
          <w:sz w:val="24"/>
          <w:szCs w:val="24"/>
        </w:rPr>
      </w:pPr>
      <w:r w:rsidRPr="00967F5E">
        <w:rPr>
          <w:rFonts w:ascii="Helvetica" w:eastAsia="Times New Roman" w:hAnsi="Helvetica" w:cs="Helvetica"/>
          <w:sz w:val="24"/>
          <w:szCs w:val="24"/>
        </w:rPr>
        <w:t>Use drug status “a”</w:t>
      </w:r>
    </w:p>
    <w:p w14:paraId="1E3CFFD2" w14:textId="30F6D454" w:rsidR="00937A31" w:rsidRPr="00967F5E" w:rsidRDefault="00937A31" w:rsidP="00967F5E">
      <w:pPr>
        <w:numPr>
          <w:ilvl w:val="1"/>
          <w:numId w:val="2"/>
        </w:numPr>
        <w:rPr>
          <w:rFonts w:ascii="Helvetica" w:eastAsia="Times New Roman" w:hAnsi="Helvetica" w:cs="Helvetica"/>
          <w:sz w:val="24"/>
          <w:szCs w:val="24"/>
        </w:rPr>
      </w:pPr>
      <w:r w:rsidRPr="00967F5E">
        <w:rPr>
          <w:rFonts w:ascii="Helvetica" w:eastAsia="Times New Roman" w:hAnsi="Helvetica" w:cs="Helvetica"/>
          <w:sz w:val="24"/>
          <w:szCs w:val="24"/>
        </w:rPr>
        <w:t>Update MONY codes to IIII</w:t>
      </w:r>
    </w:p>
    <w:p w14:paraId="4B89A3A6" w14:textId="77777777" w:rsidR="00694C87" w:rsidRPr="00A03947" w:rsidRDefault="00694C87" w:rsidP="00E32DFD">
      <w:pPr>
        <w:rPr>
          <w:rFonts w:ascii="Helvetica" w:hAnsi="Helvetica" w:cs="Helvetica"/>
          <w:sz w:val="24"/>
          <w:szCs w:val="24"/>
        </w:rPr>
      </w:pPr>
    </w:p>
    <w:p w14:paraId="24CC1E8E" w14:textId="77777777" w:rsidR="00E32DFD" w:rsidRPr="00A03947" w:rsidRDefault="00E32DFD" w:rsidP="00E32DFD">
      <w:pPr>
        <w:pStyle w:val="ListParagraph"/>
        <w:numPr>
          <w:ilvl w:val="0"/>
          <w:numId w:val="1"/>
        </w:numPr>
        <w:spacing w:line="276" w:lineRule="auto"/>
        <w:contextualSpacing/>
        <w:rPr>
          <w:rFonts w:ascii="Helvetica" w:hAnsi="Helvetica" w:cs="Helvetica"/>
          <w:sz w:val="24"/>
          <w:szCs w:val="24"/>
        </w:rPr>
      </w:pPr>
      <w:r w:rsidRPr="00A03947">
        <w:rPr>
          <w:rFonts w:ascii="Helvetica" w:hAnsi="Helvetica" w:cs="Helvetica"/>
          <w:sz w:val="24"/>
          <w:szCs w:val="24"/>
        </w:rPr>
        <w:t>From the Member PA Override Detail screen – Select F17 for “</w:t>
      </w:r>
      <w:proofErr w:type="spellStart"/>
      <w:r w:rsidRPr="00A03947">
        <w:rPr>
          <w:rFonts w:ascii="Helvetica" w:hAnsi="Helvetica" w:cs="Helvetica"/>
          <w:sz w:val="24"/>
          <w:szCs w:val="24"/>
        </w:rPr>
        <w:t>Addnl</w:t>
      </w:r>
      <w:proofErr w:type="spellEnd"/>
      <w:r w:rsidRPr="00A03947">
        <w:rPr>
          <w:rFonts w:ascii="Helvetica" w:hAnsi="Helvetica" w:cs="Helvetica"/>
          <w:sz w:val="24"/>
          <w:szCs w:val="24"/>
        </w:rPr>
        <w:t xml:space="preserve"> PA Information”</w:t>
      </w:r>
    </w:p>
    <w:p w14:paraId="45BCEC14" w14:textId="75036878" w:rsidR="00E32DFD" w:rsidRPr="00A03947" w:rsidRDefault="00E32DFD" w:rsidP="00E32DFD">
      <w:pPr>
        <w:rPr>
          <w:rFonts w:ascii="Helvetica" w:hAnsi="Helvetica" w:cs="Helvetica"/>
          <w:sz w:val="24"/>
          <w:szCs w:val="24"/>
        </w:rPr>
      </w:pPr>
      <w:r w:rsidRPr="00A03947">
        <w:rPr>
          <w:rFonts w:ascii="Helvetica" w:hAnsi="Helvetica" w:cs="Helvetica"/>
          <w:noProof/>
          <w:sz w:val="24"/>
          <w:szCs w:val="24"/>
        </w:rPr>
        <w:drawing>
          <wp:inline distT="0" distB="0" distL="0" distR="0" wp14:anchorId="43E8E960" wp14:editId="6DE13D8E">
            <wp:extent cx="5943600" cy="3415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943600" cy="3415665"/>
                    </a:xfrm>
                    <a:prstGeom prst="rect">
                      <a:avLst/>
                    </a:prstGeom>
                    <a:noFill/>
                    <a:ln>
                      <a:noFill/>
                    </a:ln>
                  </pic:spPr>
                </pic:pic>
              </a:graphicData>
            </a:graphic>
          </wp:inline>
        </w:drawing>
      </w:r>
    </w:p>
    <w:p w14:paraId="7BB99879" w14:textId="77777777" w:rsidR="00E32DFD" w:rsidRPr="00A03947" w:rsidRDefault="00E32DFD" w:rsidP="00E32DFD">
      <w:pPr>
        <w:pStyle w:val="ListParagraph"/>
        <w:numPr>
          <w:ilvl w:val="0"/>
          <w:numId w:val="1"/>
        </w:numPr>
        <w:spacing w:line="276" w:lineRule="auto"/>
        <w:contextualSpacing/>
        <w:rPr>
          <w:rFonts w:ascii="Helvetica" w:hAnsi="Helvetica" w:cs="Helvetica"/>
          <w:sz w:val="24"/>
          <w:szCs w:val="24"/>
        </w:rPr>
      </w:pPr>
      <w:r w:rsidRPr="00A03947">
        <w:rPr>
          <w:rFonts w:ascii="Helvetica" w:hAnsi="Helvetica" w:cs="Helvetica"/>
          <w:sz w:val="24"/>
          <w:szCs w:val="24"/>
        </w:rPr>
        <w:t>Select “F4” to access the Formulary Preference List field.</w:t>
      </w:r>
    </w:p>
    <w:tbl>
      <w:tblPr>
        <w:tblW w:w="0" w:type="auto"/>
        <w:tblCellMar>
          <w:left w:w="0" w:type="dxa"/>
          <w:right w:w="0" w:type="dxa"/>
        </w:tblCellMar>
        <w:tblLook w:val="04A0" w:firstRow="1" w:lastRow="0" w:firstColumn="1" w:lastColumn="0" w:noHBand="0" w:noVBand="1"/>
      </w:tblPr>
      <w:tblGrid>
        <w:gridCol w:w="1390"/>
        <w:gridCol w:w="8005"/>
      </w:tblGrid>
      <w:tr w:rsidR="00E32DFD" w:rsidRPr="00A03947" w14:paraId="7AF8361F" w14:textId="77777777" w:rsidTr="00E32DFD">
        <w:trPr>
          <w:trHeight w:val="393"/>
        </w:trPr>
        <w:tc>
          <w:tcPr>
            <w:tcW w:w="13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1B58AA" w14:textId="77777777" w:rsidR="00E32DFD" w:rsidRPr="00A03947" w:rsidRDefault="00E32DFD">
            <w:pPr>
              <w:jc w:val="center"/>
              <w:rPr>
                <w:rFonts w:ascii="Helvetica" w:hAnsi="Helvetica" w:cs="Helvetica"/>
                <w:b/>
                <w:bCs/>
                <w:sz w:val="24"/>
                <w:szCs w:val="24"/>
              </w:rPr>
            </w:pPr>
            <w:r w:rsidRPr="00A03947">
              <w:rPr>
                <w:rFonts w:ascii="Helvetica" w:hAnsi="Helvetica" w:cs="Helvetica"/>
                <w:color w:val="000000"/>
                <w:sz w:val="24"/>
                <w:szCs w:val="24"/>
              </w:rPr>
              <w:t>Field</w:t>
            </w:r>
          </w:p>
        </w:tc>
        <w:tc>
          <w:tcPr>
            <w:tcW w:w="800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252B3B" w14:textId="77777777" w:rsidR="00E32DFD" w:rsidRPr="00A03947" w:rsidRDefault="00E32DFD">
            <w:pPr>
              <w:jc w:val="center"/>
              <w:rPr>
                <w:rFonts w:ascii="Helvetica" w:hAnsi="Helvetica" w:cs="Helvetica"/>
                <w:b/>
                <w:bCs/>
                <w:sz w:val="24"/>
                <w:szCs w:val="24"/>
              </w:rPr>
            </w:pPr>
            <w:r w:rsidRPr="00A03947">
              <w:rPr>
                <w:rFonts w:ascii="Helvetica" w:hAnsi="Helvetica" w:cs="Helvetica"/>
                <w:color w:val="000000"/>
                <w:sz w:val="24"/>
                <w:szCs w:val="24"/>
              </w:rPr>
              <w:t>Description</w:t>
            </w:r>
          </w:p>
        </w:tc>
      </w:tr>
      <w:tr w:rsidR="00E32DFD" w:rsidRPr="00A03947" w14:paraId="5E1BE1E4" w14:textId="77777777" w:rsidTr="00E32DFD">
        <w:trPr>
          <w:trHeight w:val="888"/>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F412C3D" w14:textId="77777777" w:rsidR="00E32DFD" w:rsidRPr="00A03947" w:rsidRDefault="00E32DFD">
            <w:pPr>
              <w:jc w:val="center"/>
              <w:rPr>
                <w:rFonts w:ascii="Helvetica" w:hAnsi="Helvetica" w:cs="Helvetica"/>
                <w:color w:val="000000"/>
                <w:sz w:val="24"/>
                <w:szCs w:val="24"/>
              </w:rPr>
            </w:pPr>
          </w:p>
          <w:p w14:paraId="224AE612" w14:textId="77777777" w:rsidR="00E32DFD" w:rsidRPr="00A03947" w:rsidRDefault="00E32DFD">
            <w:pPr>
              <w:jc w:val="center"/>
              <w:rPr>
                <w:rFonts w:ascii="Helvetica" w:hAnsi="Helvetica" w:cs="Helvetica"/>
                <w:color w:val="000000"/>
                <w:sz w:val="24"/>
                <w:szCs w:val="24"/>
              </w:rPr>
            </w:pPr>
            <w:r w:rsidRPr="00A03947">
              <w:rPr>
                <w:rFonts w:ascii="Helvetica" w:hAnsi="Helvetica" w:cs="Helvetica"/>
                <w:color w:val="000000"/>
                <w:sz w:val="24"/>
                <w:szCs w:val="24"/>
              </w:rPr>
              <w:t>Formulary Preference List</w:t>
            </w:r>
          </w:p>
          <w:p w14:paraId="2E690613" w14:textId="77777777" w:rsidR="00E32DFD" w:rsidRPr="00A03947" w:rsidRDefault="00E32DFD">
            <w:pPr>
              <w:jc w:val="center"/>
              <w:rPr>
                <w:rFonts w:ascii="Helvetica" w:hAnsi="Helvetica" w:cs="Helvetica"/>
                <w:b/>
                <w:bCs/>
                <w:sz w:val="24"/>
                <w:szCs w:val="24"/>
              </w:rPr>
            </w:pPr>
          </w:p>
        </w:tc>
        <w:tc>
          <w:tcPr>
            <w:tcW w:w="8005" w:type="dxa"/>
            <w:tcBorders>
              <w:top w:val="nil"/>
              <w:left w:val="nil"/>
              <w:bottom w:val="single" w:sz="8" w:space="0" w:color="auto"/>
              <w:right w:val="single" w:sz="8" w:space="0" w:color="auto"/>
            </w:tcBorders>
            <w:tcMar>
              <w:top w:w="0" w:type="dxa"/>
              <w:left w:w="108" w:type="dxa"/>
              <w:bottom w:w="0" w:type="dxa"/>
              <w:right w:w="108" w:type="dxa"/>
            </w:tcMar>
          </w:tcPr>
          <w:p w14:paraId="0E1ACFF6" w14:textId="77777777" w:rsidR="00E32DFD" w:rsidRPr="00A03947" w:rsidRDefault="00E32DFD">
            <w:pPr>
              <w:jc w:val="center"/>
              <w:rPr>
                <w:rFonts w:ascii="Helvetica" w:hAnsi="Helvetica" w:cs="Helvetica"/>
                <w:color w:val="000000"/>
                <w:sz w:val="24"/>
                <w:szCs w:val="24"/>
              </w:rPr>
            </w:pPr>
          </w:p>
          <w:p w14:paraId="35A8C7AA" w14:textId="77777777" w:rsidR="00E32DFD" w:rsidRPr="00A03947" w:rsidRDefault="00E32DFD">
            <w:pPr>
              <w:jc w:val="center"/>
              <w:rPr>
                <w:rFonts w:ascii="Helvetica" w:hAnsi="Helvetica" w:cs="Helvetica"/>
                <w:color w:val="000000"/>
                <w:sz w:val="24"/>
                <w:szCs w:val="24"/>
              </w:rPr>
            </w:pPr>
            <w:r w:rsidRPr="00A03947">
              <w:rPr>
                <w:rFonts w:ascii="Helvetica" w:hAnsi="Helvetica" w:cs="Helvetica"/>
                <w:color w:val="000000"/>
                <w:sz w:val="24"/>
                <w:szCs w:val="24"/>
              </w:rPr>
              <w:t>When a Preference list is populated, this allows the adjudication engine to decide if the PA is applicable to the claim by the Formulary Preference value on the drug based on the formulary and date of fill. The PA will only apply to the claim if the formulary preference of the claim matches the formulary preference in the attached list</w:t>
            </w:r>
          </w:p>
          <w:p w14:paraId="2700A08C" w14:textId="77777777" w:rsidR="00E32DFD" w:rsidRPr="00A03947" w:rsidRDefault="00E32DFD">
            <w:pPr>
              <w:rPr>
                <w:rFonts w:ascii="Helvetica" w:hAnsi="Helvetica" w:cs="Helvetica"/>
                <w:b/>
                <w:bCs/>
                <w:sz w:val="24"/>
                <w:szCs w:val="24"/>
              </w:rPr>
            </w:pPr>
          </w:p>
        </w:tc>
      </w:tr>
    </w:tbl>
    <w:p w14:paraId="6EB5C928" w14:textId="77777777" w:rsidR="00E32DFD" w:rsidRPr="00A03947" w:rsidRDefault="00E32DFD" w:rsidP="00E32DFD">
      <w:pPr>
        <w:rPr>
          <w:rFonts w:ascii="Helvetica" w:hAnsi="Helvetica" w:cs="Helvetica"/>
          <w:sz w:val="24"/>
          <w:szCs w:val="24"/>
        </w:rPr>
      </w:pPr>
    </w:p>
    <w:p w14:paraId="4EF301DC" w14:textId="7546CED7" w:rsidR="00E32DFD" w:rsidRPr="00A03947" w:rsidRDefault="00E32DFD" w:rsidP="00E32DFD">
      <w:pPr>
        <w:rPr>
          <w:rFonts w:ascii="Helvetica" w:hAnsi="Helvetica" w:cs="Helvetica"/>
          <w:sz w:val="24"/>
          <w:szCs w:val="24"/>
        </w:rPr>
      </w:pPr>
      <w:r w:rsidRPr="00A03947">
        <w:rPr>
          <w:rFonts w:ascii="Helvetica" w:hAnsi="Helvetica" w:cs="Helvetica"/>
          <w:noProof/>
          <w:sz w:val="24"/>
          <w:szCs w:val="24"/>
        </w:rPr>
        <w:drawing>
          <wp:inline distT="0" distB="0" distL="0" distR="0" wp14:anchorId="594DD0DB" wp14:editId="4FBBDE2A">
            <wp:extent cx="594360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943600" cy="3084830"/>
                    </a:xfrm>
                    <a:prstGeom prst="rect">
                      <a:avLst/>
                    </a:prstGeom>
                    <a:noFill/>
                    <a:ln>
                      <a:noFill/>
                    </a:ln>
                  </pic:spPr>
                </pic:pic>
              </a:graphicData>
            </a:graphic>
          </wp:inline>
        </w:drawing>
      </w:r>
    </w:p>
    <w:p w14:paraId="5B9B385A" w14:textId="77777777" w:rsidR="00E32DFD" w:rsidRPr="00A03947" w:rsidRDefault="00E32DFD" w:rsidP="00E32DFD">
      <w:pPr>
        <w:rPr>
          <w:rFonts w:ascii="Helvetica" w:hAnsi="Helvetica" w:cs="Helvetica"/>
          <w:sz w:val="24"/>
          <w:szCs w:val="24"/>
        </w:rPr>
      </w:pPr>
    </w:p>
    <w:p w14:paraId="6CCDAFF5" w14:textId="77777777" w:rsidR="00E32DFD" w:rsidRPr="00A03947" w:rsidRDefault="00E32DFD" w:rsidP="00E32DFD">
      <w:pPr>
        <w:pStyle w:val="ListParagraph"/>
        <w:numPr>
          <w:ilvl w:val="0"/>
          <w:numId w:val="1"/>
        </w:numPr>
        <w:spacing w:line="276" w:lineRule="auto"/>
        <w:contextualSpacing/>
        <w:rPr>
          <w:rFonts w:ascii="Helvetica" w:hAnsi="Helvetica" w:cs="Helvetica"/>
          <w:sz w:val="24"/>
          <w:szCs w:val="24"/>
        </w:rPr>
      </w:pPr>
      <w:r w:rsidRPr="00A03947">
        <w:rPr>
          <w:rFonts w:ascii="Helvetica" w:hAnsi="Helvetica" w:cs="Helvetica"/>
          <w:sz w:val="24"/>
          <w:szCs w:val="24"/>
        </w:rPr>
        <w:t>Search and enter the applicable list ID for the desired intent based on the grid provided below.</w:t>
      </w:r>
    </w:p>
    <w:tbl>
      <w:tblPr>
        <w:tblW w:w="0" w:type="auto"/>
        <w:tblInd w:w="720" w:type="dxa"/>
        <w:tblCellMar>
          <w:left w:w="0" w:type="dxa"/>
          <w:right w:w="0" w:type="dxa"/>
        </w:tblCellMar>
        <w:tblLook w:val="04A0" w:firstRow="1" w:lastRow="0" w:firstColumn="1" w:lastColumn="0" w:noHBand="0" w:noVBand="1"/>
      </w:tblPr>
      <w:tblGrid>
        <w:gridCol w:w="3860"/>
        <w:gridCol w:w="4760"/>
      </w:tblGrid>
      <w:tr w:rsidR="00E32DFD" w:rsidRPr="00A03947" w14:paraId="2C248000" w14:textId="77777777" w:rsidTr="00E32DFD">
        <w:tc>
          <w:tcPr>
            <w:tcW w:w="38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E42CFC" w14:textId="77777777" w:rsidR="00E32DFD" w:rsidRPr="00A03947" w:rsidRDefault="00E32DFD">
            <w:pPr>
              <w:pStyle w:val="ListParagraph"/>
              <w:ind w:left="0"/>
              <w:rPr>
                <w:rFonts w:ascii="Helvetica" w:hAnsi="Helvetica" w:cs="Helvetica"/>
                <w:b/>
                <w:bCs/>
                <w:sz w:val="24"/>
                <w:szCs w:val="24"/>
              </w:rPr>
            </w:pPr>
            <w:r w:rsidRPr="00A03947">
              <w:rPr>
                <w:rFonts w:ascii="Helvetica" w:hAnsi="Helvetica" w:cs="Helvetica"/>
                <w:b/>
                <w:bCs/>
                <w:sz w:val="24"/>
                <w:szCs w:val="24"/>
              </w:rPr>
              <w:t>MHC-PREF</w:t>
            </w:r>
          </w:p>
        </w:tc>
        <w:tc>
          <w:tcPr>
            <w:tcW w:w="47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9E9770" w14:textId="77777777" w:rsidR="00E32DFD" w:rsidRPr="00A03947" w:rsidRDefault="00E32DFD">
            <w:pPr>
              <w:pStyle w:val="ListParagraph"/>
              <w:ind w:left="0"/>
              <w:rPr>
                <w:rFonts w:ascii="Helvetica" w:eastAsia="Times New Roman" w:hAnsi="Helvetica" w:cs="Helvetica"/>
                <w:sz w:val="24"/>
                <w:szCs w:val="24"/>
              </w:rPr>
            </w:pPr>
            <w:r w:rsidRPr="00A03947">
              <w:rPr>
                <w:rFonts w:ascii="Helvetica" w:hAnsi="Helvetica" w:cs="Helvetica"/>
                <w:sz w:val="24"/>
                <w:szCs w:val="24"/>
              </w:rPr>
              <w:t>MHC-PREF - MOLINA FORMULARY PREFERRED = Apply PA override only when the incoming drug on the claim is Formulary Preferred.</w:t>
            </w:r>
          </w:p>
        </w:tc>
      </w:tr>
    </w:tbl>
    <w:p w14:paraId="550ABE98" w14:textId="38D47C63" w:rsidR="009F3661" w:rsidRDefault="009F3661">
      <w:pPr>
        <w:rPr>
          <w:rFonts w:ascii="Helvetica" w:hAnsi="Helvetica" w:cs="Helvetica"/>
          <w:sz w:val="24"/>
          <w:szCs w:val="24"/>
        </w:rPr>
      </w:pPr>
    </w:p>
    <w:p w14:paraId="4AB4A301" w14:textId="0EDE2A51" w:rsidR="009F3661" w:rsidRDefault="009F3661">
      <w:pPr>
        <w:rPr>
          <w:rFonts w:ascii="Helvetica" w:hAnsi="Helvetica" w:cs="Helvetica"/>
          <w:sz w:val="24"/>
          <w:szCs w:val="24"/>
        </w:rPr>
      </w:pPr>
    </w:p>
    <w:p w14:paraId="7C0A2DCE" w14:textId="74C4D826" w:rsidR="009F3661" w:rsidRPr="009F3661" w:rsidRDefault="009F3661">
      <w:pPr>
        <w:rPr>
          <w:rFonts w:ascii="Helvetica" w:hAnsi="Helvetica" w:cs="Helvetica"/>
          <w:b/>
          <w:bCs/>
          <w:color w:val="FF0000"/>
          <w:sz w:val="24"/>
          <w:szCs w:val="24"/>
        </w:rPr>
      </w:pPr>
      <w:r w:rsidRPr="009F3661">
        <w:rPr>
          <w:rFonts w:ascii="Helvetica" w:hAnsi="Helvetica" w:cs="Helvetica"/>
          <w:b/>
          <w:bCs/>
          <w:color w:val="FF0000"/>
          <w:sz w:val="24"/>
          <w:szCs w:val="24"/>
        </w:rPr>
        <w:t>Compass Examples for editing overrides</w:t>
      </w:r>
    </w:p>
    <w:p w14:paraId="40900FEF" w14:textId="71C007B5" w:rsidR="009F3661" w:rsidRDefault="009F3661">
      <w:pPr>
        <w:rPr>
          <w:rFonts w:ascii="Helvetica" w:hAnsi="Helvetica" w:cs="Helvetica"/>
          <w:sz w:val="24"/>
          <w:szCs w:val="24"/>
        </w:rPr>
      </w:pPr>
    </w:p>
    <w:p w14:paraId="6EF49A52" w14:textId="38D12776" w:rsidR="009F3661" w:rsidRDefault="009F3661">
      <w:pPr>
        <w:rPr>
          <w:rFonts w:ascii="Helvetica" w:hAnsi="Helvetica" w:cs="Helvetica"/>
          <w:sz w:val="24"/>
          <w:szCs w:val="24"/>
        </w:rPr>
      </w:pPr>
    </w:p>
    <w:p w14:paraId="4AE3B475" w14:textId="7778D13E" w:rsidR="009F3661" w:rsidRDefault="009F3661">
      <w:pPr>
        <w:rPr>
          <w:rFonts w:ascii="Helvetica" w:hAnsi="Helvetica" w:cs="Helvetica"/>
          <w:sz w:val="24"/>
          <w:szCs w:val="24"/>
        </w:rPr>
      </w:pPr>
      <w:r>
        <w:rPr>
          <w:noProof/>
        </w:rPr>
        <w:drawing>
          <wp:inline distT="0" distB="0" distL="0" distR="0" wp14:anchorId="71003553" wp14:editId="2231898B">
            <wp:extent cx="7182176" cy="2447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6530" cy="2449409"/>
                    </a:xfrm>
                    <a:prstGeom prst="rect">
                      <a:avLst/>
                    </a:prstGeom>
                    <a:noFill/>
                    <a:ln>
                      <a:noFill/>
                    </a:ln>
                  </pic:spPr>
                </pic:pic>
              </a:graphicData>
            </a:graphic>
          </wp:inline>
        </w:drawing>
      </w:r>
    </w:p>
    <w:p w14:paraId="39F175B6" w14:textId="7F3DA42D" w:rsidR="009F3661" w:rsidRDefault="009F3661">
      <w:pPr>
        <w:rPr>
          <w:rFonts w:ascii="Helvetica" w:hAnsi="Helvetica" w:cs="Helvetica"/>
          <w:sz w:val="24"/>
          <w:szCs w:val="24"/>
        </w:rPr>
      </w:pPr>
    </w:p>
    <w:p w14:paraId="7AD0431D" w14:textId="3A376463" w:rsidR="009F3661" w:rsidRPr="00A03947" w:rsidRDefault="009F3661">
      <w:pPr>
        <w:rPr>
          <w:rFonts w:ascii="Helvetica" w:hAnsi="Helvetica" w:cs="Helvetica"/>
          <w:sz w:val="24"/>
          <w:szCs w:val="24"/>
        </w:rPr>
      </w:pPr>
      <w:r>
        <w:rPr>
          <w:noProof/>
        </w:rPr>
        <w:drawing>
          <wp:inline distT="0" distB="0" distL="0" distR="0" wp14:anchorId="7A12F08B" wp14:editId="1E1750E6">
            <wp:extent cx="7242413" cy="962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62688" cy="964718"/>
                    </a:xfrm>
                    <a:prstGeom prst="rect">
                      <a:avLst/>
                    </a:prstGeom>
                  </pic:spPr>
                </pic:pic>
              </a:graphicData>
            </a:graphic>
          </wp:inline>
        </w:drawing>
      </w:r>
    </w:p>
    <w:sectPr w:rsidR="009F3661" w:rsidRPr="00A03947" w:rsidSect="00E32D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04B2A"/>
    <w:multiLevelType w:val="multilevel"/>
    <w:tmpl w:val="B78A9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638BB"/>
    <w:multiLevelType w:val="hybridMultilevel"/>
    <w:tmpl w:val="EBFE1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1BE2809"/>
    <w:multiLevelType w:val="hybridMultilevel"/>
    <w:tmpl w:val="67548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BD67570"/>
    <w:multiLevelType w:val="hybridMultilevel"/>
    <w:tmpl w:val="37D65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6125251">
    <w:abstractNumId w:val="1"/>
  </w:num>
  <w:num w:numId="2" w16cid:durableId="1121724487">
    <w:abstractNumId w:val="2"/>
  </w:num>
  <w:num w:numId="3" w16cid:durableId="1316958777">
    <w:abstractNumId w:val="0"/>
  </w:num>
  <w:num w:numId="4" w16cid:durableId="51853617">
    <w:abstractNumId w:val="3"/>
  </w:num>
  <w:num w:numId="5" w16cid:durableId="2006935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FD"/>
    <w:rsid w:val="002B7F06"/>
    <w:rsid w:val="006171DE"/>
    <w:rsid w:val="00691B76"/>
    <w:rsid w:val="00694C87"/>
    <w:rsid w:val="007266B4"/>
    <w:rsid w:val="00766908"/>
    <w:rsid w:val="00937A31"/>
    <w:rsid w:val="00967F5E"/>
    <w:rsid w:val="009F3661"/>
    <w:rsid w:val="00A03947"/>
    <w:rsid w:val="00C24F69"/>
    <w:rsid w:val="00C8252A"/>
    <w:rsid w:val="00D0392E"/>
    <w:rsid w:val="00E3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0BFD"/>
  <w15:chartTrackingRefBased/>
  <w15:docId w15:val="{2F7D50FF-FCAD-4692-9471-E194B0E3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DF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E32DFD"/>
    <w:rPr>
      <w:rFonts w:ascii="Calibri" w:hAnsi="Calibri" w:cs="Calibri"/>
    </w:rPr>
  </w:style>
  <w:style w:type="paragraph" w:styleId="ListParagraph">
    <w:name w:val="List Paragraph"/>
    <w:basedOn w:val="Normal"/>
    <w:link w:val="ListParagraphChar"/>
    <w:uiPriority w:val="34"/>
    <w:qFormat/>
    <w:rsid w:val="00E32DFD"/>
    <w:pPr>
      <w:ind w:left="720"/>
    </w:pPr>
  </w:style>
  <w:style w:type="paragraph" w:styleId="BalloonText">
    <w:name w:val="Balloon Text"/>
    <w:basedOn w:val="Normal"/>
    <w:link w:val="BalloonTextChar"/>
    <w:uiPriority w:val="99"/>
    <w:semiHidden/>
    <w:unhideWhenUsed/>
    <w:rsid w:val="00A039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947"/>
    <w:rPr>
      <w:rFonts w:ascii="Segoe UI" w:hAnsi="Segoe UI" w:cs="Segoe UI"/>
      <w:sz w:val="18"/>
      <w:szCs w:val="18"/>
    </w:rPr>
  </w:style>
  <w:style w:type="paragraph" w:styleId="Revision">
    <w:name w:val="Revision"/>
    <w:hidden/>
    <w:uiPriority w:val="99"/>
    <w:semiHidden/>
    <w:rsid w:val="007266B4"/>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554883">
      <w:bodyDiv w:val="1"/>
      <w:marLeft w:val="0"/>
      <w:marRight w:val="0"/>
      <w:marTop w:val="0"/>
      <w:marBottom w:val="0"/>
      <w:divBdr>
        <w:top w:val="none" w:sz="0" w:space="0" w:color="auto"/>
        <w:left w:val="none" w:sz="0" w:space="0" w:color="auto"/>
        <w:bottom w:val="none" w:sz="0" w:space="0" w:color="auto"/>
        <w:right w:val="none" w:sz="0" w:space="0" w:color="auto"/>
      </w:divBdr>
    </w:div>
    <w:div w:id="1784500473">
      <w:bodyDiv w:val="1"/>
      <w:marLeft w:val="0"/>
      <w:marRight w:val="0"/>
      <w:marTop w:val="0"/>
      <w:marBottom w:val="0"/>
      <w:divBdr>
        <w:top w:val="none" w:sz="0" w:space="0" w:color="auto"/>
        <w:left w:val="none" w:sz="0" w:space="0" w:color="auto"/>
        <w:bottom w:val="none" w:sz="0" w:space="0" w:color="auto"/>
        <w:right w:val="none" w:sz="0" w:space="0" w:color="auto"/>
      </w:divBdr>
    </w:div>
    <w:div w:id="1959139487">
      <w:bodyDiv w:val="1"/>
      <w:marLeft w:val="0"/>
      <w:marRight w:val="0"/>
      <w:marTop w:val="0"/>
      <w:marBottom w:val="0"/>
      <w:divBdr>
        <w:top w:val="none" w:sz="0" w:space="0" w:color="auto"/>
        <w:left w:val="none" w:sz="0" w:space="0" w:color="auto"/>
        <w:bottom w:val="none" w:sz="0" w:space="0" w:color="auto"/>
        <w:right w:val="none" w:sz="0" w:space="0" w:color="auto"/>
      </w:divBdr>
    </w:div>
    <w:div w:id="205411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26.jpg@01D79A6C.07E93B30"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25.jpg@01D79A6C.07E93B30"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281</Words>
  <Characters>1396</Characters>
  <Application>Microsoft Office Word</Application>
  <DocSecurity>0</DocSecurity>
  <Lines>57</Lines>
  <Paragraphs>24</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Eskievich, Amy</dc:creator>
  <cp:keywords/>
  <dc:description/>
  <cp:lastModifiedBy>Eskievich, Amy</cp:lastModifiedBy>
  <cp:revision>3</cp:revision>
  <dcterms:created xsi:type="dcterms:W3CDTF">2023-10-26T21:01:00Z</dcterms:created>
  <dcterms:modified xsi:type="dcterms:W3CDTF">2023-11-06T13:00:00Z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2021-08-27T14:40:58Z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56ba5f1f-5df4-4883-8aa1-bb5193ceabfa</vt:lpwstr>
  </property>
  <property fmtid="{D5CDD505-2E9C-101B-9397-08002B2CF9AE}" pid="8" name="MSIP_Label_67599526-06ca-49cc-9fa9-5307800a949a_ContentBits">
    <vt:lpwstr>0</vt:lpwstr>
  </property>
</Properties>
</file>