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5ED21" w14:textId="36522AA0" w:rsidR="00F613ED" w:rsidRPr="00F613ED" w:rsidRDefault="00767A87" w:rsidP="00F613ED">
      <w:pPr>
        <w:spacing w:after="0" w:line="240" w:lineRule="auto"/>
        <w:rPr>
          <w:rFonts w:eastAsia="Times New Roman" w:cs="Times New Roman"/>
          <w:szCs w:val="24"/>
        </w:rPr>
      </w:pPr>
      <w:bookmarkStart w:id="0" w:name="_top"/>
      <w:bookmarkStart w:id="1" w:name="OLE_LINK154"/>
      <w:bookmarkEnd w:id="0"/>
      <w:r>
        <w:rPr>
          <w:rFonts w:eastAsia="Times New Roman" w:cs="Arial"/>
          <w:b/>
          <w:color w:val="000000"/>
          <w:sz w:val="36"/>
          <w:szCs w:val="36"/>
        </w:rPr>
        <w:t xml:space="preserve">Compass </w:t>
      </w:r>
      <w:r w:rsidR="00667CAA" w:rsidRPr="00667CAA">
        <w:rPr>
          <w:rFonts w:eastAsia="Times New Roman" w:cs="Arial"/>
          <w:b/>
          <w:color w:val="000000"/>
          <w:sz w:val="36"/>
          <w:szCs w:val="36"/>
        </w:rPr>
        <w:t>MED</w:t>
      </w:r>
      <w:r w:rsidR="001257DD">
        <w:rPr>
          <w:rFonts w:eastAsia="Times New Roman" w:cs="Arial"/>
          <w:b/>
          <w:color w:val="000000"/>
          <w:sz w:val="36"/>
          <w:szCs w:val="36"/>
        </w:rPr>
        <w:t xml:space="preserve"> </w:t>
      </w:r>
      <w:r w:rsidR="00667CAA" w:rsidRPr="00667CAA">
        <w:rPr>
          <w:rFonts w:eastAsia="Times New Roman" w:cs="Arial"/>
          <w:b/>
          <w:color w:val="000000"/>
          <w:sz w:val="36"/>
          <w:szCs w:val="36"/>
        </w:rPr>
        <w:t>D</w:t>
      </w:r>
      <w:r w:rsidR="00667CAA">
        <w:rPr>
          <w:rFonts w:eastAsia="Times New Roman" w:cs="Arial"/>
          <w:b/>
          <w:color w:val="000000"/>
          <w:sz w:val="36"/>
          <w:szCs w:val="36"/>
        </w:rPr>
        <w:t xml:space="preserve"> - </w:t>
      </w:r>
      <w:r w:rsidR="00667CAA" w:rsidRPr="00667CAA">
        <w:rPr>
          <w:rFonts w:eastAsia="Times New Roman" w:cs="Arial"/>
          <w:b/>
          <w:color w:val="000000"/>
          <w:sz w:val="36"/>
          <w:szCs w:val="36"/>
        </w:rPr>
        <w:t xml:space="preserve">Member Stories </w:t>
      </w:r>
      <w:r w:rsidR="00446049">
        <w:rPr>
          <w:rFonts w:eastAsia="Times New Roman" w:cs="Arial"/>
          <w:b/>
          <w:color w:val="000000"/>
          <w:sz w:val="36"/>
          <w:szCs w:val="36"/>
        </w:rPr>
        <w:t>-</w:t>
      </w:r>
      <w:r w:rsidR="00667CAA" w:rsidRPr="00667CAA">
        <w:rPr>
          <w:rFonts w:eastAsia="Times New Roman" w:cs="Arial"/>
          <w:b/>
          <w:color w:val="000000"/>
          <w:sz w:val="36"/>
          <w:szCs w:val="36"/>
        </w:rPr>
        <w:t xml:space="preserve"> </w:t>
      </w:r>
      <w:r w:rsidR="00D210A7" w:rsidRPr="00D210A7">
        <w:rPr>
          <w:rFonts w:eastAsia="Times New Roman" w:cs="Arial"/>
          <w:b/>
          <w:color w:val="000000"/>
          <w:sz w:val="36"/>
          <w:szCs w:val="36"/>
        </w:rPr>
        <w:t>Coverage Determination</w:t>
      </w:r>
    </w:p>
    <w:bookmarkEnd w:id="1"/>
    <w:p w14:paraId="63546431" w14:textId="03A349BE" w:rsidR="00D210A7" w:rsidRPr="00D210A7" w:rsidRDefault="00F613ED" w:rsidP="00612D04">
      <w:pPr>
        <w:pStyle w:val="TOC2"/>
        <w:rPr>
          <w:rFonts w:eastAsiaTheme="minorEastAsia"/>
          <w:noProof/>
        </w:rPr>
      </w:pPr>
      <w:r w:rsidRPr="00F613ED">
        <w:rPr>
          <w:noProof/>
        </w:rPr>
        <w:fldChar w:fldCharType="begin"/>
      </w:r>
      <w:r w:rsidRPr="00F613ED">
        <w:rPr>
          <w:noProof/>
        </w:rPr>
        <w:instrText xml:space="preserve"> TOC \o "2-2" \n \p " " \h \z \u </w:instrText>
      </w:r>
      <w:r w:rsidRPr="00F613ED">
        <w:rPr>
          <w:noProof/>
        </w:rPr>
        <w:fldChar w:fldCharType="separate"/>
      </w:r>
      <w:hyperlink w:anchor="_Toc116900831" w:history="1">
        <w:r w:rsidR="00D210A7" w:rsidRPr="00D210A7">
          <w:rPr>
            <w:rStyle w:val="Hyperlink"/>
            <w:rFonts w:eastAsia="Times New Roman" w:cs="Arial"/>
            <w:iCs/>
            <w:noProof/>
            <w:szCs w:val="24"/>
          </w:rPr>
          <w:t>Coverage Determination</w:t>
        </w:r>
      </w:hyperlink>
    </w:p>
    <w:p w14:paraId="3794A9D5" w14:textId="766859A4" w:rsidR="00D210A7" w:rsidRPr="00D210A7" w:rsidRDefault="00D210A7" w:rsidP="00612D04">
      <w:pPr>
        <w:pStyle w:val="TOC2"/>
        <w:rPr>
          <w:rFonts w:eastAsiaTheme="minorEastAsia"/>
          <w:noProof/>
          <w:szCs w:val="24"/>
        </w:rPr>
      </w:pPr>
      <w:hyperlink w:anchor="_Toc116900832" w:history="1">
        <w:r w:rsidRPr="00D210A7">
          <w:rPr>
            <w:rStyle w:val="Hyperlink"/>
            <w:rFonts w:eastAsia="Times New Roman" w:cs="Arial"/>
            <w:iCs/>
            <w:noProof/>
            <w:szCs w:val="24"/>
          </w:rPr>
          <w:t>Related Documents</w:t>
        </w:r>
      </w:hyperlink>
    </w:p>
    <w:p w14:paraId="37A26568" w14:textId="5D4417C9" w:rsidR="00F613ED" w:rsidRDefault="00F613ED" w:rsidP="003C00EB">
      <w:pPr>
        <w:spacing w:after="0" w:line="240" w:lineRule="auto"/>
        <w:rPr>
          <w:rFonts w:eastAsia="Times New Roman" w:cs="Times New Roman"/>
          <w:szCs w:val="24"/>
        </w:rPr>
      </w:pPr>
      <w:r w:rsidRPr="00F613ED">
        <w:rPr>
          <w:rFonts w:eastAsia="Times New Roman" w:cs="Times New Roman"/>
          <w:szCs w:val="24"/>
        </w:rPr>
        <w:fldChar w:fldCharType="end"/>
      </w:r>
      <w:bookmarkStart w:id="2" w:name="_Overview"/>
      <w:bookmarkStart w:id="3" w:name="_Rationale"/>
      <w:bookmarkStart w:id="4" w:name="_Definitions"/>
      <w:bookmarkStart w:id="5" w:name="_Abbreviations/Definitions"/>
      <w:bookmarkStart w:id="6" w:name="_Log_Activity"/>
      <w:bookmarkEnd w:id="2"/>
      <w:bookmarkEnd w:id="3"/>
      <w:bookmarkEnd w:id="4"/>
      <w:bookmarkEnd w:id="5"/>
      <w:bookmarkEnd w:id="6"/>
    </w:p>
    <w:p w14:paraId="4A0E2F7C" w14:textId="159560CE" w:rsidR="006112B6" w:rsidRPr="006112B6" w:rsidRDefault="006112B6" w:rsidP="00612D04">
      <w:pPr>
        <w:spacing w:after="120" w:line="240" w:lineRule="auto"/>
        <w:rPr>
          <w:rFonts w:eastAsia="Times New Roman" w:cs="Times New Roman"/>
          <w:szCs w:val="24"/>
        </w:rPr>
      </w:pPr>
      <w:r>
        <w:rPr>
          <w:rFonts w:eastAsia="Times New Roman" w:cs="Times New Roman"/>
          <w:b/>
          <w:bCs/>
          <w:szCs w:val="24"/>
        </w:rPr>
        <w:t>Description:</w:t>
      </w:r>
      <w:r>
        <w:rPr>
          <w:rFonts w:eastAsia="Times New Roman" w:cs="Times New Roman"/>
          <w:szCs w:val="24"/>
        </w:rPr>
        <w:t xml:space="preserve">  </w:t>
      </w:r>
      <w:r w:rsidR="00B6382F">
        <w:rPr>
          <w:rFonts w:eastAsia="Times New Roman" w:cs="Times New Roman"/>
          <w:szCs w:val="24"/>
        </w:rPr>
        <w:t>O</w:t>
      </w:r>
      <w:r w:rsidRPr="006112B6">
        <w:rPr>
          <w:rFonts w:eastAsia="Times New Roman" w:cs="Times New Roman"/>
          <w:szCs w:val="24"/>
        </w:rPr>
        <w:t>utlines the Coverage Determination process for Medicare Part D medications, detailing how members can appeal denials and the steps representatives should take to assist them. It emphasizes the importance of educating members about their coverage options and the procedures for obtaining necessary approvals.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F613ED" w:rsidRPr="00F613ED" w14:paraId="1C7814C1" w14:textId="77777777" w:rsidTr="00BA6AAF">
        <w:tc>
          <w:tcPr>
            <w:tcW w:w="5000" w:type="pct"/>
            <w:shd w:val="clear" w:color="auto" w:fill="BFBFBF" w:themeFill="background1" w:themeFillShade="BF"/>
          </w:tcPr>
          <w:p w14:paraId="6C192A49" w14:textId="018C5BA1" w:rsidR="00F613ED" w:rsidRPr="00F613ED" w:rsidRDefault="00D210A7" w:rsidP="00F613ED">
            <w:pPr>
              <w:keepNext/>
              <w:spacing w:after="0" w:line="240" w:lineRule="auto"/>
              <w:outlineLvl w:val="1"/>
              <w:rPr>
                <w:rFonts w:eastAsia="Times New Roman" w:cs="Arial"/>
                <w:b/>
                <w:bCs/>
                <w:iCs/>
                <w:sz w:val="28"/>
                <w:szCs w:val="28"/>
              </w:rPr>
            </w:pPr>
            <w:bookmarkStart w:id="7" w:name="_Various_Work_Instructions"/>
            <w:bookmarkStart w:id="8" w:name="_Process"/>
            <w:bookmarkStart w:id="9" w:name="_Various_Work_Instructions1"/>
            <w:bookmarkStart w:id="10" w:name="_Various_Work_Instructions_1"/>
            <w:bookmarkStart w:id="11" w:name="_Qualifying_the_Call"/>
            <w:bookmarkStart w:id="12" w:name="_Determining_if_an"/>
            <w:bookmarkStart w:id="13" w:name="_Toc116900831"/>
            <w:bookmarkEnd w:id="7"/>
            <w:bookmarkEnd w:id="8"/>
            <w:bookmarkEnd w:id="9"/>
            <w:bookmarkEnd w:id="10"/>
            <w:bookmarkEnd w:id="11"/>
            <w:bookmarkEnd w:id="12"/>
            <w:r w:rsidRPr="00D210A7">
              <w:rPr>
                <w:rFonts w:eastAsia="Times New Roman" w:cs="Arial"/>
                <w:b/>
                <w:bCs/>
                <w:iCs/>
                <w:sz w:val="28"/>
                <w:szCs w:val="28"/>
              </w:rPr>
              <w:t>Coverage Determination</w:t>
            </w:r>
            <w:bookmarkEnd w:id="13"/>
          </w:p>
        </w:tc>
      </w:tr>
    </w:tbl>
    <w:p w14:paraId="45C0E8AF" w14:textId="77777777" w:rsidR="00F613ED" w:rsidRPr="00F613ED" w:rsidRDefault="00F613ED" w:rsidP="00446049">
      <w:pPr>
        <w:spacing w:after="0" w:line="360" w:lineRule="auto"/>
        <w:rPr>
          <w:rFonts w:eastAsia="Times New Roman" w:cs="Times New Roman"/>
          <w:color w:val="000000"/>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3" w:type="dxa"/>
          <w:left w:w="115" w:type="dxa"/>
          <w:bottom w:w="115" w:type="dxa"/>
          <w:right w:w="115" w:type="dxa"/>
        </w:tblCellMar>
        <w:tblLook w:val="01E0" w:firstRow="1" w:lastRow="1" w:firstColumn="1" w:lastColumn="1" w:noHBand="0" w:noVBand="0"/>
      </w:tblPr>
      <w:tblGrid>
        <w:gridCol w:w="2288"/>
        <w:gridCol w:w="636"/>
        <w:gridCol w:w="2784"/>
        <w:gridCol w:w="3642"/>
      </w:tblGrid>
      <w:tr w:rsidR="00BE7FC6" w:rsidRPr="00F613ED" w14:paraId="5ADD5182" w14:textId="77777777" w:rsidTr="001B57A8">
        <w:tc>
          <w:tcPr>
            <w:tcW w:w="976" w:type="pct"/>
            <w:shd w:val="clear" w:color="auto" w:fill="D9D9D9" w:themeFill="background1" w:themeFillShade="D9"/>
          </w:tcPr>
          <w:p w14:paraId="49F5D7E5" w14:textId="1C39336A" w:rsidR="00D24AEA" w:rsidRPr="003C00EB" w:rsidRDefault="00D24AEA" w:rsidP="00667CAA">
            <w:pPr>
              <w:spacing w:after="0" w:line="240" w:lineRule="auto"/>
              <w:ind w:left="360"/>
              <w:jc w:val="center"/>
              <w:rPr>
                <w:b/>
                <w:bCs/>
                <w:szCs w:val="24"/>
              </w:rPr>
            </w:pPr>
            <w:r w:rsidRPr="003C00EB">
              <w:rPr>
                <w:b/>
                <w:bCs/>
                <w:szCs w:val="24"/>
              </w:rPr>
              <w:t>Case Study Components</w:t>
            </w:r>
          </w:p>
        </w:tc>
        <w:tc>
          <w:tcPr>
            <w:tcW w:w="4024" w:type="pct"/>
            <w:gridSpan w:val="3"/>
            <w:shd w:val="clear" w:color="auto" w:fill="D9D9D9" w:themeFill="background1" w:themeFillShade="D9"/>
          </w:tcPr>
          <w:p w14:paraId="57791311" w14:textId="1FDBAFD9" w:rsidR="00D24AEA" w:rsidRPr="003C00EB" w:rsidRDefault="00D24AEA" w:rsidP="00667CAA">
            <w:pPr>
              <w:spacing w:after="0" w:line="240" w:lineRule="auto"/>
              <w:ind w:left="360"/>
              <w:jc w:val="center"/>
              <w:rPr>
                <w:rFonts w:eastAsia="Times New Roman" w:cs="Times New Roman"/>
                <w:b/>
                <w:bCs/>
                <w:color w:val="000000"/>
                <w:szCs w:val="24"/>
              </w:rPr>
            </w:pPr>
            <w:r w:rsidRPr="003C00EB">
              <w:rPr>
                <w:b/>
                <w:bCs/>
                <w:szCs w:val="24"/>
              </w:rPr>
              <w:t>Case Study Focal Points</w:t>
            </w:r>
          </w:p>
        </w:tc>
      </w:tr>
      <w:tr w:rsidR="00BE7FC6" w14:paraId="516A8084" w14:textId="77777777" w:rsidTr="001B57A8">
        <w:tc>
          <w:tcPr>
            <w:tcW w:w="976" w:type="pct"/>
          </w:tcPr>
          <w:p w14:paraId="39BC4922" w14:textId="54EE8DC6" w:rsidR="00D24AEA" w:rsidRPr="00D24AEA" w:rsidRDefault="00D24AEA" w:rsidP="00D24AEA">
            <w:pPr>
              <w:spacing w:line="276" w:lineRule="auto"/>
              <w:rPr>
                <w:szCs w:val="24"/>
              </w:rPr>
            </w:pPr>
            <w:r w:rsidRPr="00165275">
              <w:rPr>
                <w:b/>
                <w:bCs/>
                <w:szCs w:val="24"/>
              </w:rPr>
              <w:t>Relating to Coverage Determination – Real World Example</w:t>
            </w:r>
          </w:p>
        </w:tc>
        <w:tc>
          <w:tcPr>
            <w:tcW w:w="4024" w:type="pct"/>
            <w:gridSpan w:val="3"/>
          </w:tcPr>
          <w:p w14:paraId="35AD408B" w14:textId="3F018E48" w:rsidR="00D24AEA" w:rsidRPr="00165275" w:rsidRDefault="00D24AEA" w:rsidP="00446049">
            <w:pPr>
              <w:pStyle w:val="ListParagraph"/>
              <w:numPr>
                <w:ilvl w:val="0"/>
                <w:numId w:val="1"/>
              </w:numPr>
              <w:spacing w:line="276" w:lineRule="auto"/>
              <w:rPr>
                <w:rFonts w:ascii="Verdana" w:hAnsi="Verdana"/>
                <w:szCs w:val="24"/>
              </w:rPr>
            </w:pPr>
            <w:r w:rsidRPr="00165275">
              <w:rPr>
                <w:rFonts w:ascii="Verdana" w:hAnsi="Verdana"/>
                <w:szCs w:val="24"/>
              </w:rPr>
              <w:t xml:space="preserve">Credit cards are commonly used for everyday life purchases. They are sometimes considered to be a good way to take advantage of their rewards programs or to create or improve upon someone’s credit score. </w:t>
            </w:r>
          </w:p>
          <w:p w14:paraId="5291D8C1" w14:textId="30274BAD" w:rsidR="00D24AEA" w:rsidRPr="00165275" w:rsidRDefault="00D24AEA" w:rsidP="00446049">
            <w:pPr>
              <w:pStyle w:val="ListParagraph"/>
              <w:numPr>
                <w:ilvl w:val="0"/>
                <w:numId w:val="1"/>
              </w:numPr>
              <w:spacing w:line="276" w:lineRule="auto"/>
              <w:rPr>
                <w:rFonts w:ascii="Verdana" w:hAnsi="Verdana"/>
                <w:szCs w:val="24"/>
              </w:rPr>
            </w:pPr>
            <w:r w:rsidRPr="00165275">
              <w:rPr>
                <w:rFonts w:ascii="Verdana" w:hAnsi="Verdana"/>
                <w:szCs w:val="24"/>
              </w:rPr>
              <w:t>After applying for your credit card, you will either get an approval outright thereafter or you may sometimes be denied for specific reasons.</w:t>
            </w:r>
          </w:p>
          <w:p w14:paraId="40355029" w14:textId="370835EC" w:rsidR="00D24AEA" w:rsidRPr="00165275" w:rsidRDefault="00D24AEA" w:rsidP="00446049">
            <w:pPr>
              <w:pStyle w:val="ListParagraph"/>
              <w:numPr>
                <w:ilvl w:val="0"/>
                <w:numId w:val="1"/>
              </w:numPr>
              <w:spacing w:line="276" w:lineRule="auto"/>
              <w:rPr>
                <w:rFonts w:ascii="Verdana" w:hAnsi="Verdana"/>
                <w:szCs w:val="24"/>
              </w:rPr>
            </w:pPr>
            <w:r w:rsidRPr="00165275">
              <w:rPr>
                <w:rFonts w:ascii="Verdana" w:hAnsi="Verdana"/>
                <w:szCs w:val="24"/>
              </w:rPr>
              <w:t>When you are denied</w:t>
            </w:r>
            <w:r>
              <w:rPr>
                <w:rFonts w:ascii="Verdana" w:hAnsi="Verdana"/>
                <w:szCs w:val="24"/>
              </w:rPr>
              <w:t>,</w:t>
            </w:r>
            <w:r w:rsidRPr="00165275">
              <w:rPr>
                <w:rFonts w:ascii="Verdana" w:hAnsi="Verdana"/>
                <w:szCs w:val="24"/>
              </w:rPr>
              <w:t xml:space="preserve"> the credit company will send you a letter detailing why you were denied. </w:t>
            </w:r>
          </w:p>
          <w:p w14:paraId="58510BE3" w14:textId="62E1E8D5" w:rsidR="00D24AEA" w:rsidRPr="00165275" w:rsidRDefault="00D24AEA" w:rsidP="00446049">
            <w:pPr>
              <w:pStyle w:val="ListParagraph"/>
              <w:numPr>
                <w:ilvl w:val="0"/>
                <w:numId w:val="1"/>
              </w:numPr>
              <w:spacing w:line="276" w:lineRule="auto"/>
              <w:rPr>
                <w:rFonts w:ascii="Verdana" w:hAnsi="Verdana"/>
                <w:szCs w:val="24"/>
              </w:rPr>
            </w:pPr>
            <w:r w:rsidRPr="00165275">
              <w:rPr>
                <w:rFonts w:ascii="Verdana" w:hAnsi="Verdana"/>
                <w:szCs w:val="24"/>
              </w:rPr>
              <w:t xml:space="preserve">This letter allows you to take proactive steps to correct anything standing in your way, then you can choose to reapply to see if you can now be approved. </w:t>
            </w:r>
          </w:p>
          <w:p w14:paraId="3841D8E2" w14:textId="66709065" w:rsidR="00D24AEA" w:rsidRPr="00165275" w:rsidRDefault="00D24AEA" w:rsidP="00446049">
            <w:pPr>
              <w:pStyle w:val="ListParagraph"/>
              <w:numPr>
                <w:ilvl w:val="0"/>
                <w:numId w:val="1"/>
              </w:numPr>
              <w:spacing w:line="276" w:lineRule="auto"/>
              <w:rPr>
                <w:rFonts w:ascii="Verdana" w:hAnsi="Verdana"/>
                <w:szCs w:val="24"/>
              </w:rPr>
            </w:pPr>
            <w:r w:rsidRPr="00165275">
              <w:rPr>
                <w:rFonts w:ascii="Verdana" w:hAnsi="Verdana"/>
                <w:szCs w:val="24"/>
              </w:rPr>
              <w:t xml:space="preserve">The Coverage Determination process works similarly with medications, based on the beneficiary’s plan design allowances: </w:t>
            </w:r>
          </w:p>
          <w:p w14:paraId="512A32A3" w14:textId="416A17FF" w:rsidR="00D24AEA" w:rsidRPr="00165275" w:rsidRDefault="00D24AEA" w:rsidP="00446049">
            <w:pPr>
              <w:pStyle w:val="ListParagraph"/>
              <w:numPr>
                <w:ilvl w:val="1"/>
                <w:numId w:val="1"/>
              </w:numPr>
              <w:spacing w:line="276" w:lineRule="auto"/>
              <w:rPr>
                <w:rFonts w:ascii="Verdana" w:hAnsi="Verdana"/>
                <w:szCs w:val="24"/>
              </w:rPr>
            </w:pPr>
            <w:r w:rsidRPr="00165275">
              <w:rPr>
                <w:rFonts w:ascii="Verdana" w:hAnsi="Verdana"/>
                <w:szCs w:val="24"/>
              </w:rPr>
              <w:t>For example, a prescription may be approved to be filled with no issues at all or it could be rejected.</w:t>
            </w:r>
          </w:p>
          <w:p w14:paraId="5AE57D91" w14:textId="1E275FA4" w:rsidR="00D24AEA" w:rsidRPr="00165275" w:rsidRDefault="00D24AEA" w:rsidP="00446049">
            <w:pPr>
              <w:pStyle w:val="ListParagraph"/>
              <w:numPr>
                <w:ilvl w:val="1"/>
                <w:numId w:val="1"/>
              </w:numPr>
              <w:spacing w:line="276" w:lineRule="auto"/>
              <w:rPr>
                <w:rFonts w:ascii="Verdana" w:hAnsi="Verdana"/>
                <w:szCs w:val="24"/>
              </w:rPr>
            </w:pPr>
            <w:r w:rsidRPr="00165275">
              <w:rPr>
                <w:rFonts w:ascii="Verdana" w:hAnsi="Verdana"/>
                <w:szCs w:val="24"/>
              </w:rPr>
              <w:t>The rejection could be related to something simple, like the member is attempting to fill it in before they are approved, or it could be denied for needing a coverage approval.</w:t>
            </w:r>
          </w:p>
          <w:p w14:paraId="310F0229" w14:textId="119CFE61" w:rsidR="00D24AEA" w:rsidRPr="00165275" w:rsidRDefault="00D24AEA" w:rsidP="00446049">
            <w:pPr>
              <w:pStyle w:val="ListParagraph"/>
              <w:numPr>
                <w:ilvl w:val="1"/>
                <w:numId w:val="1"/>
              </w:numPr>
              <w:spacing w:line="276" w:lineRule="auto"/>
              <w:rPr>
                <w:rFonts w:ascii="Verdana" w:hAnsi="Verdana"/>
                <w:szCs w:val="24"/>
              </w:rPr>
            </w:pPr>
            <w:r w:rsidRPr="00165275">
              <w:rPr>
                <w:rFonts w:ascii="Verdana" w:hAnsi="Verdana"/>
                <w:szCs w:val="24"/>
              </w:rPr>
              <w:t xml:space="preserve">After a member goes through the coverage approval process, they will either be approved based on the additional information provided by their doctor or they could be denied again. </w:t>
            </w:r>
          </w:p>
          <w:p w14:paraId="7F53EAFA" w14:textId="0689B5FE" w:rsidR="00D24AEA" w:rsidRPr="00165275" w:rsidRDefault="00D24AEA" w:rsidP="00446049">
            <w:pPr>
              <w:pStyle w:val="ListParagraph"/>
              <w:numPr>
                <w:ilvl w:val="1"/>
                <w:numId w:val="1"/>
              </w:numPr>
              <w:spacing w:line="276" w:lineRule="auto"/>
              <w:rPr>
                <w:rFonts w:ascii="Verdana" w:hAnsi="Verdana"/>
                <w:szCs w:val="24"/>
              </w:rPr>
            </w:pPr>
            <w:r w:rsidRPr="00165275">
              <w:rPr>
                <w:rFonts w:ascii="Verdana" w:hAnsi="Verdana"/>
                <w:szCs w:val="24"/>
              </w:rPr>
              <w:t>If they are denied</w:t>
            </w:r>
            <w:r>
              <w:rPr>
                <w:rFonts w:ascii="Verdana" w:hAnsi="Verdana"/>
                <w:szCs w:val="24"/>
              </w:rPr>
              <w:t>,</w:t>
            </w:r>
            <w:r w:rsidRPr="00165275">
              <w:rPr>
                <w:rFonts w:ascii="Verdana" w:hAnsi="Verdana"/>
                <w:szCs w:val="24"/>
              </w:rPr>
              <w:t xml:space="preserve"> they will get a letter detailing why and the member is entitled to appeal the denial, to try and get their medication covered. This is known as the </w:t>
            </w:r>
            <w:r>
              <w:rPr>
                <w:rFonts w:ascii="Verdana" w:hAnsi="Verdana"/>
                <w:szCs w:val="24"/>
              </w:rPr>
              <w:t xml:space="preserve">Redetermination </w:t>
            </w:r>
            <w:r w:rsidRPr="00165275">
              <w:rPr>
                <w:rFonts w:ascii="Verdana" w:hAnsi="Verdana"/>
                <w:szCs w:val="24"/>
              </w:rPr>
              <w:t xml:space="preserve">process. </w:t>
            </w:r>
          </w:p>
        </w:tc>
      </w:tr>
      <w:tr w:rsidR="00BE7FC6" w14:paraId="30ACEFAE" w14:textId="77777777" w:rsidTr="001B57A8">
        <w:trPr>
          <w:trHeight w:val="879"/>
        </w:trPr>
        <w:tc>
          <w:tcPr>
            <w:tcW w:w="976" w:type="pct"/>
          </w:tcPr>
          <w:p w14:paraId="609F316B" w14:textId="4F9855A0" w:rsidR="00D24AEA" w:rsidRPr="00D24AEA" w:rsidRDefault="00D24AEA" w:rsidP="00D24AEA">
            <w:pPr>
              <w:spacing w:line="254" w:lineRule="auto"/>
              <w:rPr>
                <w:b/>
                <w:bCs/>
                <w:szCs w:val="24"/>
              </w:rPr>
            </w:pPr>
            <w:r w:rsidRPr="00667CAA">
              <w:rPr>
                <w:b/>
                <w:bCs/>
                <w:szCs w:val="24"/>
              </w:rPr>
              <w:t xml:space="preserve">Beneficiary Scenario </w:t>
            </w:r>
          </w:p>
        </w:tc>
        <w:tc>
          <w:tcPr>
            <w:tcW w:w="4024" w:type="pct"/>
            <w:gridSpan w:val="3"/>
          </w:tcPr>
          <w:p w14:paraId="2D1C45C2" w14:textId="67508D31" w:rsidR="00D24AEA" w:rsidRPr="00165275" w:rsidRDefault="00D24AEA" w:rsidP="00D210A7">
            <w:pPr>
              <w:pStyle w:val="ListParagraph"/>
              <w:numPr>
                <w:ilvl w:val="0"/>
                <w:numId w:val="2"/>
              </w:numPr>
              <w:spacing w:line="254" w:lineRule="auto"/>
              <w:rPr>
                <w:rFonts w:ascii="Verdana" w:hAnsi="Verdana"/>
                <w:szCs w:val="24"/>
              </w:rPr>
            </w:pPr>
            <w:r w:rsidRPr="00165275">
              <w:rPr>
                <w:rFonts w:ascii="Verdana" w:hAnsi="Verdana"/>
                <w:b/>
                <w:bCs/>
                <w:szCs w:val="24"/>
              </w:rPr>
              <w:t>M</w:t>
            </w:r>
            <w:r>
              <w:rPr>
                <w:rFonts w:ascii="Verdana" w:hAnsi="Verdana"/>
                <w:b/>
                <w:bCs/>
                <w:szCs w:val="24"/>
              </w:rPr>
              <w:t>ember</w:t>
            </w:r>
            <w:r w:rsidRPr="00EE57B6">
              <w:rPr>
                <w:rFonts w:ascii="Verdana" w:hAnsi="Verdana"/>
                <w:b/>
                <w:bCs/>
                <w:szCs w:val="24"/>
              </w:rPr>
              <w:t>:</w:t>
            </w:r>
            <w:r w:rsidRPr="00165275">
              <w:rPr>
                <w:rFonts w:ascii="Verdana" w:hAnsi="Verdana"/>
                <w:szCs w:val="24"/>
              </w:rPr>
              <w:t xml:space="preserve"> </w:t>
            </w:r>
            <w:r>
              <w:rPr>
                <w:rFonts w:ascii="Verdana" w:hAnsi="Verdana"/>
                <w:szCs w:val="24"/>
              </w:rPr>
              <w:t xml:space="preserve"> </w:t>
            </w:r>
            <w:r w:rsidRPr="00165275">
              <w:rPr>
                <w:rFonts w:ascii="Verdana" w:hAnsi="Verdana"/>
                <w:szCs w:val="24"/>
              </w:rPr>
              <w:t xml:space="preserve">“I went to the pharmacy to pick up two of my medications, one was </w:t>
            </w:r>
            <w:r>
              <w:rPr>
                <w:rFonts w:ascii="Verdana" w:hAnsi="Verdana"/>
                <w:szCs w:val="24"/>
              </w:rPr>
              <w:t>&lt;</w:t>
            </w:r>
            <w:r w:rsidRPr="00165275">
              <w:rPr>
                <w:rFonts w:ascii="Verdana" w:hAnsi="Verdana"/>
                <w:szCs w:val="24"/>
              </w:rPr>
              <w:t>drug A</w:t>
            </w:r>
            <w:r>
              <w:rPr>
                <w:rFonts w:ascii="Verdana" w:hAnsi="Verdana"/>
                <w:szCs w:val="24"/>
              </w:rPr>
              <w:t>&gt;</w:t>
            </w:r>
            <w:r w:rsidRPr="00165275">
              <w:rPr>
                <w:rFonts w:ascii="Verdana" w:hAnsi="Verdana"/>
                <w:szCs w:val="24"/>
              </w:rPr>
              <w:t xml:space="preserve"> and the other was </w:t>
            </w:r>
            <w:r>
              <w:rPr>
                <w:rFonts w:ascii="Verdana" w:hAnsi="Verdana"/>
                <w:szCs w:val="24"/>
              </w:rPr>
              <w:t>&lt;</w:t>
            </w:r>
            <w:r w:rsidRPr="00165275">
              <w:rPr>
                <w:rFonts w:ascii="Verdana" w:hAnsi="Verdana"/>
                <w:szCs w:val="24"/>
              </w:rPr>
              <w:t>drug B</w:t>
            </w:r>
            <w:r>
              <w:rPr>
                <w:rFonts w:ascii="Verdana" w:hAnsi="Verdana"/>
                <w:szCs w:val="24"/>
              </w:rPr>
              <w:t>&gt;</w:t>
            </w:r>
            <w:r w:rsidRPr="00165275">
              <w:rPr>
                <w:rFonts w:ascii="Verdana" w:hAnsi="Verdana"/>
                <w:szCs w:val="24"/>
              </w:rPr>
              <w:t xml:space="preserve"> but my pharmacist said both of my meds were not covered. Can you please investigate this and help me understand what happened?”</w:t>
            </w:r>
          </w:p>
        </w:tc>
      </w:tr>
      <w:tr w:rsidR="00BE7FC6" w14:paraId="4A9352D2" w14:textId="77777777" w:rsidTr="001B57A8">
        <w:tc>
          <w:tcPr>
            <w:tcW w:w="976" w:type="pct"/>
          </w:tcPr>
          <w:p w14:paraId="524EB8F5" w14:textId="2FF1F07F" w:rsidR="00D24AEA" w:rsidRPr="00D24AEA" w:rsidRDefault="00D24AEA" w:rsidP="00D24AEA">
            <w:pPr>
              <w:spacing w:line="254" w:lineRule="auto"/>
              <w:rPr>
                <w:b/>
                <w:bCs/>
                <w:szCs w:val="24"/>
              </w:rPr>
            </w:pPr>
            <w:r w:rsidRPr="00667CAA">
              <w:rPr>
                <w:b/>
                <w:bCs/>
                <w:szCs w:val="24"/>
              </w:rPr>
              <w:t>Initial CCR Response</w:t>
            </w:r>
          </w:p>
        </w:tc>
        <w:tc>
          <w:tcPr>
            <w:tcW w:w="4024" w:type="pct"/>
            <w:gridSpan w:val="3"/>
          </w:tcPr>
          <w:p w14:paraId="256AB0B3" w14:textId="55C9D17A" w:rsidR="00D24AEA" w:rsidRPr="00165275" w:rsidRDefault="00D24AEA" w:rsidP="00D210A7">
            <w:pPr>
              <w:pStyle w:val="ListParagraph"/>
              <w:numPr>
                <w:ilvl w:val="0"/>
                <w:numId w:val="2"/>
              </w:numPr>
              <w:spacing w:line="254" w:lineRule="auto"/>
              <w:rPr>
                <w:rFonts w:ascii="Verdana" w:hAnsi="Verdana"/>
                <w:szCs w:val="24"/>
              </w:rPr>
            </w:pPr>
            <w:r w:rsidRPr="00165275">
              <w:rPr>
                <w:rFonts w:ascii="Verdana" w:hAnsi="Verdana"/>
                <w:b/>
                <w:bCs/>
                <w:szCs w:val="24"/>
              </w:rPr>
              <w:t>R</w:t>
            </w:r>
            <w:bookmarkStart w:id="14" w:name="OLE_LINK1"/>
            <w:r>
              <w:rPr>
                <w:rFonts w:ascii="Verdana" w:hAnsi="Verdana"/>
                <w:b/>
                <w:bCs/>
                <w:szCs w:val="24"/>
              </w:rPr>
              <w:t>epresentativ</w:t>
            </w:r>
            <w:r w:rsidRPr="00EE57B6">
              <w:rPr>
                <w:rFonts w:ascii="Verdana" w:hAnsi="Verdana"/>
                <w:b/>
                <w:bCs/>
                <w:szCs w:val="24"/>
              </w:rPr>
              <w:t>e</w:t>
            </w:r>
            <w:bookmarkEnd w:id="14"/>
            <w:r w:rsidRPr="00EE57B6">
              <w:rPr>
                <w:rFonts w:ascii="Verdana" w:hAnsi="Verdana"/>
                <w:b/>
                <w:bCs/>
                <w:szCs w:val="24"/>
              </w:rPr>
              <w:t>:</w:t>
            </w:r>
            <w:r w:rsidRPr="00165275">
              <w:rPr>
                <w:rFonts w:ascii="Verdana" w:hAnsi="Verdana"/>
                <w:szCs w:val="24"/>
              </w:rPr>
              <w:t xml:space="preserve"> </w:t>
            </w:r>
            <w:r>
              <w:rPr>
                <w:rFonts w:ascii="Verdana" w:hAnsi="Verdana"/>
                <w:szCs w:val="24"/>
              </w:rPr>
              <w:t xml:space="preserve"> </w:t>
            </w:r>
            <w:r>
              <w:rPr>
                <w:rFonts w:ascii="Verdana" w:hAnsi="Verdana"/>
                <w:noProof/>
                <w:szCs w:val="24"/>
              </w:rPr>
              <w:drawing>
                <wp:inline distT="0" distB="0" distL="0" distR="0" wp14:anchorId="280CFD05" wp14:editId="57F3366F">
                  <wp:extent cx="238158" cy="20957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rFonts w:ascii="Verdana" w:hAnsi="Verdana"/>
                <w:szCs w:val="24"/>
              </w:rPr>
              <w:t xml:space="preserve"> &lt;Member name&gt;,</w:t>
            </w:r>
            <w:r w:rsidRPr="00165275">
              <w:rPr>
                <w:rFonts w:ascii="Verdana" w:hAnsi="Verdana"/>
                <w:szCs w:val="24"/>
              </w:rPr>
              <w:t xml:space="preserve"> I can understand being surprised by going to the pharmacy and being told your meds were not covered.</w:t>
            </w:r>
          </w:p>
          <w:p w14:paraId="0847EE72" w14:textId="33F1C762" w:rsidR="00D24AEA" w:rsidRPr="00165275" w:rsidRDefault="00D24AEA" w:rsidP="00D210A7">
            <w:pPr>
              <w:pStyle w:val="ListParagraph"/>
              <w:numPr>
                <w:ilvl w:val="0"/>
                <w:numId w:val="2"/>
              </w:numPr>
              <w:spacing w:line="254" w:lineRule="auto"/>
              <w:rPr>
                <w:rFonts w:ascii="Verdana" w:hAnsi="Verdana" w:cstheme="minorBidi"/>
                <w:szCs w:val="24"/>
              </w:rPr>
            </w:pPr>
            <w:r w:rsidRPr="00165275">
              <w:rPr>
                <w:rFonts w:ascii="Verdana" w:hAnsi="Verdana"/>
                <w:b/>
                <w:bCs/>
                <w:szCs w:val="24"/>
              </w:rPr>
              <w:t>R</w:t>
            </w:r>
            <w:r>
              <w:rPr>
                <w:rFonts w:ascii="Verdana" w:hAnsi="Verdana"/>
                <w:b/>
                <w:bCs/>
                <w:szCs w:val="24"/>
              </w:rPr>
              <w:t>epresentative</w:t>
            </w:r>
            <w:r w:rsidRPr="00EE57B6">
              <w:rPr>
                <w:rFonts w:ascii="Verdana" w:hAnsi="Verdana"/>
                <w:b/>
                <w:bCs/>
                <w:szCs w:val="24"/>
              </w:rPr>
              <w:t xml:space="preserve">: </w:t>
            </w:r>
            <w:r>
              <w:rPr>
                <w:rFonts w:ascii="Verdana" w:hAnsi="Verdana"/>
                <w:b/>
                <w:bCs/>
                <w:szCs w:val="24"/>
              </w:rPr>
              <w:t xml:space="preserve"> </w:t>
            </w:r>
            <w:r>
              <w:rPr>
                <w:rFonts w:ascii="Verdana" w:hAnsi="Verdana"/>
                <w:noProof/>
                <w:szCs w:val="24"/>
              </w:rPr>
              <w:drawing>
                <wp:inline distT="0" distB="0" distL="0" distR="0" wp14:anchorId="72973EC7" wp14:editId="2F50599F">
                  <wp:extent cx="238158" cy="20957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rFonts w:ascii="Verdana" w:hAnsi="Verdana"/>
                <w:szCs w:val="24"/>
              </w:rPr>
              <w:t xml:space="preserve"> </w:t>
            </w:r>
            <w:r w:rsidRPr="00165275">
              <w:rPr>
                <w:rFonts w:ascii="Verdana" w:hAnsi="Verdana"/>
                <w:szCs w:val="24"/>
              </w:rPr>
              <w:t>I can absolutely look into your account though and we can determine what happened and talk everything out.</w:t>
            </w:r>
          </w:p>
        </w:tc>
      </w:tr>
      <w:tr w:rsidR="00BE7FC6" w14:paraId="4E754B44" w14:textId="77777777" w:rsidTr="001B57A8">
        <w:tc>
          <w:tcPr>
            <w:tcW w:w="976" w:type="pct"/>
          </w:tcPr>
          <w:p w14:paraId="043310BA" w14:textId="2C1C0AC6" w:rsidR="00D24AEA" w:rsidRPr="00D24AEA" w:rsidRDefault="00D24AEA" w:rsidP="00D24AEA">
            <w:pPr>
              <w:spacing w:line="254" w:lineRule="auto"/>
              <w:rPr>
                <w:b/>
                <w:bCs/>
                <w:szCs w:val="24"/>
              </w:rPr>
            </w:pPr>
            <w:r w:rsidRPr="00667CAA">
              <w:rPr>
                <w:b/>
                <w:bCs/>
                <w:szCs w:val="24"/>
              </w:rPr>
              <w:t>Initial Probing Questions</w:t>
            </w:r>
          </w:p>
        </w:tc>
        <w:tc>
          <w:tcPr>
            <w:tcW w:w="4024" w:type="pct"/>
            <w:gridSpan w:val="3"/>
          </w:tcPr>
          <w:p w14:paraId="0A2B3BF9" w14:textId="53D62EAC" w:rsidR="00D24AEA" w:rsidRDefault="00D24AEA" w:rsidP="00D210A7">
            <w:pPr>
              <w:pStyle w:val="ListParagraph"/>
              <w:numPr>
                <w:ilvl w:val="0"/>
                <w:numId w:val="3"/>
              </w:numPr>
              <w:spacing w:line="254" w:lineRule="auto"/>
              <w:rPr>
                <w:rFonts w:ascii="Verdana" w:hAnsi="Verdana"/>
                <w:szCs w:val="24"/>
              </w:rPr>
            </w:pPr>
            <w:r w:rsidRPr="00165275">
              <w:rPr>
                <w:rFonts w:ascii="Verdana" w:hAnsi="Verdana"/>
                <w:b/>
                <w:bCs/>
                <w:szCs w:val="24"/>
              </w:rPr>
              <w:t>R</w:t>
            </w:r>
            <w:r w:rsidRPr="003A7992">
              <w:rPr>
                <w:rFonts w:ascii="Verdana" w:hAnsi="Verdana"/>
                <w:b/>
                <w:bCs/>
                <w:szCs w:val="24"/>
              </w:rPr>
              <w:t>epresentative</w:t>
            </w:r>
            <w:r w:rsidRPr="00EE57B6">
              <w:rPr>
                <w:rFonts w:ascii="Verdana" w:hAnsi="Verdana"/>
                <w:b/>
                <w:bCs/>
                <w:szCs w:val="24"/>
              </w:rPr>
              <w:t>:</w:t>
            </w:r>
            <w:r w:rsidRPr="00165275">
              <w:rPr>
                <w:rFonts w:ascii="Verdana" w:hAnsi="Verdana"/>
                <w:szCs w:val="24"/>
              </w:rPr>
              <w:t xml:space="preserve"> </w:t>
            </w:r>
            <w:r>
              <w:rPr>
                <w:rFonts w:ascii="Verdana" w:hAnsi="Verdana"/>
                <w:szCs w:val="24"/>
              </w:rPr>
              <w:t xml:space="preserve"> </w:t>
            </w:r>
            <w:r>
              <w:rPr>
                <w:rFonts w:ascii="Verdana" w:hAnsi="Verdana"/>
                <w:noProof/>
                <w:szCs w:val="24"/>
              </w:rPr>
              <w:drawing>
                <wp:inline distT="0" distB="0" distL="0" distR="0" wp14:anchorId="4A83C9AC" wp14:editId="3CDCB848">
                  <wp:extent cx="238158" cy="20957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rFonts w:ascii="Verdana" w:hAnsi="Verdana"/>
                <w:szCs w:val="24"/>
              </w:rPr>
              <w:t xml:space="preserve"> </w:t>
            </w:r>
            <w:r w:rsidRPr="00165275">
              <w:rPr>
                <w:rFonts w:ascii="Verdana" w:hAnsi="Verdana"/>
                <w:szCs w:val="24"/>
              </w:rPr>
              <w:t>Looking at your account I’m not seeing previous fills for either medication, are these new prescriptions?</w:t>
            </w:r>
          </w:p>
          <w:p w14:paraId="171CFF27" w14:textId="5AC966CE" w:rsidR="00D24AEA" w:rsidRPr="00165275" w:rsidRDefault="00D24AEA" w:rsidP="003A7992">
            <w:pPr>
              <w:pStyle w:val="ListParagraph"/>
              <w:spacing w:line="254" w:lineRule="auto"/>
              <w:rPr>
                <w:rFonts w:ascii="Verdana" w:hAnsi="Verdana"/>
                <w:szCs w:val="24"/>
              </w:rPr>
            </w:pPr>
            <w:r w:rsidRPr="003A7992">
              <w:rPr>
                <w:rFonts w:ascii="Verdana" w:hAnsi="Verdana"/>
                <w:b/>
                <w:bCs/>
                <w:szCs w:val="24"/>
              </w:rPr>
              <w:t>N</w:t>
            </w:r>
            <w:r>
              <w:rPr>
                <w:rFonts w:ascii="Verdana" w:hAnsi="Verdana"/>
                <w:b/>
                <w:bCs/>
                <w:szCs w:val="24"/>
              </w:rPr>
              <w:t>ote</w:t>
            </w:r>
            <w:r w:rsidRPr="00EE57B6">
              <w:rPr>
                <w:rFonts w:ascii="Verdana" w:hAnsi="Verdana"/>
                <w:b/>
                <w:bCs/>
                <w:szCs w:val="24"/>
              </w:rPr>
              <w:t>:</w:t>
            </w:r>
            <w:r w:rsidRPr="00165275">
              <w:rPr>
                <w:rFonts w:ascii="Verdana" w:hAnsi="Verdana"/>
                <w:szCs w:val="24"/>
              </w:rPr>
              <w:t xml:space="preserve"> </w:t>
            </w:r>
            <w:r>
              <w:rPr>
                <w:rFonts w:ascii="Verdana" w:hAnsi="Verdana"/>
                <w:szCs w:val="24"/>
              </w:rPr>
              <w:t xml:space="preserve"> I</w:t>
            </w:r>
            <w:r w:rsidRPr="00165275">
              <w:rPr>
                <w:rFonts w:ascii="Verdana" w:hAnsi="Verdana"/>
                <w:szCs w:val="24"/>
              </w:rPr>
              <w:t>n our scenario</w:t>
            </w:r>
            <w:r>
              <w:rPr>
                <w:rFonts w:ascii="Verdana" w:hAnsi="Verdana"/>
                <w:szCs w:val="24"/>
              </w:rPr>
              <w:t>,</w:t>
            </w:r>
            <w:r w:rsidRPr="00165275">
              <w:rPr>
                <w:rFonts w:ascii="Verdana" w:hAnsi="Verdana"/>
                <w:szCs w:val="24"/>
              </w:rPr>
              <w:t xml:space="preserve"> the member is filling brand new prescriptions.</w:t>
            </w:r>
          </w:p>
        </w:tc>
      </w:tr>
      <w:tr w:rsidR="000714F0" w14:paraId="0187767E" w14:textId="77777777" w:rsidTr="001B57A8">
        <w:tc>
          <w:tcPr>
            <w:tcW w:w="976" w:type="pct"/>
          </w:tcPr>
          <w:p w14:paraId="4850CAF7" w14:textId="198A05AC" w:rsidR="00D24AEA" w:rsidRPr="00D24AEA" w:rsidRDefault="00D24AEA" w:rsidP="00D24AEA">
            <w:pPr>
              <w:spacing w:line="276" w:lineRule="auto"/>
              <w:rPr>
                <w:szCs w:val="24"/>
              </w:rPr>
            </w:pPr>
            <w:bookmarkStart w:id="15" w:name="OLE_LINK16"/>
            <w:bookmarkStart w:id="16" w:name="OLE_LINK17"/>
            <w:bookmarkStart w:id="17" w:name="OLE_LINK18"/>
            <w:r w:rsidRPr="00667CAA">
              <w:rPr>
                <w:b/>
                <w:bCs/>
                <w:szCs w:val="24"/>
              </w:rPr>
              <w:t xml:space="preserve">Assessing the Situation (i.e., </w:t>
            </w:r>
            <w:bookmarkEnd w:id="15"/>
            <w:r w:rsidRPr="00667CAA">
              <w:rPr>
                <w:b/>
                <w:bCs/>
                <w:szCs w:val="24"/>
              </w:rPr>
              <w:t>what do you know and where could it take you)</w:t>
            </w:r>
            <w:bookmarkEnd w:id="16"/>
            <w:bookmarkEnd w:id="17"/>
          </w:p>
        </w:tc>
        <w:tc>
          <w:tcPr>
            <w:tcW w:w="4024" w:type="pct"/>
            <w:gridSpan w:val="3"/>
          </w:tcPr>
          <w:p w14:paraId="0C22A33F" w14:textId="30F87FEF" w:rsidR="00D24AEA" w:rsidRPr="00165275" w:rsidRDefault="00D24AEA" w:rsidP="00446049">
            <w:pPr>
              <w:pStyle w:val="ListParagraph"/>
              <w:numPr>
                <w:ilvl w:val="0"/>
                <w:numId w:val="3"/>
              </w:numPr>
              <w:spacing w:line="276" w:lineRule="auto"/>
              <w:rPr>
                <w:rFonts w:ascii="Verdana" w:hAnsi="Verdana"/>
                <w:szCs w:val="24"/>
              </w:rPr>
            </w:pPr>
            <w:r w:rsidRPr="00165275">
              <w:rPr>
                <w:rFonts w:ascii="Verdana" w:hAnsi="Verdana"/>
                <w:szCs w:val="24"/>
              </w:rPr>
              <w:t xml:space="preserve">Always run a Test Claim to confirm the rejection reasons, using the applicable days’ supply details. </w:t>
            </w:r>
          </w:p>
          <w:p w14:paraId="27DD69E6" w14:textId="32761896" w:rsidR="00D24AEA" w:rsidRPr="00165275" w:rsidRDefault="00D24AEA" w:rsidP="00446049">
            <w:pPr>
              <w:pStyle w:val="ListParagraph"/>
              <w:numPr>
                <w:ilvl w:val="0"/>
                <w:numId w:val="3"/>
              </w:numPr>
              <w:spacing w:line="276" w:lineRule="auto"/>
              <w:rPr>
                <w:rFonts w:ascii="Verdana" w:hAnsi="Verdana"/>
                <w:szCs w:val="24"/>
              </w:rPr>
            </w:pPr>
            <w:r w:rsidRPr="00165275">
              <w:rPr>
                <w:rFonts w:ascii="Verdana" w:hAnsi="Verdana"/>
                <w:szCs w:val="24"/>
              </w:rPr>
              <w:t xml:space="preserve">During the first quarter of the year, as part of Members using their new benefits, we will encounter expiring Prior Authorization situations. </w:t>
            </w:r>
          </w:p>
          <w:p w14:paraId="7434775D" w14:textId="0866D0B4" w:rsidR="00D24AEA" w:rsidRPr="00165275" w:rsidRDefault="00D24AEA" w:rsidP="00446049">
            <w:pPr>
              <w:pStyle w:val="ListParagraph"/>
              <w:numPr>
                <w:ilvl w:val="0"/>
                <w:numId w:val="3"/>
              </w:numPr>
              <w:spacing w:line="276" w:lineRule="auto"/>
              <w:rPr>
                <w:rFonts w:ascii="Verdana" w:hAnsi="Verdana"/>
                <w:szCs w:val="24"/>
              </w:rPr>
            </w:pPr>
            <w:r w:rsidRPr="00165275">
              <w:rPr>
                <w:rFonts w:ascii="Verdana" w:hAnsi="Verdana"/>
                <w:szCs w:val="24"/>
              </w:rPr>
              <w:t xml:space="preserve">For existing prescriptions, this may have been a Transition Fill situation. </w:t>
            </w:r>
          </w:p>
          <w:p w14:paraId="1BD430AF" w14:textId="5BDC74A0" w:rsidR="00D24AEA" w:rsidRPr="00165275" w:rsidRDefault="00D24AEA" w:rsidP="00446049">
            <w:pPr>
              <w:pStyle w:val="ListParagraph"/>
              <w:numPr>
                <w:ilvl w:val="0"/>
                <w:numId w:val="3"/>
              </w:numPr>
              <w:spacing w:line="276" w:lineRule="auto"/>
              <w:rPr>
                <w:rFonts w:ascii="Verdana" w:hAnsi="Verdana"/>
                <w:szCs w:val="24"/>
              </w:rPr>
            </w:pPr>
            <w:r w:rsidRPr="00165275">
              <w:rPr>
                <w:rFonts w:ascii="Verdana" w:hAnsi="Verdana"/>
                <w:szCs w:val="24"/>
              </w:rPr>
              <w:t xml:space="preserve">If the rejection is tied to a </w:t>
            </w:r>
            <w:r w:rsidRPr="00AA2675">
              <w:rPr>
                <w:rFonts w:ascii="Verdana" w:hAnsi="Verdana"/>
                <w:szCs w:val="24"/>
              </w:rPr>
              <w:t xml:space="preserve">Prior Authorization </w:t>
            </w:r>
            <w:r>
              <w:rPr>
                <w:rFonts w:ascii="Verdana" w:hAnsi="Verdana"/>
                <w:szCs w:val="24"/>
              </w:rPr>
              <w:t>(</w:t>
            </w:r>
            <w:r w:rsidRPr="00165275">
              <w:rPr>
                <w:rFonts w:ascii="Verdana" w:hAnsi="Verdana"/>
                <w:szCs w:val="24"/>
              </w:rPr>
              <w:t>PA</w:t>
            </w:r>
            <w:r>
              <w:rPr>
                <w:rFonts w:ascii="Verdana" w:hAnsi="Verdana"/>
                <w:szCs w:val="24"/>
              </w:rPr>
              <w:t>)</w:t>
            </w:r>
            <w:r w:rsidRPr="00165275">
              <w:rPr>
                <w:rFonts w:ascii="Verdana" w:hAnsi="Verdana"/>
                <w:szCs w:val="24"/>
              </w:rPr>
              <w:t xml:space="preserve"> being needed, you will need to </w:t>
            </w:r>
            <w:r>
              <w:rPr>
                <w:rFonts w:ascii="Verdana" w:hAnsi="Verdana"/>
                <w:szCs w:val="24"/>
              </w:rPr>
              <w:t xml:space="preserve">review the Med D CIF. Once you have confirmed that our PBM handles the CD&amp;A, </w:t>
            </w:r>
            <w:r w:rsidRPr="00165275">
              <w:rPr>
                <w:rFonts w:ascii="Verdana" w:hAnsi="Verdana"/>
                <w:szCs w:val="24"/>
              </w:rPr>
              <w:t>submit a</w:t>
            </w:r>
            <w:r>
              <w:rPr>
                <w:rFonts w:ascii="Verdana" w:hAnsi="Verdana"/>
                <w:szCs w:val="24"/>
              </w:rPr>
              <w:t xml:space="preserve"> Support </w:t>
            </w:r>
            <w:r w:rsidRPr="00165275">
              <w:rPr>
                <w:rFonts w:ascii="Verdana" w:hAnsi="Verdana"/>
                <w:szCs w:val="24"/>
              </w:rPr>
              <w:t>Task to trigger the Coverage Determination process</w:t>
            </w:r>
            <w:r>
              <w:rPr>
                <w:rFonts w:ascii="Verdana" w:hAnsi="Verdana"/>
                <w:szCs w:val="24"/>
              </w:rPr>
              <w:t>.</w:t>
            </w:r>
            <w:r w:rsidRPr="00165275">
              <w:rPr>
                <w:rFonts w:ascii="Verdana" w:hAnsi="Verdana"/>
                <w:szCs w:val="24"/>
              </w:rPr>
              <w:t xml:space="preserve"> </w:t>
            </w:r>
          </w:p>
          <w:p w14:paraId="365C73D4" w14:textId="4840F084" w:rsidR="00D24AEA" w:rsidRPr="00165275" w:rsidRDefault="00D24AEA" w:rsidP="00446049">
            <w:pPr>
              <w:pStyle w:val="ListParagraph"/>
              <w:numPr>
                <w:ilvl w:val="0"/>
                <w:numId w:val="3"/>
              </w:numPr>
              <w:spacing w:line="276" w:lineRule="auto"/>
              <w:rPr>
                <w:rFonts w:ascii="Verdana" w:hAnsi="Verdana"/>
                <w:szCs w:val="24"/>
              </w:rPr>
            </w:pPr>
            <w:r w:rsidRPr="00165275">
              <w:rPr>
                <w:rFonts w:ascii="Verdana" w:hAnsi="Verdana"/>
                <w:szCs w:val="24"/>
              </w:rPr>
              <w:t xml:space="preserve">If the medication is rejected for non-formulary and the member wants to discuss covered formulary alternatives, assist them on all other topics and then </w:t>
            </w:r>
            <w:r w:rsidR="006A32D8">
              <w:rPr>
                <w:rFonts w:ascii="Verdana" w:hAnsi="Verdana"/>
                <w:szCs w:val="24"/>
              </w:rPr>
              <w:t>run a test claim for alternative medication</w:t>
            </w:r>
            <w:r w:rsidR="00115081">
              <w:rPr>
                <w:rFonts w:ascii="Verdana" w:hAnsi="Verdana"/>
                <w:szCs w:val="24"/>
              </w:rPr>
              <w:t xml:space="preserve">. Refer to </w:t>
            </w:r>
            <w:hyperlink r:id="rId9" w:anchor="!/view?docid=b3dbfb44-1c9e-47a6-b8f4-6010f553731b" w:history="1">
              <w:r w:rsidR="00115081" w:rsidRPr="00115081">
                <w:rPr>
                  <w:rStyle w:val="Hyperlink"/>
                  <w:rFonts w:ascii="Verdana" w:hAnsi="Verdana"/>
                  <w:szCs w:val="24"/>
                </w:rPr>
                <w:t>Compass - Viewing and Running Test Claims for Alternative Rx(s) (056849)</w:t>
              </w:r>
            </w:hyperlink>
            <w:r w:rsidRPr="00165275">
              <w:rPr>
                <w:rFonts w:ascii="Verdana" w:hAnsi="Verdana"/>
                <w:szCs w:val="24"/>
              </w:rPr>
              <w:t xml:space="preserve">. </w:t>
            </w:r>
          </w:p>
          <w:p w14:paraId="13D46615" w14:textId="42BE84F7" w:rsidR="00D24AEA" w:rsidRPr="00165275" w:rsidRDefault="00D24AEA" w:rsidP="00446049">
            <w:pPr>
              <w:pStyle w:val="ListParagraph"/>
              <w:numPr>
                <w:ilvl w:val="0"/>
                <w:numId w:val="3"/>
              </w:numPr>
              <w:spacing w:line="276" w:lineRule="auto"/>
              <w:rPr>
                <w:rFonts w:ascii="Verdana" w:hAnsi="Verdana"/>
                <w:szCs w:val="24"/>
              </w:rPr>
            </w:pPr>
            <w:r w:rsidRPr="00165275">
              <w:rPr>
                <w:rFonts w:ascii="Verdana" w:hAnsi="Verdana"/>
                <w:szCs w:val="24"/>
              </w:rPr>
              <w:t xml:space="preserve">Test Claim rejection details may indicate the medication is covered under their Part B benefits. </w:t>
            </w:r>
          </w:p>
          <w:p w14:paraId="565CF3D7" w14:textId="0F7D6B5E" w:rsidR="00D24AEA" w:rsidRPr="00165275" w:rsidRDefault="00D24AEA" w:rsidP="00446049">
            <w:pPr>
              <w:pStyle w:val="ListParagraph"/>
              <w:numPr>
                <w:ilvl w:val="0"/>
                <w:numId w:val="3"/>
              </w:numPr>
              <w:spacing w:line="276" w:lineRule="auto"/>
              <w:rPr>
                <w:rFonts w:ascii="Verdana" w:hAnsi="Verdana"/>
                <w:szCs w:val="24"/>
              </w:rPr>
            </w:pPr>
            <w:r w:rsidRPr="00165275">
              <w:rPr>
                <w:rFonts w:ascii="Verdana" w:hAnsi="Verdana"/>
                <w:szCs w:val="24"/>
              </w:rPr>
              <w:t xml:space="preserve">Always verify the Prior Authorization (PA) status on the </w:t>
            </w:r>
            <w:r w:rsidRPr="0022195F">
              <w:rPr>
                <w:rFonts w:ascii="Verdana" w:hAnsi="Verdana"/>
                <w:b/>
                <w:bCs/>
                <w:szCs w:val="24"/>
              </w:rPr>
              <w:t>Override/PA History</w:t>
            </w:r>
            <w:r w:rsidRPr="00165275">
              <w:rPr>
                <w:rFonts w:ascii="Verdana" w:hAnsi="Verdana"/>
                <w:szCs w:val="24"/>
              </w:rPr>
              <w:t xml:space="preserve"> </w:t>
            </w:r>
            <w:r>
              <w:rPr>
                <w:rFonts w:ascii="Verdana" w:hAnsi="Verdana"/>
                <w:szCs w:val="24"/>
              </w:rPr>
              <w:t xml:space="preserve">hyperlink, </w:t>
            </w:r>
            <w:r w:rsidRPr="00165275">
              <w:rPr>
                <w:rFonts w:ascii="Verdana" w:hAnsi="Verdana"/>
                <w:szCs w:val="24"/>
              </w:rPr>
              <w:t>it is possible the claim was run before a PA was approved, it could still be pending approval or the drug details on the claim do not exactly match the PA</w:t>
            </w:r>
            <w:r>
              <w:rPr>
                <w:rFonts w:ascii="Verdana" w:hAnsi="Verdana"/>
                <w:szCs w:val="24"/>
              </w:rPr>
              <w:t xml:space="preserve"> (</w:t>
            </w:r>
            <w:r w:rsidRPr="0022195F">
              <w:rPr>
                <w:rFonts w:ascii="Verdana" w:hAnsi="Verdana"/>
                <w:b/>
                <w:bCs/>
                <w:szCs w:val="24"/>
              </w:rPr>
              <w:t xml:space="preserve">Example: </w:t>
            </w:r>
            <w:r>
              <w:rPr>
                <w:rFonts w:ascii="Verdana" w:hAnsi="Verdana"/>
                <w:szCs w:val="24"/>
              </w:rPr>
              <w:t xml:space="preserve"> Tab vs. cap)</w:t>
            </w:r>
            <w:r w:rsidRPr="00165275">
              <w:rPr>
                <w:rFonts w:ascii="Verdana" w:hAnsi="Verdana"/>
                <w:szCs w:val="24"/>
              </w:rPr>
              <w:t>.</w:t>
            </w:r>
          </w:p>
          <w:p w14:paraId="5455FAE8" w14:textId="395AE5A7" w:rsidR="00D24AEA" w:rsidRPr="00165275" w:rsidRDefault="00D24AEA" w:rsidP="00446049">
            <w:pPr>
              <w:pStyle w:val="ListParagraph"/>
              <w:numPr>
                <w:ilvl w:val="0"/>
                <w:numId w:val="3"/>
              </w:numPr>
              <w:spacing w:line="276" w:lineRule="auto"/>
              <w:rPr>
                <w:rFonts w:ascii="Verdana" w:hAnsi="Verdana"/>
                <w:szCs w:val="24"/>
              </w:rPr>
            </w:pPr>
            <w:r w:rsidRPr="00165275">
              <w:rPr>
                <w:rFonts w:ascii="Verdana" w:hAnsi="Verdana"/>
                <w:szCs w:val="24"/>
              </w:rPr>
              <w:t>Check the CIF if the rejection is for Plan Limitations. For example, they may only be able to fill for 60 days but the script is for 90 days, or they may only be allowed a specific number of fills at Retail.</w:t>
            </w:r>
          </w:p>
        </w:tc>
      </w:tr>
      <w:tr w:rsidR="00D24AEA" w14:paraId="79C36DB3" w14:textId="77777777" w:rsidTr="001B57A8">
        <w:tc>
          <w:tcPr>
            <w:tcW w:w="976" w:type="pct"/>
          </w:tcPr>
          <w:p w14:paraId="38AD5334" w14:textId="750CB6E5" w:rsidR="00D24AEA" w:rsidRPr="00D24AEA" w:rsidRDefault="00D24AEA" w:rsidP="00D24AEA">
            <w:pPr>
              <w:spacing w:line="276" w:lineRule="auto"/>
              <w:rPr>
                <w:szCs w:val="24"/>
              </w:rPr>
            </w:pPr>
            <w:r w:rsidRPr="00165275">
              <w:rPr>
                <w:b/>
                <w:bCs/>
                <w:szCs w:val="24"/>
              </w:rPr>
              <w:t xml:space="preserve">Differentiating between a Prior Authorization and Exceptions  </w:t>
            </w:r>
          </w:p>
        </w:tc>
        <w:tc>
          <w:tcPr>
            <w:tcW w:w="4024" w:type="pct"/>
            <w:gridSpan w:val="3"/>
          </w:tcPr>
          <w:p w14:paraId="1D2A68F1" w14:textId="64D0C89E" w:rsidR="00D24AEA" w:rsidRPr="00165275" w:rsidRDefault="00D24AEA" w:rsidP="00446049">
            <w:pPr>
              <w:pStyle w:val="ListParagraph"/>
              <w:numPr>
                <w:ilvl w:val="0"/>
                <w:numId w:val="4"/>
              </w:numPr>
              <w:spacing w:line="276" w:lineRule="auto"/>
              <w:rPr>
                <w:rFonts w:ascii="Verdana" w:hAnsi="Verdana"/>
                <w:szCs w:val="24"/>
              </w:rPr>
            </w:pPr>
            <w:r w:rsidRPr="00165275">
              <w:rPr>
                <w:rFonts w:ascii="Verdana" w:hAnsi="Verdana"/>
                <w:szCs w:val="24"/>
              </w:rPr>
              <w:t xml:space="preserve">All Coverage Determination situations are Prior Authorizations (PA) however not all PAs are Coverage Determination situations. </w:t>
            </w:r>
          </w:p>
          <w:p w14:paraId="7F08A83C" w14:textId="083BB390" w:rsidR="00D24AEA" w:rsidRPr="00165275" w:rsidRDefault="00D24AEA" w:rsidP="00446049">
            <w:pPr>
              <w:pStyle w:val="ListParagraph"/>
              <w:numPr>
                <w:ilvl w:val="0"/>
                <w:numId w:val="4"/>
              </w:numPr>
              <w:spacing w:line="276" w:lineRule="auto"/>
              <w:rPr>
                <w:rFonts w:ascii="Verdana" w:hAnsi="Verdana"/>
                <w:szCs w:val="24"/>
              </w:rPr>
            </w:pPr>
            <w:r w:rsidRPr="00165275">
              <w:rPr>
                <w:rFonts w:ascii="Verdana" w:hAnsi="Verdana"/>
                <w:szCs w:val="24"/>
              </w:rPr>
              <w:t>Prior Authorization examples are Step Therapy &amp; Quantity Limits. In these situations, the drug is covered on the member’s formulary, however they must meet pre-qualifications before they can fill the initial prescription.</w:t>
            </w:r>
          </w:p>
          <w:p w14:paraId="0A2AF8F7" w14:textId="0460A4B1" w:rsidR="00D24AEA" w:rsidRPr="00165275" w:rsidRDefault="00D24AEA" w:rsidP="00446049">
            <w:pPr>
              <w:pStyle w:val="ListParagraph"/>
              <w:numPr>
                <w:ilvl w:val="0"/>
                <w:numId w:val="4"/>
              </w:numPr>
              <w:spacing w:line="276" w:lineRule="auto"/>
              <w:rPr>
                <w:rFonts w:ascii="Verdana" w:hAnsi="Verdana"/>
                <w:szCs w:val="24"/>
              </w:rPr>
            </w:pPr>
            <w:r w:rsidRPr="00165275">
              <w:rPr>
                <w:rFonts w:ascii="Verdana" w:hAnsi="Verdana"/>
                <w:szCs w:val="24"/>
              </w:rPr>
              <w:t xml:space="preserve">Coverage Determination includes the scenarios above and Formulary Exceptions &amp; Tiering Exceptions, examples are: </w:t>
            </w:r>
          </w:p>
          <w:p w14:paraId="2D9DD640" w14:textId="07E1E3E6" w:rsidR="00D24AEA" w:rsidRPr="00165275" w:rsidRDefault="00D24AEA" w:rsidP="00446049">
            <w:pPr>
              <w:pStyle w:val="ListParagraph"/>
              <w:numPr>
                <w:ilvl w:val="1"/>
                <w:numId w:val="4"/>
              </w:numPr>
              <w:spacing w:line="276" w:lineRule="auto"/>
              <w:rPr>
                <w:rFonts w:ascii="Verdana" w:hAnsi="Verdana"/>
                <w:szCs w:val="24"/>
              </w:rPr>
            </w:pPr>
            <w:r w:rsidRPr="00165275">
              <w:rPr>
                <w:rFonts w:ascii="Verdana" w:hAnsi="Verdana"/>
                <w:szCs w:val="24"/>
              </w:rPr>
              <w:t>Formulary Exception (FE) is requested when a drug that is not covered on the member’s formulary and they want to get it included/covered. When needed</w:t>
            </w:r>
            <w:r w:rsidR="002522B9">
              <w:rPr>
                <w:rFonts w:ascii="Verdana" w:hAnsi="Verdana"/>
                <w:szCs w:val="24"/>
              </w:rPr>
              <w:t xml:space="preserve">, run a test claim for alternative medication. Refer to </w:t>
            </w:r>
            <w:hyperlink r:id="rId10" w:anchor="!/view?docid=b3dbfb44-1c9e-47a6-b8f4-6010f553731b" w:history="1">
              <w:r w:rsidR="002522B9" w:rsidRPr="00115081">
                <w:rPr>
                  <w:rStyle w:val="Hyperlink"/>
                  <w:rFonts w:ascii="Verdana" w:hAnsi="Verdana"/>
                  <w:szCs w:val="24"/>
                </w:rPr>
                <w:t>Compass - Viewing and Running Test Claims for Alternative Rx(s) (056849)</w:t>
              </w:r>
            </w:hyperlink>
            <w:r w:rsidRPr="00165275">
              <w:rPr>
                <w:rFonts w:ascii="Verdana" w:hAnsi="Verdana"/>
                <w:szCs w:val="24"/>
              </w:rPr>
              <w:t xml:space="preserve">. </w:t>
            </w:r>
          </w:p>
          <w:p w14:paraId="6F85C42A" w14:textId="6E9FFAE4" w:rsidR="00D24AEA" w:rsidRPr="00165275" w:rsidRDefault="00D24AEA" w:rsidP="00446049">
            <w:pPr>
              <w:pStyle w:val="ListParagraph"/>
              <w:numPr>
                <w:ilvl w:val="1"/>
                <w:numId w:val="4"/>
              </w:numPr>
              <w:spacing w:line="276" w:lineRule="auto"/>
              <w:rPr>
                <w:rFonts w:ascii="Verdana" w:hAnsi="Verdana"/>
                <w:szCs w:val="24"/>
              </w:rPr>
            </w:pPr>
            <w:r w:rsidRPr="00165275">
              <w:rPr>
                <w:rFonts w:ascii="Verdana" w:hAnsi="Verdana"/>
                <w:szCs w:val="24"/>
              </w:rPr>
              <w:t>Tiering Exception is requested when a drug is fully covered on the member’s formulary however the member is looking to lower the tier of the drug to make it more cost effective.</w:t>
            </w:r>
          </w:p>
        </w:tc>
      </w:tr>
      <w:tr w:rsidR="00D24AEA" w14:paraId="5FF51B1D" w14:textId="77777777" w:rsidTr="001B57A8">
        <w:tc>
          <w:tcPr>
            <w:tcW w:w="976" w:type="pct"/>
          </w:tcPr>
          <w:p w14:paraId="3F701B7D" w14:textId="57E2EA9A" w:rsidR="00D24AEA" w:rsidRPr="00FC263E" w:rsidDel="0019172B" w:rsidRDefault="00D24AEA" w:rsidP="00EC19E3">
            <w:pPr>
              <w:rPr>
                <w:b/>
                <w:bCs/>
              </w:rPr>
            </w:pPr>
            <w:r w:rsidRPr="00FC263E">
              <w:rPr>
                <w:b/>
                <w:bCs/>
              </w:rPr>
              <w:t>Preparing to Educate the Member</w:t>
            </w:r>
          </w:p>
        </w:tc>
        <w:tc>
          <w:tcPr>
            <w:tcW w:w="4024" w:type="pct"/>
            <w:gridSpan w:val="3"/>
          </w:tcPr>
          <w:p w14:paraId="5C134BCE" w14:textId="0E149AFE" w:rsidR="00D24AEA" w:rsidRPr="00165275" w:rsidRDefault="00D24AEA" w:rsidP="00165275">
            <w:pPr>
              <w:pStyle w:val="NoSpacing"/>
              <w:spacing w:line="256" w:lineRule="auto"/>
              <w:rPr>
                <w:rFonts w:ascii="Verdana" w:hAnsi="Verdana" w:cstheme="minorBidi"/>
                <w:szCs w:val="24"/>
              </w:rPr>
            </w:pPr>
            <w:r w:rsidRPr="00165275">
              <w:rPr>
                <w:rFonts w:ascii="Verdana" w:hAnsi="Verdana" w:cstheme="minorBidi"/>
                <w:b/>
                <w:bCs/>
                <w:szCs w:val="24"/>
              </w:rPr>
              <w:t>N</w:t>
            </w:r>
            <w:r>
              <w:rPr>
                <w:rFonts w:ascii="Verdana" w:hAnsi="Verdana" w:cstheme="minorBidi"/>
                <w:b/>
                <w:bCs/>
                <w:szCs w:val="24"/>
              </w:rPr>
              <w:t>ote</w:t>
            </w:r>
            <w:r w:rsidRPr="00EE57B6">
              <w:rPr>
                <w:rFonts w:ascii="Verdana" w:hAnsi="Verdana" w:cstheme="minorBidi"/>
                <w:b/>
                <w:bCs/>
                <w:szCs w:val="24"/>
              </w:rPr>
              <w:t>:</w:t>
            </w:r>
            <w:r w:rsidRPr="00165275">
              <w:rPr>
                <w:rFonts w:ascii="Verdana" w:hAnsi="Verdana" w:cstheme="minorBidi"/>
                <w:szCs w:val="24"/>
              </w:rPr>
              <w:t xml:space="preserve"> </w:t>
            </w:r>
            <w:r>
              <w:rPr>
                <w:rFonts w:ascii="Verdana" w:hAnsi="Verdana" w:cstheme="minorBidi"/>
                <w:szCs w:val="24"/>
              </w:rPr>
              <w:t xml:space="preserve"> T</w:t>
            </w:r>
            <w:r w:rsidRPr="00165275">
              <w:rPr>
                <w:rFonts w:ascii="Verdana" w:hAnsi="Verdana" w:cstheme="minorBidi"/>
                <w:szCs w:val="24"/>
              </w:rPr>
              <w:t>hese actions would be completed for both drugs.</w:t>
            </w:r>
          </w:p>
          <w:p w14:paraId="6B4FFC51" w14:textId="77777777" w:rsidR="00D24AEA" w:rsidRPr="00165275" w:rsidRDefault="00D24AEA" w:rsidP="00165275">
            <w:pPr>
              <w:pStyle w:val="NoSpacing"/>
              <w:spacing w:line="256" w:lineRule="auto"/>
              <w:ind w:left="720"/>
              <w:rPr>
                <w:rFonts w:ascii="Verdana" w:hAnsi="Verdana" w:cstheme="minorBidi"/>
                <w:szCs w:val="24"/>
              </w:rPr>
            </w:pPr>
          </w:p>
          <w:p w14:paraId="768FB180" w14:textId="79000B3D" w:rsidR="00D24AEA" w:rsidRPr="00165275" w:rsidRDefault="00D24AEA" w:rsidP="00D210A7">
            <w:pPr>
              <w:pStyle w:val="NoSpacing"/>
              <w:numPr>
                <w:ilvl w:val="0"/>
                <w:numId w:val="6"/>
              </w:numPr>
              <w:spacing w:line="256" w:lineRule="auto"/>
              <w:rPr>
                <w:rFonts w:ascii="Verdana" w:hAnsi="Verdana" w:cstheme="minorBidi"/>
                <w:szCs w:val="24"/>
              </w:rPr>
            </w:pPr>
            <w:r w:rsidRPr="00165275">
              <w:rPr>
                <w:rFonts w:ascii="Verdana" w:hAnsi="Verdana" w:cstheme="minorBidi"/>
                <w:szCs w:val="24"/>
              </w:rPr>
              <w:t>Run Test Claim</w:t>
            </w:r>
            <w:r>
              <w:rPr>
                <w:rFonts w:ascii="Verdana" w:hAnsi="Verdana" w:cstheme="minorBidi"/>
                <w:szCs w:val="24"/>
              </w:rPr>
              <w:t>(</w:t>
            </w:r>
            <w:r w:rsidRPr="00165275">
              <w:rPr>
                <w:rFonts w:ascii="Verdana" w:hAnsi="Verdana" w:cstheme="minorBidi"/>
                <w:szCs w:val="24"/>
              </w:rPr>
              <w:t>s</w:t>
            </w:r>
            <w:r>
              <w:rPr>
                <w:rFonts w:ascii="Verdana" w:hAnsi="Verdana" w:cstheme="minorBidi"/>
                <w:szCs w:val="24"/>
              </w:rPr>
              <w:t>)</w:t>
            </w:r>
            <w:r w:rsidRPr="00165275">
              <w:rPr>
                <w:rFonts w:ascii="Verdana" w:hAnsi="Verdana" w:cstheme="minorBidi"/>
                <w:szCs w:val="24"/>
              </w:rPr>
              <w:t xml:space="preserve"> to confirm the reason(s) for the claim rejections. </w:t>
            </w:r>
            <w:r>
              <w:rPr>
                <w:rFonts w:ascii="Verdana" w:hAnsi="Verdana"/>
                <w:szCs w:val="24"/>
              </w:rPr>
              <w:t xml:space="preserve">Refer to </w:t>
            </w:r>
            <w:hyperlink r:id="rId11" w:anchor="!/view?docid=60c20ea0-1d07-46e3-809a-b54734b80fbe" w:history="1">
              <w:r w:rsidRPr="0027514D">
                <w:rPr>
                  <w:rStyle w:val="Hyperlink"/>
                  <w:rFonts w:ascii="Verdana" w:hAnsi="Verdana"/>
                  <w:szCs w:val="24"/>
                </w:rPr>
                <w:t xml:space="preserve">Compass - Test Claims </w:t>
              </w:r>
              <w:r>
                <w:rPr>
                  <w:rStyle w:val="Hyperlink"/>
                  <w:rFonts w:ascii="Verdana" w:hAnsi="Verdana"/>
                  <w:szCs w:val="24"/>
                </w:rPr>
                <w:t>(</w:t>
              </w:r>
              <w:r w:rsidRPr="0027514D">
                <w:rPr>
                  <w:rStyle w:val="Hyperlink"/>
                  <w:rFonts w:ascii="Verdana" w:hAnsi="Verdana"/>
                  <w:szCs w:val="24"/>
                </w:rPr>
                <w:t>050041</w:t>
              </w:r>
            </w:hyperlink>
            <w:r>
              <w:rPr>
                <w:rStyle w:val="Hyperlink"/>
                <w:rFonts w:ascii="Verdana" w:hAnsi="Verdana"/>
                <w:szCs w:val="24"/>
              </w:rPr>
              <w:t>)</w:t>
            </w:r>
            <w:r w:rsidRPr="0027514D">
              <w:rPr>
                <w:rFonts w:ascii="Verdana" w:hAnsi="Verdana"/>
                <w:szCs w:val="24"/>
              </w:rPr>
              <w:t xml:space="preserve"> </w:t>
            </w:r>
            <w:r>
              <w:rPr>
                <w:rFonts w:ascii="Verdana" w:hAnsi="Verdana"/>
                <w:szCs w:val="24"/>
              </w:rPr>
              <w:t>as needed.</w:t>
            </w:r>
          </w:p>
          <w:p w14:paraId="5C3F12BD" w14:textId="59EB0602" w:rsidR="00D24AEA" w:rsidRPr="0097440C" w:rsidRDefault="00D24AEA" w:rsidP="0097440C">
            <w:pPr>
              <w:pStyle w:val="ListParagraph"/>
              <w:numPr>
                <w:ilvl w:val="1"/>
                <w:numId w:val="7"/>
              </w:numPr>
              <w:rPr>
                <w:rFonts w:ascii="Verdana" w:hAnsi="Verdana" w:cstheme="minorBidi"/>
                <w:szCs w:val="24"/>
              </w:rPr>
            </w:pPr>
            <w:r>
              <w:rPr>
                <w:rFonts w:ascii="Verdana" w:hAnsi="Verdana" w:cstheme="minorBidi"/>
                <w:szCs w:val="24"/>
              </w:rPr>
              <w:t>Click</w:t>
            </w:r>
            <w:r w:rsidRPr="0097440C">
              <w:rPr>
                <w:rFonts w:ascii="Verdana" w:hAnsi="Verdana" w:cstheme="minorBidi"/>
                <w:szCs w:val="24"/>
              </w:rPr>
              <w:t xml:space="preserve"> the </w:t>
            </w:r>
            <w:r w:rsidRPr="00EE57B6">
              <w:rPr>
                <w:rFonts w:ascii="Verdana" w:hAnsi="Verdana" w:cstheme="minorBidi"/>
                <w:b/>
                <w:bCs/>
                <w:szCs w:val="24"/>
              </w:rPr>
              <w:t>Create Test Claim</w:t>
            </w:r>
            <w:r w:rsidRPr="0097440C">
              <w:rPr>
                <w:rFonts w:ascii="Verdana" w:hAnsi="Verdana" w:cstheme="minorBidi"/>
                <w:szCs w:val="24"/>
              </w:rPr>
              <w:t xml:space="preserve"> button</w:t>
            </w:r>
            <w:r>
              <w:rPr>
                <w:rFonts w:ascii="Verdana" w:hAnsi="Verdana" w:cstheme="minorBidi"/>
                <w:szCs w:val="24"/>
              </w:rPr>
              <w:t xml:space="preserve"> from the </w:t>
            </w:r>
            <w:r w:rsidRPr="00EE57B6">
              <w:rPr>
                <w:rFonts w:ascii="Verdana" w:hAnsi="Verdana" w:cstheme="minorBidi"/>
                <w:b/>
                <w:bCs/>
                <w:szCs w:val="24"/>
              </w:rPr>
              <w:t xml:space="preserve">Claims </w:t>
            </w:r>
            <w:r>
              <w:rPr>
                <w:rFonts w:ascii="Verdana" w:hAnsi="Verdana" w:cstheme="minorBidi"/>
                <w:szCs w:val="24"/>
              </w:rPr>
              <w:t>table on the Claims Landing Page.</w:t>
            </w:r>
          </w:p>
          <w:p w14:paraId="520DF427" w14:textId="45B64B4D" w:rsidR="00D24AEA" w:rsidRPr="00000F45" w:rsidRDefault="00D24AEA" w:rsidP="00000F45">
            <w:pPr>
              <w:pStyle w:val="ListParagraph"/>
              <w:numPr>
                <w:ilvl w:val="1"/>
                <w:numId w:val="7"/>
              </w:numPr>
              <w:rPr>
                <w:rFonts w:ascii="Verdana" w:hAnsi="Verdana" w:cstheme="minorBidi"/>
                <w:szCs w:val="24"/>
              </w:rPr>
            </w:pPr>
            <w:r>
              <w:rPr>
                <w:rFonts w:ascii="Verdana" w:hAnsi="Verdana" w:cstheme="minorBidi"/>
                <w:szCs w:val="24"/>
              </w:rPr>
              <w:t>Process the Test Claim using today’s date.</w:t>
            </w:r>
          </w:p>
          <w:p w14:paraId="085B26B0" w14:textId="00F77DA6" w:rsidR="00D24AEA" w:rsidRPr="00165275" w:rsidRDefault="00D24AEA" w:rsidP="00D210A7">
            <w:pPr>
              <w:pStyle w:val="NoSpacing"/>
              <w:numPr>
                <w:ilvl w:val="1"/>
                <w:numId w:val="7"/>
              </w:numPr>
              <w:spacing w:line="256" w:lineRule="auto"/>
              <w:rPr>
                <w:rFonts w:ascii="Verdana" w:hAnsi="Verdana" w:cstheme="minorBidi"/>
                <w:szCs w:val="24"/>
              </w:rPr>
            </w:pPr>
            <w:r w:rsidRPr="00165275">
              <w:rPr>
                <w:rFonts w:ascii="Verdana" w:hAnsi="Verdana" w:cstheme="minorBidi"/>
                <w:szCs w:val="24"/>
              </w:rPr>
              <w:t>View the Test Claim details</w:t>
            </w:r>
            <w:r>
              <w:rPr>
                <w:rFonts w:ascii="Verdana" w:hAnsi="Verdana" w:cstheme="minorBidi"/>
                <w:szCs w:val="24"/>
              </w:rPr>
              <w:t>.</w:t>
            </w:r>
          </w:p>
          <w:p w14:paraId="2BE7F5CC" w14:textId="77777777" w:rsidR="00D24AEA" w:rsidRPr="00165275" w:rsidRDefault="00D24AEA" w:rsidP="00165275">
            <w:pPr>
              <w:pStyle w:val="NoSpacing"/>
              <w:spacing w:line="256" w:lineRule="auto"/>
              <w:ind w:left="720"/>
              <w:rPr>
                <w:rFonts w:ascii="Verdana" w:hAnsi="Verdana" w:cstheme="minorBidi"/>
                <w:szCs w:val="24"/>
              </w:rPr>
            </w:pPr>
          </w:p>
          <w:p w14:paraId="7CCD4E00" w14:textId="2C823A05" w:rsidR="00D24AEA" w:rsidRPr="00165275" w:rsidRDefault="00D24AEA" w:rsidP="00D210A7">
            <w:pPr>
              <w:pStyle w:val="NoSpacing"/>
              <w:numPr>
                <w:ilvl w:val="0"/>
                <w:numId w:val="6"/>
              </w:numPr>
              <w:spacing w:line="256" w:lineRule="auto"/>
              <w:rPr>
                <w:rFonts w:ascii="Verdana" w:hAnsi="Verdana" w:cstheme="minorBidi"/>
                <w:szCs w:val="24"/>
              </w:rPr>
            </w:pPr>
            <w:r w:rsidRPr="00165275">
              <w:rPr>
                <w:rFonts w:ascii="Verdana" w:hAnsi="Verdana" w:cstheme="minorBidi"/>
                <w:szCs w:val="24"/>
              </w:rPr>
              <w:t>Review the actual</w:t>
            </w:r>
            <w:r>
              <w:rPr>
                <w:rFonts w:ascii="Verdana" w:hAnsi="Verdana" w:cstheme="minorBidi"/>
                <w:szCs w:val="24"/>
              </w:rPr>
              <w:t xml:space="preserve"> </w:t>
            </w:r>
            <w:r w:rsidRPr="00165275">
              <w:rPr>
                <w:rFonts w:ascii="Verdana" w:hAnsi="Verdana" w:cstheme="minorBidi"/>
                <w:szCs w:val="24"/>
              </w:rPr>
              <w:t>claim details</w:t>
            </w:r>
            <w:r>
              <w:rPr>
                <w:rFonts w:ascii="Verdana" w:hAnsi="Verdana" w:cstheme="minorBidi"/>
                <w:szCs w:val="24"/>
              </w:rPr>
              <w:t xml:space="preserve">. Refer to </w:t>
            </w:r>
            <w:hyperlink r:id="rId12" w:anchor="!/view?docid=c8f0ac8f-b076-4187-944d-2cf65b0ec799" w:history="1">
              <w:r w:rsidRPr="007A1DDF">
                <w:rPr>
                  <w:rStyle w:val="Hyperlink"/>
                  <w:rFonts w:ascii="Verdana" w:hAnsi="Verdana" w:cstheme="minorBidi"/>
                  <w:szCs w:val="24"/>
                </w:rPr>
                <w:t xml:space="preserve">Compass - Claims Landing Page </w:t>
              </w:r>
              <w:r>
                <w:rPr>
                  <w:rStyle w:val="Hyperlink"/>
                  <w:rFonts w:ascii="Verdana" w:hAnsi="Verdana" w:cstheme="minorBidi"/>
                  <w:szCs w:val="24"/>
                </w:rPr>
                <w:t>(</w:t>
              </w:r>
              <w:r w:rsidRPr="007A1DDF">
                <w:rPr>
                  <w:rStyle w:val="Hyperlink"/>
                  <w:rFonts w:ascii="Verdana" w:hAnsi="Verdana" w:cstheme="minorBidi"/>
                  <w:szCs w:val="24"/>
                </w:rPr>
                <w:t>049993</w:t>
              </w:r>
            </w:hyperlink>
            <w:r>
              <w:rPr>
                <w:rStyle w:val="Hyperlink"/>
                <w:rFonts w:ascii="Verdana" w:hAnsi="Verdana" w:cstheme="minorBidi"/>
                <w:szCs w:val="24"/>
              </w:rPr>
              <w:t>)</w:t>
            </w:r>
            <w:r>
              <w:rPr>
                <w:rFonts w:ascii="Verdana" w:hAnsi="Verdana" w:cstheme="minorBidi"/>
                <w:szCs w:val="24"/>
              </w:rPr>
              <w:t xml:space="preserve"> as needed.</w:t>
            </w:r>
          </w:p>
          <w:p w14:paraId="51F46373" w14:textId="21C75C1E" w:rsidR="00D24AEA" w:rsidRPr="00830B0E" w:rsidRDefault="00D24AEA" w:rsidP="00830B0E">
            <w:pPr>
              <w:pStyle w:val="ListParagraph"/>
              <w:numPr>
                <w:ilvl w:val="1"/>
                <w:numId w:val="6"/>
              </w:numPr>
              <w:rPr>
                <w:rFonts w:ascii="Verdana" w:hAnsi="Verdana" w:cstheme="minorBidi"/>
                <w:szCs w:val="24"/>
              </w:rPr>
            </w:pPr>
            <w:r w:rsidRPr="00830B0E">
              <w:rPr>
                <w:rFonts w:ascii="Verdana" w:hAnsi="Verdana" w:cstheme="minorBidi"/>
                <w:szCs w:val="24"/>
              </w:rPr>
              <w:t xml:space="preserve">Access the rejected claims </w:t>
            </w:r>
            <w:r>
              <w:rPr>
                <w:rFonts w:ascii="Verdana" w:hAnsi="Verdana" w:cstheme="minorBidi"/>
                <w:szCs w:val="24"/>
              </w:rPr>
              <w:t>by clicking</w:t>
            </w:r>
            <w:r w:rsidRPr="00830B0E">
              <w:rPr>
                <w:rFonts w:ascii="Verdana" w:hAnsi="Verdana" w:cstheme="minorBidi"/>
                <w:szCs w:val="24"/>
              </w:rPr>
              <w:t xml:space="preserve"> the </w:t>
            </w:r>
            <w:r w:rsidRPr="00EE57B6">
              <w:rPr>
                <w:rFonts w:ascii="Verdana" w:hAnsi="Verdana" w:cstheme="minorBidi"/>
                <w:b/>
                <w:bCs/>
                <w:szCs w:val="24"/>
              </w:rPr>
              <w:t>Rx #</w:t>
            </w:r>
            <w:r>
              <w:rPr>
                <w:rFonts w:ascii="Verdana" w:hAnsi="Verdana" w:cstheme="minorBidi"/>
                <w:szCs w:val="24"/>
              </w:rPr>
              <w:t xml:space="preserve"> hyperlink from the </w:t>
            </w:r>
            <w:r w:rsidRPr="00EE57B6">
              <w:rPr>
                <w:rFonts w:ascii="Verdana" w:hAnsi="Verdana" w:cstheme="minorBidi"/>
                <w:b/>
                <w:bCs/>
                <w:szCs w:val="24"/>
              </w:rPr>
              <w:t>Claims</w:t>
            </w:r>
            <w:r>
              <w:rPr>
                <w:rFonts w:ascii="Verdana" w:hAnsi="Verdana" w:cstheme="minorBidi"/>
                <w:szCs w:val="24"/>
              </w:rPr>
              <w:t xml:space="preserve"> table on the Claims Landing Page.</w:t>
            </w:r>
          </w:p>
          <w:p w14:paraId="7A1E3A12" w14:textId="1A259C49" w:rsidR="00D24AEA" w:rsidRDefault="00D24AEA" w:rsidP="00D210A7">
            <w:pPr>
              <w:pStyle w:val="NoSpacing"/>
              <w:numPr>
                <w:ilvl w:val="1"/>
                <w:numId w:val="6"/>
              </w:numPr>
              <w:spacing w:line="256" w:lineRule="auto"/>
              <w:rPr>
                <w:rFonts w:ascii="Verdana" w:hAnsi="Verdana" w:cstheme="minorBidi"/>
                <w:szCs w:val="24"/>
              </w:rPr>
            </w:pPr>
            <w:r>
              <w:rPr>
                <w:rFonts w:ascii="Verdana" w:hAnsi="Verdana" w:cstheme="minorBidi"/>
                <w:szCs w:val="24"/>
              </w:rPr>
              <w:t xml:space="preserve">Click the </w:t>
            </w:r>
            <w:r w:rsidRPr="00EE57B6">
              <w:rPr>
                <w:rFonts w:ascii="Verdana" w:hAnsi="Verdana" w:cstheme="minorBidi"/>
                <w:b/>
                <w:bCs/>
                <w:szCs w:val="24"/>
              </w:rPr>
              <w:t>Messaging</w:t>
            </w:r>
            <w:r>
              <w:rPr>
                <w:rFonts w:ascii="Verdana" w:hAnsi="Verdana" w:cstheme="minorBidi"/>
                <w:szCs w:val="24"/>
              </w:rPr>
              <w:t xml:space="preserve"> tab to locate settlement/rejection codes and messaging.</w:t>
            </w:r>
          </w:p>
          <w:p w14:paraId="478DDC73" w14:textId="1D230CF1" w:rsidR="00D24AEA" w:rsidRPr="009A2A17" w:rsidRDefault="00D24AEA" w:rsidP="009A2A17">
            <w:pPr>
              <w:pStyle w:val="NoSpacing"/>
              <w:numPr>
                <w:ilvl w:val="1"/>
                <w:numId w:val="6"/>
              </w:numPr>
              <w:spacing w:line="256" w:lineRule="auto"/>
              <w:rPr>
                <w:rFonts w:ascii="Verdana" w:hAnsi="Verdana" w:cstheme="minorBidi"/>
                <w:szCs w:val="24"/>
              </w:rPr>
            </w:pPr>
            <w:r w:rsidRPr="009A2A17">
              <w:rPr>
                <w:rFonts w:ascii="Verdana" w:hAnsi="Verdana" w:cstheme="minorBidi"/>
                <w:szCs w:val="24"/>
              </w:rPr>
              <w:t>Confirm if the claim rejections are the same as your to-date Test Claim; if they are the same continue, but if the rejections are different (</w:t>
            </w:r>
            <w:r w:rsidRPr="009A2A17">
              <w:rPr>
                <w:rFonts w:ascii="Verdana" w:hAnsi="Verdana" w:cstheme="minorBidi"/>
                <w:b/>
                <w:bCs/>
                <w:szCs w:val="24"/>
              </w:rPr>
              <w:t>Example</w:t>
            </w:r>
            <w:r w:rsidRPr="00EE57B6">
              <w:rPr>
                <w:rFonts w:ascii="Verdana" w:hAnsi="Verdana" w:cstheme="minorBidi"/>
                <w:b/>
                <w:bCs/>
                <w:szCs w:val="24"/>
              </w:rPr>
              <w:t>:</w:t>
            </w:r>
            <w:r w:rsidRPr="009A2A17">
              <w:rPr>
                <w:rFonts w:ascii="Verdana" w:hAnsi="Verdana" w:cstheme="minorBidi"/>
                <w:szCs w:val="24"/>
              </w:rPr>
              <w:t xml:space="preserve"> </w:t>
            </w:r>
            <w:r>
              <w:rPr>
                <w:rFonts w:ascii="Verdana" w:hAnsi="Verdana" w:cstheme="minorBidi"/>
                <w:szCs w:val="24"/>
              </w:rPr>
              <w:t xml:space="preserve"> </w:t>
            </w:r>
            <w:r w:rsidRPr="009A2A17">
              <w:rPr>
                <w:rFonts w:ascii="Verdana" w:hAnsi="Verdana" w:cstheme="minorBidi"/>
                <w:szCs w:val="24"/>
              </w:rPr>
              <w:t>PA vs</w:t>
            </w:r>
            <w:r>
              <w:rPr>
                <w:rFonts w:ascii="Verdana" w:hAnsi="Verdana" w:cstheme="minorBidi"/>
                <w:szCs w:val="24"/>
              </w:rPr>
              <w:t>.</w:t>
            </w:r>
            <w:r w:rsidRPr="009A2A17">
              <w:rPr>
                <w:rFonts w:ascii="Verdana" w:hAnsi="Verdana" w:cstheme="minorBidi"/>
                <w:szCs w:val="24"/>
              </w:rPr>
              <w:t xml:space="preserve"> Refill Too Soon) access those work instructions and assist the member as needed. </w:t>
            </w:r>
          </w:p>
          <w:p w14:paraId="284F0FB4" w14:textId="77777777" w:rsidR="00D24AEA" w:rsidRPr="00165275" w:rsidRDefault="00D24AEA" w:rsidP="00165275">
            <w:pPr>
              <w:pStyle w:val="NoSpacing"/>
              <w:spacing w:line="256" w:lineRule="auto"/>
              <w:ind w:left="720"/>
              <w:rPr>
                <w:rFonts w:ascii="Verdana" w:hAnsi="Verdana" w:cstheme="minorBidi"/>
                <w:szCs w:val="24"/>
              </w:rPr>
            </w:pPr>
          </w:p>
          <w:p w14:paraId="7C1A43C1" w14:textId="20972E5F" w:rsidR="00D24AEA" w:rsidRPr="003A7992" w:rsidRDefault="00D24AEA" w:rsidP="00165275">
            <w:pPr>
              <w:pStyle w:val="NoSpacing"/>
              <w:spacing w:line="256" w:lineRule="auto"/>
              <w:rPr>
                <w:rFonts w:ascii="Verdana" w:hAnsi="Verdana" w:cstheme="minorBidi"/>
                <w:szCs w:val="24"/>
              </w:rPr>
            </w:pPr>
            <w:r w:rsidRPr="00446049">
              <w:rPr>
                <w:rFonts w:ascii="Verdana" w:hAnsi="Verdana" w:cstheme="minorBidi"/>
                <w:szCs w:val="24"/>
              </w:rPr>
              <w:t xml:space="preserve">Refer to: </w:t>
            </w:r>
          </w:p>
          <w:bookmarkStart w:id="18" w:name="OLE_LINK8"/>
          <w:bookmarkStart w:id="19" w:name="OLE_LINK7"/>
          <w:p w14:paraId="16A63B60" w14:textId="38B3A868" w:rsidR="00D24AEA" w:rsidRPr="00590FD2" w:rsidRDefault="00D24AEA" w:rsidP="00D210A7">
            <w:pPr>
              <w:pStyle w:val="NoSpacing"/>
              <w:numPr>
                <w:ilvl w:val="0"/>
                <w:numId w:val="5"/>
              </w:numPr>
              <w:spacing w:line="256" w:lineRule="auto"/>
              <w:rPr>
                <w:rFonts w:ascii="Verdana" w:hAnsi="Verdana" w:cstheme="minorBidi"/>
                <w:szCs w:val="24"/>
              </w:rPr>
            </w:pPr>
            <w:r>
              <w:rPr>
                <w:rStyle w:val="Hyperlink"/>
                <w:rFonts w:ascii="Verdana" w:hAnsi="Verdana" w:cstheme="minorBidi"/>
                <w:szCs w:val="24"/>
              </w:rPr>
              <w:fldChar w:fldCharType="begin"/>
            </w:r>
            <w:r>
              <w:rPr>
                <w:rStyle w:val="Hyperlink"/>
                <w:rFonts w:ascii="Verdana" w:hAnsi="Verdana" w:cstheme="minorBidi"/>
                <w:szCs w:val="24"/>
              </w:rPr>
              <w:instrText>HYPERLINK "https://thesource.cvshealth.com/nuxeo/thesource/" \l "!/view?docid=a23bc09d-37f7-4105-ba57-d4e9d7f512ff"</w:instrText>
            </w:r>
            <w:r>
              <w:rPr>
                <w:rStyle w:val="Hyperlink"/>
                <w:rFonts w:ascii="Verdana" w:hAnsi="Verdana" w:cstheme="minorBidi"/>
                <w:szCs w:val="24"/>
              </w:rPr>
            </w:r>
            <w:r>
              <w:rPr>
                <w:rStyle w:val="Hyperlink"/>
                <w:rFonts w:ascii="Verdana" w:hAnsi="Verdana" w:cstheme="minorBidi"/>
                <w:szCs w:val="24"/>
              </w:rPr>
              <w:fldChar w:fldCharType="separate"/>
            </w:r>
            <w:r>
              <w:rPr>
                <w:rStyle w:val="Hyperlink"/>
                <w:rFonts w:ascii="Verdana" w:hAnsi="Verdana" w:cstheme="minorBidi"/>
                <w:szCs w:val="24"/>
              </w:rPr>
              <w:t>Compass MED D - CCR - Coverage Determinations and Redeterminations (Appeals) (064997</w:t>
            </w:r>
            <w:r>
              <w:rPr>
                <w:rStyle w:val="Hyperlink"/>
                <w:rFonts w:ascii="Verdana" w:hAnsi="Verdana" w:cstheme="minorBidi"/>
                <w:szCs w:val="24"/>
              </w:rPr>
              <w:fldChar w:fldCharType="end"/>
            </w:r>
            <w:r>
              <w:rPr>
                <w:rStyle w:val="Hyperlink"/>
                <w:rFonts w:ascii="Verdana" w:hAnsi="Verdana" w:cstheme="minorBidi"/>
                <w:szCs w:val="24"/>
              </w:rPr>
              <w:t>)</w:t>
            </w:r>
            <w:r>
              <w:rPr>
                <w:rFonts w:ascii="Verdana" w:hAnsi="Verdana" w:cstheme="minorBidi"/>
                <w:szCs w:val="24"/>
              </w:rPr>
              <w:t xml:space="preserve"> </w:t>
            </w:r>
          </w:p>
          <w:bookmarkEnd w:id="18"/>
          <w:p w14:paraId="410848F2" w14:textId="439E2864" w:rsidR="00D24AEA" w:rsidRPr="00DC7441" w:rsidRDefault="009F00FA" w:rsidP="00F73713">
            <w:pPr>
              <w:pStyle w:val="NoSpacing"/>
              <w:numPr>
                <w:ilvl w:val="0"/>
                <w:numId w:val="5"/>
              </w:numPr>
              <w:spacing w:line="256" w:lineRule="auto"/>
              <w:rPr>
                <w:rFonts w:ascii="Verdana" w:hAnsi="Verdana" w:cstheme="minorBidi"/>
                <w:szCs w:val="24"/>
              </w:rPr>
            </w:pPr>
            <w:r w:rsidRPr="00DC7441">
              <w:rPr>
                <w:rFonts w:ascii="Verdana" w:hAnsi="Verdana" w:cstheme="minorBidi"/>
                <w:szCs w:val="24"/>
              </w:rPr>
              <w:fldChar w:fldCharType="begin"/>
            </w:r>
            <w:r w:rsidRPr="00DC7441">
              <w:rPr>
                <w:rFonts w:ascii="Verdana" w:hAnsi="Verdana" w:cstheme="minorBidi"/>
                <w:szCs w:val="24"/>
              </w:rPr>
              <w:instrText>HYPERLINK "https://thesource.cvshealth.com/nuxeo/thesource/" \l "!/view?docid=60c20ea0-1d07-46e3-809a-b54734b80fbe"</w:instrText>
            </w:r>
            <w:r w:rsidRPr="00DC7441">
              <w:rPr>
                <w:rFonts w:ascii="Verdana" w:hAnsi="Verdana" w:cstheme="minorBidi"/>
                <w:szCs w:val="24"/>
              </w:rPr>
            </w:r>
            <w:r w:rsidRPr="00DC7441">
              <w:rPr>
                <w:rFonts w:ascii="Verdana" w:hAnsi="Verdana" w:cstheme="minorBidi"/>
                <w:szCs w:val="24"/>
              </w:rPr>
              <w:fldChar w:fldCharType="separate"/>
            </w:r>
            <w:r w:rsidR="00D24AEA" w:rsidRPr="00DC7441">
              <w:rPr>
                <w:rStyle w:val="Hyperlink"/>
                <w:rFonts w:ascii="Verdana" w:hAnsi="Verdana" w:cstheme="minorBidi"/>
                <w:szCs w:val="24"/>
              </w:rPr>
              <w:t>Compass - Test Claims</w:t>
            </w:r>
            <w:r w:rsidR="00D24AEA" w:rsidRPr="00DC7441">
              <w:rPr>
                <w:rStyle w:val="Hyperlink"/>
                <w:rFonts w:ascii="Verdana" w:hAnsi="Verdana"/>
              </w:rPr>
              <w:t xml:space="preserve"> (</w:t>
            </w:r>
            <w:r w:rsidR="00D24AEA" w:rsidRPr="00DC7441">
              <w:rPr>
                <w:rStyle w:val="Hyperlink"/>
                <w:rFonts w:ascii="Verdana" w:hAnsi="Verdana" w:cstheme="minorBidi"/>
                <w:szCs w:val="24"/>
              </w:rPr>
              <w:t>050041)</w:t>
            </w:r>
            <w:r w:rsidRPr="00DC7441">
              <w:rPr>
                <w:rFonts w:ascii="Verdana" w:hAnsi="Verdana" w:cstheme="minorBidi"/>
                <w:szCs w:val="24"/>
              </w:rPr>
              <w:fldChar w:fldCharType="end"/>
            </w:r>
            <w:r w:rsidR="00D24AEA" w:rsidRPr="00DC7441" w:rsidDel="005B60ED">
              <w:rPr>
                <w:rFonts w:ascii="Verdana" w:hAnsi="Verdana" w:cstheme="minorBidi"/>
                <w:szCs w:val="24"/>
              </w:rPr>
              <w:t xml:space="preserve"> </w:t>
            </w:r>
            <w:bookmarkEnd w:id="19"/>
          </w:p>
          <w:p w14:paraId="32E03F9C" w14:textId="5A2F3092" w:rsidR="00D24AEA" w:rsidRPr="00667CAA" w:rsidRDefault="00D24AEA" w:rsidP="00D42AAD">
            <w:pPr>
              <w:pStyle w:val="NoSpacing"/>
              <w:rPr>
                <w:rFonts w:ascii="Verdana" w:hAnsi="Verdana" w:cstheme="minorBidi"/>
                <w:szCs w:val="24"/>
              </w:rPr>
            </w:pPr>
          </w:p>
        </w:tc>
      </w:tr>
      <w:tr w:rsidR="00D24AEA" w14:paraId="17288688" w14:textId="77777777" w:rsidTr="001B57A8">
        <w:tc>
          <w:tcPr>
            <w:tcW w:w="976" w:type="pct"/>
          </w:tcPr>
          <w:p w14:paraId="789B13A6" w14:textId="685CEC75" w:rsidR="00D24AEA" w:rsidRPr="00942C73" w:rsidDel="0019172B" w:rsidRDefault="00D24AEA" w:rsidP="00EC19E3">
            <w:pPr>
              <w:spacing w:after="0" w:line="240" w:lineRule="auto"/>
              <w:rPr>
                <w:b/>
                <w:bCs/>
                <w:szCs w:val="24"/>
              </w:rPr>
            </w:pPr>
            <w:r w:rsidRPr="00942C73">
              <w:rPr>
                <w:b/>
                <w:bCs/>
                <w:szCs w:val="24"/>
              </w:rPr>
              <w:t>Educating on the Member’s</w:t>
            </w:r>
            <w:r w:rsidR="00EC19E3">
              <w:rPr>
                <w:b/>
                <w:bCs/>
                <w:szCs w:val="24"/>
              </w:rPr>
              <w:t xml:space="preserve"> </w:t>
            </w:r>
            <w:r w:rsidRPr="00942C73">
              <w:rPr>
                <w:b/>
                <w:bCs/>
                <w:szCs w:val="24"/>
              </w:rPr>
              <w:t>Claims (Drug A)</w:t>
            </w:r>
          </w:p>
        </w:tc>
        <w:tc>
          <w:tcPr>
            <w:tcW w:w="4024" w:type="pct"/>
            <w:gridSpan w:val="3"/>
          </w:tcPr>
          <w:p w14:paraId="45B9C2F9" w14:textId="2AB7BD27" w:rsidR="00D24AEA" w:rsidRPr="00942C73" w:rsidRDefault="00D24AEA" w:rsidP="00942C73">
            <w:pPr>
              <w:spacing w:line="256" w:lineRule="auto"/>
              <w:rPr>
                <w:szCs w:val="24"/>
              </w:rPr>
            </w:pPr>
            <w:r w:rsidRPr="00942C73">
              <w:rPr>
                <w:b/>
                <w:bCs/>
                <w:szCs w:val="24"/>
              </w:rPr>
              <w:t>N</w:t>
            </w:r>
            <w:r>
              <w:rPr>
                <w:b/>
                <w:bCs/>
                <w:szCs w:val="24"/>
              </w:rPr>
              <w:t>ote</w:t>
            </w:r>
            <w:r w:rsidRPr="00EE57B6">
              <w:rPr>
                <w:b/>
                <w:bCs/>
                <w:szCs w:val="24"/>
              </w:rPr>
              <w:t>:</w:t>
            </w:r>
            <w:r w:rsidRPr="00942C73">
              <w:rPr>
                <w:szCs w:val="24"/>
              </w:rPr>
              <w:t xml:space="preserve"> </w:t>
            </w:r>
            <w:r>
              <w:rPr>
                <w:szCs w:val="24"/>
              </w:rPr>
              <w:t xml:space="preserve"> F</w:t>
            </w:r>
            <w:r w:rsidRPr="00942C73">
              <w:rPr>
                <w:szCs w:val="24"/>
              </w:rPr>
              <w:t>or the first drug the Test Claim &amp; Claim Rejections reflect the same, it</w:t>
            </w:r>
            <w:r>
              <w:rPr>
                <w:szCs w:val="24"/>
              </w:rPr>
              <w:t xml:space="preserve"> is</w:t>
            </w:r>
            <w:r w:rsidRPr="00942C73">
              <w:rPr>
                <w:szCs w:val="24"/>
              </w:rPr>
              <w:t xml:space="preserve"> rejecting for reject 76, which is Quantity. For Quantity situations the prescription is exceeding the per fill limitations.</w:t>
            </w:r>
          </w:p>
          <w:p w14:paraId="0279A247" w14:textId="77777777" w:rsidR="00D24AEA" w:rsidRPr="00942C73" w:rsidRDefault="00D24AEA" w:rsidP="00942C73">
            <w:pPr>
              <w:pStyle w:val="ListParagraph"/>
              <w:spacing w:line="256" w:lineRule="auto"/>
              <w:rPr>
                <w:rFonts w:ascii="Verdana" w:hAnsi="Verdana" w:cstheme="minorBidi"/>
                <w:szCs w:val="24"/>
              </w:rPr>
            </w:pPr>
          </w:p>
          <w:p w14:paraId="0F532CC7" w14:textId="79130DF1" w:rsidR="00D24AEA" w:rsidRPr="00942C73" w:rsidRDefault="00D24AEA" w:rsidP="00942C73">
            <w:pPr>
              <w:spacing w:line="256" w:lineRule="auto"/>
              <w:rPr>
                <w:szCs w:val="24"/>
              </w:rPr>
            </w:pPr>
            <w:r w:rsidRPr="00942C73">
              <w:rPr>
                <w:b/>
                <w:bCs/>
                <w:szCs w:val="24"/>
              </w:rPr>
              <w:t>R</w:t>
            </w:r>
            <w:r w:rsidRPr="003A7992">
              <w:rPr>
                <w:b/>
                <w:bCs/>
                <w:szCs w:val="24"/>
              </w:rPr>
              <w:t>epresentative</w:t>
            </w:r>
            <w:r w:rsidRPr="00EE57B6">
              <w:rPr>
                <w:b/>
                <w:bCs/>
                <w:szCs w:val="24"/>
              </w:rPr>
              <w:t>:</w:t>
            </w:r>
            <w:r w:rsidRPr="00942C73">
              <w:rPr>
                <w:szCs w:val="24"/>
              </w:rPr>
              <w:t xml:space="preserve"> </w:t>
            </w:r>
            <w:r>
              <w:rPr>
                <w:szCs w:val="24"/>
              </w:rPr>
              <w:t xml:space="preserve"> </w:t>
            </w:r>
            <w:r>
              <w:rPr>
                <w:noProof/>
                <w:szCs w:val="24"/>
              </w:rPr>
              <w:drawing>
                <wp:inline distT="0" distB="0" distL="0" distR="0" wp14:anchorId="56172192" wp14:editId="506FBABA">
                  <wp:extent cx="238158" cy="20957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w:t>
            </w:r>
            <w:r w:rsidRPr="00942C73">
              <w:rPr>
                <w:szCs w:val="24"/>
              </w:rPr>
              <w:t xml:space="preserve">I was able to determine what happened, looking in our systems your </w:t>
            </w:r>
            <w:r>
              <w:rPr>
                <w:szCs w:val="24"/>
              </w:rPr>
              <w:t>&lt;</w:t>
            </w:r>
            <w:r w:rsidRPr="00942C73">
              <w:rPr>
                <w:szCs w:val="24"/>
              </w:rPr>
              <w:t>drug name</w:t>
            </w:r>
            <w:r>
              <w:rPr>
                <w:szCs w:val="24"/>
              </w:rPr>
              <w:t>&gt;</w:t>
            </w:r>
            <w:r w:rsidRPr="00942C73">
              <w:rPr>
                <w:szCs w:val="24"/>
              </w:rPr>
              <w:t xml:space="preserve"> is rejecting for Quantity Limitations.</w:t>
            </w:r>
          </w:p>
          <w:p w14:paraId="04E97D81" w14:textId="1FF778D6" w:rsidR="00D24AEA" w:rsidRPr="00942C73" w:rsidRDefault="00D24AEA" w:rsidP="00942C73">
            <w:pPr>
              <w:spacing w:line="256" w:lineRule="auto"/>
              <w:rPr>
                <w:szCs w:val="24"/>
              </w:rPr>
            </w:pPr>
            <w:r w:rsidRPr="00942C73">
              <w:rPr>
                <w:b/>
                <w:bCs/>
                <w:szCs w:val="24"/>
              </w:rPr>
              <w:t>R</w:t>
            </w:r>
            <w:r w:rsidRPr="003A7992">
              <w:rPr>
                <w:b/>
                <w:bCs/>
                <w:szCs w:val="24"/>
              </w:rPr>
              <w:t>epresentative</w:t>
            </w:r>
            <w:r w:rsidRPr="00EE57B6">
              <w:rPr>
                <w:b/>
                <w:bCs/>
                <w:szCs w:val="24"/>
              </w:rPr>
              <w:t>:</w:t>
            </w:r>
            <w:r w:rsidRPr="00942C73">
              <w:rPr>
                <w:szCs w:val="24"/>
              </w:rPr>
              <w:t xml:space="preserve"> </w:t>
            </w:r>
            <w:r>
              <w:rPr>
                <w:szCs w:val="24"/>
              </w:rPr>
              <w:t xml:space="preserve"> </w:t>
            </w:r>
            <w:r>
              <w:rPr>
                <w:noProof/>
                <w:szCs w:val="24"/>
              </w:rPr>
              <w:drawing>
                <wp:inline distT="0" distB="0" distL="0" distR="0" wp14:anchorId="6FB344B6" wp14:editId="4B5FF4A0">
                  <wp:extent cx="238158" cy="20957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w:t>
            </w:r>
            <w:r w:rsidRPr="00942C73">
              <w:rPr>
                <w:szCs w:val="24"/>
              </w:rPr>
              <w:t>Looking at your plan details &amp; allowances</w:t>
            </w:r>
            <w:r>
              <w:rPr>
                <w:szCs w:val="24"/>
              </w:rPr>
              <w:t>,</w:t>
            </w:r>
            <w:r w:rsidRPr="00942C73">
              <w:rPr>
                <w:szCs w:val="24"/>
              </w:rPr>
              <w:t xml:space="preserve"> your plan only allows you to fill a 30 days’ supply of this medication</w:t>
            </w:r>
            <w:r>
              <w:rPr>
                <w:szCs w:val="24"/>
              </w:rPr>
              <w:t>;</w:t>
            </w:r>
            <w:r w:rsidRPr="00942C73">
              <w:rPr>
                <w:szCs w:val="24"/>
              </w:rPr>
              <w:t xml:space="preserve"> however your prescription is for 90 days.</w:t>
            </w:r>
          </w:p>
          <w:p w14:paraId="0C80729E" w14:textId="73E37558" w:rsidR="00D24AEA" w:rsidRPr="00942C73" w:rsidRDefault="00D24AEA" w:rsidP="00942C73">
            <w:pPr>
              <w:spacing w:line="256" w:lineRule="auto"/>
              <w:rPr>
                <w:szCs w:val="24"/>
              </w:rPr>
            </w:pPr>
            <w:r w:rsidRPr="00942C73">
              <w:rPr>
                <w:b/>
                <w:bCs/>
                <w:szCs w:val="24"/>
              </w:rPr>
              <w:t>N</w:t>
            </w:r>
            <w:r>
              <w:rPr>
                <w:b/>
                <w:bCs/>
                <w:szCs w:val="24"/>
              </w:rPr>
              <w:t>ote</w:t>
            </w:r>
            <w:r w:rsidRPr="00EE57B6">
              <w:rPr>
                <w:b/>
                <w:bCs/>
                <w:szCs w:val="24"/>
              </w:rPr>
              <w:t>:</w:t>
            </w:r>
            <w:r w:rsidRPr="00942C73">
              <w:rPr>
                <w:szCs w:val="24"/>
              </w:rPr>
              <w:t xml:space="preserve"> </w:t>
            </w:r>
            <w:r>
              <w:rPr>
                <w:szCs w:val="24"/>
              </w:rPr>
              <w:t xml:space="preserve"> O</w:t>
            </w:r>
            <w:r w:rsidRPr="00942C73">
              <w:rPr>
                <w:szCs w:val="24"/>
              </w:rPr>
              <w:t xml:space="preserve">n your Test Claim </w:t>
            </w:r>
            <w:r>
              <w:rPr>
                <w:szCs w:val="24"/>
              </w:rPr>
              <w:t xml:space="preserve">Retail Messages column </w:t>
            </w:r>
            <w:r w:rsidRPr="00942C73">
              <w:rPr>
                <w:szCs w:val="24"/>
              </w:rPr>
              <w:t xml:space="preserve">you will be provided with the plan limitations. </w:t>
            </w:r>
          </w:p>
          <w:p w14:paraId="36B9C614" w14:textId="77777777" w:rsidR="00D24AEA" w:rsidRPr="00942C73" w:rsidRDefault="00D24AEA" w:rsidP="00942C73">
            <w:pPr>
              <w:pStyle w:val="ListParagraph"/>
              <w:spacing w:line="256" w:lineRule="auto"/>
              <w:rPr>
                <w:rFonts w:ascii="Verdana" w:hAnsi="Verdana" w:cstheme="minorBidi"/>
                <w:szCs w:val="24"/>
              </w:rPr>
            </w:pPr>
          </w:p>
          <w:p w14:paraId="076AADF3" w14:textId="56DEE1F0" w:rsidR="00D24AEA" w:rsidRPr="00E9644A" w:rsidRDefault="00D24AEA" w:rsidP="00E85F3E">
            <w:pPr>
              <w:pStyle w:val="NoSpacing"/>
              <w:spacing w:line="256" w:lineRule="auto"/>
              <w:rPr>
                <w:rFonts w:ascii="Verdana" w:hAnsi="Verdana" w:cstheme="minorBidi"/>
                <w:szCs w:val="24"/>
              </w:rPr>
            </w:pPr>
            <w:r w:rsidRPr="003A7992">
              <w:rPr>
                <w:rFonts w:ascii="Verdana" w:hAnsi="Verdana"/>
                <w:szCs w:val="24"/>
              </w:rPr>
              <w:t>Refer to</w:t>
            </w:r>
            <w:r w:rsidRPr="00942C73">
              <w:rPr>
                <w:rFonts w:ascii="Verdana" w:hAnsi="Verdana"/>
                <w:szCs w:val="24"/>
              </w:rPr>
              <w:t xml:space="preserve"> </w:t>
            </w:r>
            <w:hyperlink r:id="rId13" w:anchor="!/view?docid=a23bc09d-37f7-4105-ba57-d4e9d7f512ff" w:history="1">
              <w:r>
                <w:rPr>
                  <w:rStyle w:val="Hyperlink"/>
                  <w:rFonts w:ascii="Verdana" w:hAnsi="Verdana" w:cstheme="minorBidi"/>
                  <w:szCs w:val="24"/>
                </w:rPr>
                <w:t>Compass MED D - CCR - Coverage Determinations and Redeterminations (Appeals) (064997</w:t>
              </w:r>
            </w:hyperlink>
            <w:r>
              <w:rPr>
                <w:rStyle w:val="Hyperlink"/>
                <w:rFonts w:ascii="Verdana" w:hAnsi="Verdana" w:cstheme="minorBidi"/>
                <w:szCs w:val="24"/>
              </w:rPr>
              <w:t>)</w:t>
            </w:r>
            <w:r w:rsidRPr="00E9644A">
              <w:rPr>
                <w:rFonts w:ascii="Verdana" w:hAnsi="Verdana" w:cstheme="minorBidi"/>
                <w:szCs w:val="24"/>
              </w:rPr>
              <w:t>.</w:t>
            </w:r>
          </w:p>
          <w:p w14:paraId="59A7D879" w14:textId="22A0024C" w:rsidR="00D24AEA" w:rsidRPr="00942C73" w:rsidRDefault="00D24AEA" w:rsidP="00942C73">
            <w:pPr>
              <w:spacing w:line="256" w:lineRule="auto"/>
              <w:rPr>
                <w:szCs w:val="24"/>
              </w:rPr>
            </w:pPr>
          </w:p>
        </w:tc>
      </w:tr>
      <w:tr w:rsidR="00D24AEA" w14:paraId="052CCE1D" w14:textId="77777777" w:rsidTr="001B57A8">
        <w:tc>
          <w:tcPr>
            <w:tcW w:w="976" w:type="pct"/>
          </w:tcPr>
          <w:p w14:paraId="47572B91" w14:textId="1AC65AC4" w:rsidR="00D24AEA" w:rsidRPr="00942C73" w:rsidRDefault="00D24AEA" w:rsidP="00EC19E3">
            <w:pPr>
              <w:rPr>
                <w:szCs w:val="24"/>
              </w:rPr>
            </w:pPr>
            <w:r w:rsidRPr="00942C73">
              <w:rPr>
                <w:b/>
                <w:bCs/>
                <w:szCs w:val="24"/>
              </w:rPr>
              <w:t>Submitting for the Prior</w:t>
            </w:r>
            <w:r w:rsidR="00EC19E3">
              <w:rPr>
                <w:b/>
                <w:bCs/>
                <w:szCs w:val="24"/>
              </w:rPr>
              <w:t xml:space="preserve"> </w:t>
            </w:r>
            <w:r w:rsidRPr="00942C73">
              <w:rPr>
                <w:b/>
                <w:bCs/>
                <w:szCs w:val="24"/>
              </w:rPr>
              <w:t xml:space="preserve">Authorization via </w:t>
            </w:r>
            <w:r>
              <w:rPr>
                <w:b/>
                <w:bCs/>
                <w:szCs w:val="24"/>
              </w:rPr>
              <w:t>Support Task</w:t>
            </w:r>
          </w:p>
        </w:tc>
        <w:tc>
          <w:tcPr>
            <w:tcW w:w="4024" w:type="pct"/>
            <w:gridSpan w:val="3"/>
          </w:tcPr>
          <w:p w14:paraId="14F75AB8" w14:textId="164A9C34" w:rsidR="00D24AEA" w:rsidRPr="00942C73" w:rsidRDefault="00D24AEA" w:rsidP="00942C73">
            <w:pPr>
              <w:rPr>
                <w:szCs w:val="24"/>
              </w:rPr>
            </w:pPr>
            <w:r w:rsidRPr="00942C73">
              <w:rPr>
                <w:szCs w:val="24"/>
              </w:rPr>
              <w:t>PA Request Procedural Steps:</w:t>
            </w:r>
          </w:p>
          <w:p w14:paraId="70600ECC" w14:textId="7603007B" w:rsidR="00D24AEA" w:rsidRPr="00942C73" w:rsidRDefault="00D24AEA" w:rsidP="00D210A7">
            <w:pPr>
              <w:pStyle w:val="ListParagraph"/>
              <w:numPr>
                <w:ilvl w:val="0"/>
                <w:numId w:val="8"/>
              </w:numPr>
              <w:rPr>
                <w:rFonts w:ascii="Verdana" w:hAnsi="Verdana"/>
                <w:szCs w:val="24"/>
              </w:rPr>
            </w:pPr>
            <w:r w:rsidRPr="00942C73">
              <w:rPr>
                <w:rFonts w:ascii="Verdana" w:hAnsi="Verdana"/>
                <w:szCs w:val="24"/>
              </w:rPr>
              <w:t xml:space="preserve">Access </w:t>
            </w:r>
            <w:hyperlink r:id="rId14" w:anchor="!/view?docid=a23bc09d-37f7-4105-ba57-d4e9d7f512ff" w:history="1">
              <w:r>
                <w:rPr>
                  <w:rStyle w:val="Hyperlink"/>
                  <w:rFonts w:ascii="Verdana" w:hAnsi="Verdana"/>
                  <w:szCs w:val="24"/>
                </w:rPr>
                <w:t>Compass MED D - CCR - Coverage Determinations and Redeterminations (Appeals) (064997</w:t>
              </w:r>
            </w:hyperlink>
            <w:r>
              <w:rPr>
                <w:rStyle w:val="Hyperlink"/>
                <w:rFonts w:ascii="Verdana" w:hAnsi="Verdana"/>
                <w:szCs w:val="24"/>
              </w:rPr>
              <w:t>)</w:t>
            </w:r>
            <w:r>
              <w:rPr>
                <w:rFonts w:ascii="Verdana" w:hAnsi="Verdana"/>
                <w:szCs w:val="24"/>
              </w:rPr>
              <w:t>.</w:t>
            </w:r>
          </w:p>
          <w:p w14:paraId="30248CAA" w14:textId="6A46A451" w:rsidR="00D24AEA" w:rsidRPr="00942C73" w:rsidRDefault="00D24AEA" w:rsidP="00D210A7">
            <w:pPr>
              <w:pStyle w:val="ListParagraph"/>
              <w:numPr>
                <w:ilvl w:val="0"/>
                <w:numId w:val="8"/>
              </w:numPr>
              <w:rPr>
                <w:rFonts w:ascii="Verdana" w:hAnsi="Verdana"/>
                <w:szCs w:val="24"/>
              </w:rPr>
            </w:pPr>
            <w:r w:rsidRPr="00942C73">
              <w:rPr>
                <w:rFonts w:ascii="Verdana" w:hAnsi="Verdana"/>
                <w:szCs w:val="24"/>
              </w:rPr>
              <w:t xml:space="preserve">Locate &amp; follow the “Submitting </w:t>
            </w:r>
            <w:r>
              <w:rPr>
                <w:rFonts w:ascii="Verdana" w:hAnsi="Verdana"/>
                <w:szCs w:val="24"/>
              </w:rPr>
              <w:t>a Support Task</w:t>
            </w:r>
            <w:r w:rsidRPr="00942C73">
              <w:rPr>
                <w:rFonts w:ascii="Verdana" w:hAnsi="Verdana"/>
                <w:szCs w:val="24"/>
              </w:rPr>
              <w:t xml:space="preserve"> for CD&amp;A” section. </w:t>
            </w:r>
          </w:p>
          <w:p w14:paraId="0535269C" w14:textId="3D48F552" w:rsidR="00D24AEA" w:rsidRPr="00942C73" w:rsidRDefault="00D24AEA" w:rsidP="00D210A7">
            <w:pPr>
              <w:pStyle w:val="ListParagraph"/>
              <w:numPr>
                <w:ilvl w:val="0"/>
                <w:numId w:val="8"/>
              </w:numPr>
              <w:rPr>
                <w:rFonts w:ascii="Verdana" w:hAnsi="Verdana"/>
                <w:szCs w:val="24"/>
              </w:rPr>
            </w:pPr>
            <w:r w:rsidRPr="00942C73">
              <w:rPr>
                <w:rFonts w:ascii="Verdana" w:hAnsi="Verdana"/>
                <w:szCs w:val="24"/>
              </w:rPr>
              <w:t>Repeat the entire request back to the caller to confirm accuracy before submitting.</w:t>
            </w:r>
          </w:p>
          <w:p w14:paraId="6316E1C5" w14:textId="3C28BD00" w:rsidR="00D24AEA" w:rsidRPr="00942C73" w:rsidRDefault="00D24AEA" w:rsidP="00D210A7">
            <w:pPr>
              <w:pStyle w:val="ListParagraph"/>
              <w:numPr>
                <w:ilvl w:val="0"/>
                <w:numId w:val="8"/>
              </w:numPr>
              <w:rPr>
                <w:rFonts w:ascii="Verdana" w:hAnsi="Verdana"/>
                <w:szCs w:val="24"/>
              </w:rPr>
            </w:pPr>
            <w:r w:rsidRPr="00942C73">
              <w:rPr>
                <w:rFonts w:ascii="Verdana" w:hAnsi="Verdana"/>
                <w:szCs w:val="24"/>
              </w:rPr>
              <w:t xml:space="preserve">Educate the member on the actions you took and the expected next steps. </w:t>
            </w:r>
          </w:p>
          <w:p w14:paraId="7FE03E1F" w14:textId="77777777" w:rsidR="00D24AEA" w:rsidRPr="00942C73" w:rsidRDefault="00D24AEA" w:rsidP="00942C73">
            <w:pPr>
              <w:pStyle w:val="ListParagraph"/>
              <w:ind w:hanging="360"/>
              <w:rPr>
                <w:rFonts w:ascii="Verdana" w:hAnsi="Verdana" w:cstheme="minorBidi"/>
                <w:szCs w:val="24"/>
              </w:rPr>
            </w:pPr>
          </w:p>
          <w:p w14:paraId="58BC1941" w14:textId="4466F273" w:rsidR="00D24AEA" w:rsidRPr="00942C73" w:rsidRDefault="00D24AEA" w:rsidP="00942C73">
            <w:pPr>
              <w:rPr>
                <w:szCs w:val="24"/>
              </w:rPr>
            </w:pPr>
            <w:r w:rsidRPr="00942C73">
              <w:rPr>
                <w:b/>
                <w:bCs/>
                <w:szCs w:val="24"/>
              </w:rPr>
              <w:t>R</w:t>
            </w:r>
            <w:r w:rsidRPr="003A7992">
              <w:rPr>
                <w:b/>
                <w:bCs/>
                <w:szCs w:val="24"/>
              </w:rPr>
              <w:t>epresentative</w:t>
            </w:r>
            <w:r w:rsidRPr="00EE57B6">
              <w:rPr>
                <w:b/>
                <w:bCs/>
                <w:szCs w:val="24"/>
              </w:rPr>
              <w:t>:</w:t>
            </w:r>
            <w:r w:rsidRPr="00942C73">
              <w:rPr>
                <w:szCs w:val="24"/>
              </w:rPr>
              <w:t xml:space="preserve"> </w:t>
            </w:r>
            <w:r>
              <w:rPr>
                <w:szCs w:val="24"/>
              </w:rPr>
              <w:t xml:space="preserve"> </w:t>
            </w:r>
            <w:r>
              <w:rPr>
                <w:noProof/>
                <w:szCs w:val="24"/>
              </w:rPr>
              <w:drawing>
                <wp:inline distT="0" distB="0" distL="0" distR="0" wp14:anchorId="191E1DFF" wp14:editId="337179B5">
                  <wp:extent cx="238158" cy="20957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w:t>
            </w:r>
            <w:r w:rsidRPr="00942C73">
              <w:rPr>
                <w:szCs w:val="24"/>
              </w:rPr>
              <w:t xml:space="preserve">The request for the new prescription has been submitted; you can contact your doctor to notify them that we’ll be sending them a request for a Prior Authorization for </w:t>
            </w:r>
            <w:r>
              <w:rPr>
                <w:szCs w:val="24"/>
              </w:rPr>
              <w:t>&lt;</w:t>
            </w:r>
            <w:r w:rsidRPr="00942C73">
              <w:rPr>
                <w:szCs w:val="24"/>
              </w:rPr>
              <w:t>drug name</w:t>
            </w:r>
            <w:r>
              <w:rPr>
                <w:szCs w:val="24"/>
              </w:rPr>
              <w:t>&gt;</w:t>
            </w:r>
            <w:r w:rsidRPr="00942C73">
              <w:rPr>
                <w:szCs w:val="24"/>
              </w:rPr>
              <w:t>.</w:t>
            </w:r>
          </w:p>
          <w:p w14:paraId="4321C554" w14:textId="14E67ED0" w:rsidR="00D24AEA" w:rsidRPr="00942C73" w:rsidRDefault="00D24AEA" w:rsidP="00942C73">
            <w:pPr>
              <w:rPr>
                <w:szCs w:val="24"/>
              </w:rPr>
            </w:pPr>
            <w:r w:rsidRPr="00942C73">
              <w:rPr>
                <w:b/>
                <w:bCs/>
                <w:szCs w:val="24"/>
              </w:rPr>
              <w:t>R</w:t>
            </w:r>
            <w:r w:rsidRPr="003A7992">
              <w:rPr>
                <w:b/>
                <w:bCs/>
                <w:szCs w:val="24"/>
              </w:rPr>
              <w:t>epresentative</w:t>
            </w:r>
            <w:r w:rsidRPr="00EE57B6">
              <w:rPr>
                <w:b/>
                <w:bCs/>
                <w:szCs w:val="24"/>
              </w:rPr>
              <w:t>:</w:t>
            </w:r>
            <w:r w:rsidRPr="00942C73">
              <w:rPr>
                <w:szCs w:val="24"/>
              </w:rPr>
              <w:t xml:space="preserve"> </w:t>
            </w:r>
            <w:r>
              <w:rPr>
                <w:szCs w:val="24"/>
              </w:rPr>
              <w:t xml:space="preserve"> </w:t>
            </w:r>
            <w:r>
              <w:rPr>
                <w:noProof/>
                <w:szCs w:val="24"/>
              </w:rPr>
              <w:drawing>
                <wp:inline distT="0" distB="0" distL="0" distR="0" wp14:anchorId="3327AEFD" wp14:editId="1470EA2B">
                  <wp:extent cx="238158" cy="20957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w:t>
            </w:r>
            <w:r w:rsidRPr="00942C73">
              <w:rPr>
                <w:szCs w:val="24"/>
              </w:rPr>
              <w:t xml:space="preserve">This takes care of your first medication, now let’s talk through what happened with your </w:t>
            </w:r>
            <w:r>
              <w:rPr>
                <w:szCs w:val="24"/>
              </w:rPr>
              <w:t>&lt;</w:t>
            </w:r>
            <w:r w:rsidRPr="00942C73">
              <w:rPr>
                <w:szCs w:val="24"/>
              </w:rPr>
              <w:t>drug name</w:t>
            </w:r>
            <w:r>
              <w:rPr>
                <w:szCs w:val="24"/>
              </w:rPr>
              <w:t>&gt;</w:t>
            </w:r>
            <w:r w:rsidRPr="00942C73">
              <w:rPr>
                <w:szCs w:val="24"/>
              </w:rPr>
              <w:t xml:space="preserve"> medication.</w:t>
            </w:r>
          </w:p>
          <w:p w14:paraId="019C04E1" w14:textId="77777777" w:rsidR="00D24AEA" w:rsidRPr="00942C73" w:rsidRDefault="00D24AEA" w:rsidP="00942C73">
            <w:pPr>
              <w:pStyle w:val="ListParagraph"/>
              <w:ind w:hanging="360"/>
              <w:rPr>
                <w:rFonts w:ascii="Verdana" w:hAnsi="Verdana" w:cstheme="minorBidi"/>
                <w:szCs w:val="24"/>
              </w:rPr>
            </w:pPr>
          </w:p>
          <w:p w14:paraId="7B60E231" w14:textId="699BA842" w:rsidR="00D24AEA" w:rsidRPr="00942C73" w:rsidRDefault="00D24AEA" w:rsidP="00942C73">
            <w:pPr>
              <w:rPr>
                <w:szCs w:val="24"/>
              </w:rPr>
            </w:pPr>
            <w:r w:rsidRPr="00942C73">
              <w:rPr>
                <w:b/>
                <w:bCs/>
                <w:szCs w:val="24"/>
              </w:rPr>
              <w:t>N</w:t>
            </w:r>
            <w:r>
              <w:rPr>
                <w:b/>
                <w:bCs/>
                <w:szCs w:val="24"/>
              </w:rPr>
              <w:t>ote</w:t>
            </w:r>
            <w:r w:rsidRPr="00EE57B6">
              <w:rPr>
                <w:b/>
                <w:bCs/>
                <w:szCs w:val="24"/>
              </w:rPr>
              <w:t>:</w:t>
            </w:r>
            <w:r>
              <w:rPr>
                <w:b/>
                <w:bCs/>
                <w:szCs w:val="24"/>
              </w:rPr>
              <w:t xml:space="preserve"> </w:t>
            </w:r>
            <w:r w:rsidRPr="00942C73">
              <w:rPr>
                <w:szCs w:val="24"/>
              </w:rPr>
              <w:t xml:space="preserve"> </w:t>
            </w:r>
            <w:r>
              <w:rPr>
                <w:szCs w:val="24"/>
              </w:rPr>
              <w:t>A</w:t>
            </w:r>
            <w:r w:rsidRPr="00942C73">
              <w:rPr>
                <w:szCs w:val="24"/>
              </w:rPr>
              <w:t>s part of the discussion the member conveys dissatisfaction about having to go through the approval process. She advises the doctor to write her the prescription and knows what she should be taking. As a result, she does not agree with having to go through this. She ends with, if this is the only way to get her meds, she will follow the process.</w:t>
            </w:r>
          </w:p>
          <w:p w14:paraId="281693B2" w14:textId="77777777" w:rsidR="00D24AEA" w:rsidRPr="00667CAA" w:rsidRDefault="00D24AEA" w:rsidP="00B169B4">
            <w:pPr>
              <w:pStyle w:val="ListParagraph"/>
              <w:spacing w:line="252" w:lineRule="auto"/>
              <w:rPr>
                <w:rFonts w:ascii="Verdana" w:hAnsi="Verdana" w:cstheme="minorBidi"/>
                <w:szCs w:val="24"/>
              </w:rPr>
            </w:pPr>
          </w:p>
        </w:tc>
      </w:tr>
      <w:tr w:rsidR="00D24AEA" w14:paraId="1A08127C" w14:textId="77777777" w:rsidTr="001B57A8">
        <w:tc>
          <w:tcPr>
            <w:tcW w:w="976" w:type="pct"/>
          </w:tcPr>
          <w:p w14:paraId="255A0D37" w14:textId="67F55D02" w:rsidR="00D24AEA" w:rsidRPr="00942C73" w:rsidDel="008A682B" w:rsidRDefault="00D24AEA" w:rsidP="00EC19E3">
            <w:pPr>
              <w:spacing w:after="0" w:line="240" w:lineRule="auto"/>
              <w:rPr>
                <w:b/>
                <w:bCs/>
                <w:szCs w:val="24"/>
              </w:rPr>
            </w:pPr>
            <w:r w:rsidRPr="00942C73">
              <w:rPr>
                <w:b/>
                <w:bCs/>
                <w:szCs w:val="24"/>
              </w:rPr>
              <w:t>Educating on the Member’s</w:t>
            </w:r>
            <w:r w:rsidR="00EC19E3">
              <w:rPr>
                <w:b/>
                <w:bCs/>
                <w:szCs w:val="24"/>
              </w:rPr>
              <w:t xml:space="preserve"> </w:t>
            </w:r>
            <w:r w:rsidRPr="00942C73">
              <w:rPr>
                <w:b/>
                <w:bCs/>
                <w:szCs w:val="24"/>
              </w:rPr>
              <w:t>Claims Drug B</w:t>
            </w:r>
          </w:p>
        </w:tc>
        <w:tc>
          <w:tcPr>
            <w:tcW w:w="4024" w:type="pct"/>
            <w:gridSpan w:val="3"/>
          </w:tcPr>
          <w:p w14:paraId="2E7DA0DB" w14:textId="1ED07B0B" w:rsidR="00D24AEA" w:rsidRPr="00446049" w:rsidRDefault="00D24AEA" w:rsidP="00942C73">
            <w:pPr>
              <w:spacing w:line="252" w:lineRule="auto"/>
              <w:rPr>
                <w:szCs w:val="24"/>
              </w:rPr>
            </w:pPr>
            <w:r w:rsidRPr="00942C73">
              <w:rPr>
                <w:b/>
                <w:bCs/>
                <w:szCs w:val="24"/>
              </w:rPr>
              <w:t>N</w:t>
            </w:r>
            <w:r>
              <w:rPr>
                <w:b/>
                <w:bCs/>
                <w:szCs w:val="24"/>
              </w:rPr>
              <w:t>ote</w:t>
            </w:r>
            <w:r w:rsidRPr="00E85F3E">
              <w:rPr>
                <w:b/>
                <w:bCs/>
                <w:szCs w:val="24"/>
              </w:rPr>
              <w:t>:</w:t>
            </w:r>
            <w:r w:rsidRPr="00942C73">
              <w:rPr>
                <w:szCs w:val="24"/>
              </w:rPr>
              <w:t xml:space="preserve"> </w:t>
            </w:r>
            <w:r>
              <w:rPr>
                <w:szCs w:val="24"/>
              </w:rPr>
              <w:t xml:space="preserve"> F</w:t>
            </w:r>
            <w:r w:rsidRPr="00942C73">
              <w:rPr>
                <w:szCs w:val="24"/>
              </w:rPr>
              <w:t>or the second drug</w:t>
            </w:r>
            <w:r w:rsidR="0040182B">
              <w:rPr>
                <w:szCs w:val="24"/>
              </w:rPr>
              <w:t>,</w:t>
            </w:r>
            <w:r w:rsidRPr="00942C73">
              <w:rPr>
                <w:szCs w:val="24"/>
              </w:rPr>
              <w:t xml:space="preserve"> the Test Claim &amp; Claim Rejections reflect the same, the reject is for Non-Formulary (reject 70).</w:t>
            </w:r>
          </w:p>
          <w:p w14:paraId="3EB14BC6" w14:textId="4644D8EB" w:rsidR="00D24AEA" w:rsidRPr="00446049" w:rsidRDefault="00D24AEA" w:rsidP="00446049">
            <w:pPr>
              <w:pStyle w:val="ListParagraph"/>
              <w:numPr>
                <w:ilvl w:val="0"/>
                <w:numId w:val="22"/>
              </w:numPr>
              <w:spacing w:line="360" w:lineRule="auto"/>
              <w:rPr>
                <w:rFonts w:ascii="Verdana" w:hAnsi="Verdana"/>
                <w:szCs w:val="24"/>
              </w:rPr>
            </w:pPr>
            <w:r w:rsidRPr="00446049">
              <w:rPr>
                <w:rFonts w:ascii="Verdana" w:hAnsi="Verdana"/>
                <w:b/>
                <w:bCs/>
                <w:szCs w:val="24"/>
              </w:rPr>
              <w:t>Representative</w:t>
            </w:r>
            <w:r w:rsidRPr="00EE57B6">
              <w:rPr>
                <w:rFonts w:ascii="Verdana" w:hAnsi="Verdana"/>
                <w:b/>
                <w:bCs/>
                <w:szCs w:val="24"/>
              </w:rPr>
              <w:t>:</w:t>
            </w:r>
            <w:r w:rsidRPr="00446049">
              <w:rPr>
                <w:rFonts w:ascii="Verdana" w:hAnsi="Verdana"/>
                <w:szCs w:val="24"/>
              </w:rPr>
              <w:t xml:space="preserve"> </w:t>
            </w:r>
            <w:r>
              <w:rPr>
                <w:rFonts w:ascii="Verdana" w:hAnsi="Verdana"/>
                <w:szCs w:val="24"/>
              </w:rPr>
              <w:t xml:space="preserve"> </w:t>
            </w:r>
            <w:r>
              <w:rPr>
                <w:rFonts w:ascii="Verdana" w:hAnsi="Verdana"/>
                <w:noProof/>
                <w:szCs w:val="24"/>
              </w:rPr>
              <w:drawing>
                <wp:inline distT="0" distB="0" distL="0" distR="0" wp14:anchorId="7228CC6E" wp14:editId="223793F8">
                  <wp:extent cx="238158" cy="20957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rFonts w:ascii="Verdana" w:hAnsi="Verdana"/>
                <w:szCs w:val="24"/>
              </w:rPr>
              <w:t xml:space="preserve"> </w:t>
            </w:r>
            <w:r w:rsidRPr="00446049">
              <w:rPr>
                <w:rFonts w:ascii="Verdana" w:hAnsi="Verdana"/>
                <w:szCs w:val="24"/>
              </w:rPr>
              <w:t xml:space="preserve">Based on the information I’m seeing in our systems, your </w:t>
            </w:r>
            <w:r>
              <w:rPr>
                <w:rFonts w:ascii="Verdana" w:hAnsi="Verdana"/>
                <w:szCs w:val="24"/>
              </w:rPr>
              <w:t>&lt;</w:t>
            </w:r>
            <w:r w:rsidRPr="00446049">
              <w:rPr>
                <w:rFonts w:ascii="Verdana" w:hAnsi="Verdana"/>
                <w:szCs w:val="24"/>
              </w:rPr>
              <w:t>drug name</w:t>
            </w:r>
            <w:r>
              <w:rPr>
                <w:rFonts w:ascii="Verdana" w:hAnsi="Verdana"/>
                <w:szCs w:val="24"/>
              </w:rPr>
              <w:t>&gt;</w:t>
            </w:r>
            <w:r w:rsidRPr="00446049">
              <w:rPr>
                <w:rFonts w:ascii="Verdana" w:hAnsi="Verdana"/>
                <w:szCs w:val="24"/>
              </w:rPr>
              <w:t xml:space="preserve"> is currently not included on your plans formulary.</w:t>
            </w:r>
          </w:p>
          <w:p w14:paraId="32B4BFD3" w14:textId="4E65147D" w:rsidR="00D24AEA" w:rsidRPr="00446049" w:rsidRDefault="00D24AEA" w:rsidP="00446049">
            <w:pPr>
              <w:pStyle w:val="ListParagraph"/>
              <w:numPr>
                <w:ilvl w:val="0"/>
                <w:numId w:val="22"/>
              </w:numPr>
              <w:spacing w:line="360" w:lineRule="auto"/>
              <w:rPr>
                <w:rFonts w:ascii="Verdana" w:hAnsi="Verdana"/>
                <w:szCs w:val="24"/>
              </w:rPr>
            </w:pPr>
            <w:r w:rsidRPr="00446049">
              <w:rPr>
                <w:rFonts w:ascii="Verdana" w:hAnsi="Verdana"/>
                <w:b/>
                <w:bCs/>
                <w:szCs w:val="24"/>
              </w:rPr>
              <w:t>Representative</w:t>
            </w:r>
            <w:r w:rsidRPr="00EE57B6">
              <w:rPr>
                <w:rFonts w:ascii="Verdana" w:hAnsi="Verdana"/>
                <w:b/>
                <w:bCs/>
                <w:szCs w:val="24"/>
              </w:rPr>
              <w:t>:</w:t>
            </w:r>
            <w:r w:rsidRPr="00446049">
              <w:rPr>
                <w:rFonts w:ascii="Verdana" w:hAnsi="Verdana"/>
                <w:szCs w:val="24"/>
              </w:rPr>
              <w:t xml:space="preserve"> </w:t>
            </w:r>
            <w:r>
              <w:rPr>
                <w:rFonts w:ascii="Verdana" w:hAnsi="Verdana"/>
                <w:szCs w:val="24"/>
              </w:rPr>
              <w:t xml:space="preserve"> </w:t>
            </w:r>
            <w:r>
              <w:rPr>
                <w:rFonts w:ascii="Verdana" w:hAnsi="Verdana"/>
                <w:noProof/>
                <w:szCs w:val="24"/>
              </w:rPr>
              <w:drawing>
                <wp:inline distT="0" distB="0" distL="0" distR="0" wp14:anchorId="27902059" wp14:editId="5F35CB39">
                  <wp:extent cx="238158" cy="20957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rFonts w:ascii="Verdana" w:hAnsi="Verdana"/>
                <w:szCs w:val="24"/>
              </w:rPr>
              <w:t xml:space="preserve"> </w:t>
            </w:r>
            <w:r w:rsidRPr="00446049">
              <w:rPr>
                <w:rFonts w:ascii="Verdana" w:hAnsi="Verdana"/>
                <w:szCs w:val="24"/>
              </w:rPr>
              <w:t xml:space="preserve">To help you though, we can help to identify potentially covered alternatives. Would you </w:t>
            </w:r>
            <w:proofErr w:type="gramStart"/>
            <w:r w:rsidRPr="00446049">
              <w:rPr>
                <w:rFonts w:ascii="Verdana" w:hAnsi="Verdana"/>
                <w:szCs w:val="24"/>
              </w:rPr>
              <w:t>like for</w:t>
            </w:r>
            <w:proofErr w:type="gramEnd"/>
            <w:r w:rsidRPr="00446049">
              <w:rPr>
                <w:rFonts w:ascii="Verdana" w:hAnsi="Verdana"/>
                <w:szCs w:val="24"/>
              </w:rPr>
              <w:t xml:space="preserve"> me to </w:t>
            </w:r>
            <w:r w:rsidR="0042232C">
              <w:rPr>
                <w:rFonts w:ascii="Verdana" w:hAnsi="Verdana"/>
                <w:szCs w:val="24"/>
              </w:rPr>
              <w:t>look for alternatives</w:t>
            </w:r>
            <w:r w:rsidRPr="00446049">
              <w:rPr>
                <w:rFonts w:ascii="Verdana" w:hAnsi="Verdana"/>
                <w:szCs w:val="24"/>
              </w:rPr>
              <w:t>?</w:t>
            </w:r>
          </w:p>
          <w:p w14:paraId="5B2FD3C6" w14:textId="4535738B" w:rsidR="00D24AEA" w:rsidRPr="00446049" w:rsidRDefault="00D24AEA" w:rsidP="00446049">
            <w:pPr>
              <w:pStyle w:val="ListParagraph"/>
              <w:numPr>
                <w:ilvl w:val="0"/>
                <w:numId w:val="22"/>
              </w:numPr>
              <w:spacing w:line="360" w:lineRule="auto"/>
              <w:rPr>
                <w:rFonts w:ascii="Verdana" w:hAnsi="Verdana"/>
                <w:szCs w:val="24"/>
              </w:rPr>
            </w:pPr>
            <w:r w:rsidRPr="00446049">
              <w:rPr>
                <w:rFonts w:ascii="Verdana" w:hAnsi="Verdana"/>
                <w:b/>
                <w:bCs/>
                <w:szCs w:val="24"/>
              </w:rPr>
              <w:t>Member</w:t>
            </w:r>
            <w:r w:rsidRPr="00EE57B6">
              <w:rPr>
                <w:rFonts w:ascii="Verdana" w:hAnsi="Verdana"/>
                <w:b/>
                <w:bCs/>
                <w:szCs w:val="24"/>
              </w:rPr>
              <w:t>:</w:t>
            </w:r>
            <w:r w:rsidRPr="00446049">
              <w:rPr>
                <w:rFonts w:ascii="Verdana" w:hAnsi="Verdana"/>
                <w:szCs w:val="24"/>
              </w:rPr>
              <w:t xml:space="preserve"> </w:t>
            </w:r>
            <w:r>
              <w:rPr>
                <w:rFonts w:ascii="Verdana" w:hAnsi="Verdana"/>
                <w:szCs w:val="24"/>
              </w:rPr>
              <w:t xml:space="preserve"> </w:t>
            </w:r>
            <w:r>
              <w:rPr>
                <w:rFonts w:ascii="Verdana" w:hAnsi="Verdana"/>
                <w:noProof/>
                <w:szCs w:val="24"/>
              </w:rPr>
              <w:drawing>
                <wp:inline distT="0" distB="0" distL="0" distR="0" wp14:anchorId="6EB19AAF" wp14:editId="2E882FD3">
                  <wp:extent cx="238158" cy="20957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rFonts w:ascii="Verdana" w:hAnsi="Verdana"/>
                <w:szCs w:val="24"/>
              </w:rPr>
              <w:t xml:space="preserve"> </w:t>
            </w:r>
            <w:r w:rsidRPr="00446049">
              <w:rPr>
                <w:rFonts w:ascii="Verdana" w:hAnsi="Verdana"/>
                <w:szCs w:val="24"/>
              </w:rPr>
              <w:t>Yes, that will help me, thank you.</w:t>
            </w:r>
          </w:p>
          <w:p w14:paraId="464D2EC5" w14:textId="56D50ECE" w:rsidR="00D24AEA" w:rsidRPr="00446049" w:rsidRDefault="00D24AEA" w:rsidP="00446049">
            <w:pPr>
              <w:pStyle w:val="ListParagraph"/>
              <w:numPr>
                <w:ilvl w:val="0"/>
                <w:numId w:val="22"/>
              </w:numPr>
              <w:spacing w:line="360" w:lineRule="auto"/>
              <w:rPr>
                <w:rFonts w:ascii="Verdana" w:hAnsi="Verdana"/>
                <w:szCs w:val="24"/>
              </w:rPr>
            </w:pPr>
            <w:r w:rsidRPr="00446049">
              <w:rPr>
                <w:rFonts w:ascii="Verdana" w:hAnsi="Verdana"/>
                <w:b/>
                <w:bCs/>
                <w:szCs w:val="24"/>
              </w:rPr>
              <w:t>Representative</w:t>
            </w:r>
            <w:r w:rsidRPr="00EE57B6">
              <w:rPr>
                <w:rFonts w:ascii="Verdana" w:hAnsi="Verdana"/>
                <w:b/>
                <w:bCs/>
                <w:szCs w:val="24"/>
              </w:rPr>
              <w:t>:</w:t>
            </w:r>
            <w:r w:rsidRPr="00446049">
              <w:rPr>
                <w:rFonts w:ascii="Verdana" w:hAnsi="Verdana"/>
                <w:szCs w:val="24"/>
              </w:rPr>
              <w:t xml:space="preserve"> </w:t>
            </w:r>
            <w:r>
              <w:rPr>
                <w:rFonts w:ascii="Verdana" w:hAnsi="Verdana"/>
                <w:szCs w:val="24"/>
              </w:rPr>
              <w:t xml:space="preserve"> </w:t>
            </w:r>
            <w:r>
              <w:rPr>
                <w:rFonts w:ascii="Verdana" w:hAnsi="Verdana"/>
                <w:noProof/>
                <w:szCs w:val="24"/>
              </w:rPr>
              <w:drawing>
                <wp:inline distT="0" distB="0" distL="0" distR="0" wp14:anchorId="35F89123" wp14:editId="1BE4B4C6">
                  <wp:extent cx="238158" cy="20957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rFonts w:ascii="Verdana" w:hAnsi="Verdana"/>
                <w:szCs w:val="24"/>
              </w:rPr>
              <w:t xml:space="preserve"> </w:t>
            </w:r>
            <w:r w:rsidRPr="00446049">
              <w:rPr>
                <w:rFonts w:ascii="Verdana" w:hAnsi="Verdana"/>
                <w:szCs w:val="24"/>
              </w:rPr>
              <w:t xml:space="preserve">Great. Let me just take a moment to add some notes to your account on our discussion today and then I will </w:t>
            </w:r>
            <w:r w:rsidR="00D86F41">
              <w:rPr>
                <w:rFonts w:ascii="Verdana" w:hAnsi="Verdana"/>
                <w:szCs w:val="24"/>
              </w:rPr>
              <w:t>work to identify potentially covered alternativ</w:t>
            </w:r>
            <w:r w:rsidR="00D9588E">
              <w:rPr>
                <w:rFonts w:ascii="Verdana" w:hAnsi="Verdana"/>
                <w:szCs w:val="24"/>
              </w:rPr>
              <w:t>es</w:t>
            </w:r>
            <w:r w:rsidRPr="00446049">
              <w:rPr>
                <w:rFonts w:ascii="Verdana" w:hAnsi="Verdana"/>
                <w:szCs w:val="24"/>
              </w:rPr>
              <w:t>.</w:t>
            </w:r>
          </w:p>
        </w:tc>
      </w:tr>
      <w:tr w:rsidR="00D24AEA" w14:paraId="61B41E5B" w14:textId="77777777" w:rsidTr="001B57A8">
        <w:tc>
          <w:tcPr>
            <w:tcW w:w="976" w:type="pct"/>
          </w:tcPr>
          <w:p w14:paraId="0B846C98" w14:textId="4A7BDED0" w:rsidR="00D24AEA" w:rsidRPr="00942C73" w:rsidRDefault="00D24AEA" w:rsidP="00EC19E3">
            <w:pPr>
              <w:spacing w:after="0" w:line="240" w:lineRule="auto"/>
              <w:rPr>
                <w:b/>
                <w:bCs/>
                <w:szCs w:val="24"/>
              </w:rPr>
            </w:pPr>
            <w:r w:rsidRPr="00942C73">
              <w:rPr>
                <w:b/>
                <w:bCs/>
                <w:szCs w:val="24"/>
              </w:rPr>
              <w:t>Situational Steer</w:t>
            </w:r>
            <w:r w:rsidR="00EC19E3">
              <w:rPr>
                <w:b/>
                <w:bCs/>
                <w:szCs w:val="24"/>
              </w:rPr>
              <w:t xml:space="preserve"> </w:t>
            </w:r>
            <w:r w:rsidRPr="00942C73">
              <w:rPr>
                <w:b/>
                <w:bCs/>
                <w:szCs w:val="24"/>
              </w:rPr>
              <w:t>Member PA Status</w:t>
            </w:r>
          </w:p>
          <w:p w14:paraId="427E5937" w14:textId="10B813BB" w:rsidR="00D24AEA" w:rsidRPr="00942C73" w:rsidRDefault="00D24AEA" w:rsidP="00EC19E3">
            <w:pPr>
              <w:spacing w:line="256" w:lineRule="auto"/>
              <w:rPr>
                <w:szCs w:val="24"/>
              </w:rPr>
            </w:pPr>
            <w:r w:rsidRPr="00942C73">
              <w:rPr>
                <w:b/>
                <w:bCs/>
                <w:szCs w:val="24"/>
              </w:rPr>
              <w:t>Call Backs</w:t>
            </w:r>
          </w:p>
        </w:tc>
        <w:tc>
          <w:tcPr>
            <w:tcW w:w="4024" w:type="pct"/>
            <w:gridSpan w:val="3"/>
          </w:tcPr>
          <w:p w14:paraId="3CED4A95" w14:textId="0EC54F42" w:rsidR="00D24AEA" w:rsidRPr="00942C73" w:rsidRDefault="00D24AEA" w:rsidP="00942C73">
            <w:pPr>
              <w:spacing w:line="256" w:lineRule="auto"/>
              <w:rPr>
                <w:szCs w:val="24"/>
              </w:rPr>
            </w:pPr>
            <w:r w:rsidRPr="00942C73">
              <w:rPr>
                <w:szCs w:val="24"/>
              </w:rPr>
              <w:t xml:space="preserve">When a PA coverage request has been submitted for the member, they will receive a letter advising them of the outcome, but it is also common for them to call back to request a status. </w:t>
            </w:r>
          </w:p>
          <w:p w14:paraId="68A750A6" w14:textId="331A99BC" w:rsidR="00D24AEA" w:rsidRPr="00942C73" w:rsidRDefault="00D24AEA" w:rsidP="00D210A7">
            <w:pPr>
              <w:pStyle w:val="ListParagraph"/>
              <w:numPr>
                <w:ilvl w:val="0"/>
                <w:numId w:val="10"/>
              </w:numPr>
              <w:spacing w:line="256" w:lineRule="auto"/>
              <w:rPr>
                <w:rFonts w:ascii="Verdana" w:hAnsi="Verdana"/>
                <w:szCs w:val="24"/>
              </w:rPr>
            </w:pPr>
            <w:r w:rsidRPr="00942C73">
              <w:rPr>
                <w:rFonts w:ascii="Verdana" w:hAnsi="Verdana"/>
                <w:szCs w:val="24"/>
              </w:rPr>
              <w:t xml:space="preserve">Access </w:t>
            </w:r>
            <w:r>
              <w:rPr>
                <w:rFonts w:ascii="Verdana" w:hAnsi="Verdana"/>
                <w:szCs w:val="24"/>
              </w:rPr>
              <w:t>Compass.</w:t>
            </w:r>
          </w:p>
          <w:p w14:paraId="75CDCF3C" w14:textId="46CCE4ED" w:rsidR="00D24AEA" w:rsidRPr="00942C73" w:rsidRDefault="00D24AEA" w:rsidP="00D210A7">
            <w:pPr>
              <w:pStyle w:val="ListParagraph"/>
              <w:numPr>
                <w:ilvl w:val="0"/>
                <w:numId w:val="10"/>
              </w:numPr>
              <w:spacing w:line="256" w:lineRule="auto"/>
              <w:rPr>
                <w:rFonts w:ascii="Verdana" w:hAnsi="Verdana"/>
                <w:szCs w:val="24"/>
              </w:rPr>
            </w:pPr>
            <w:r w:rsidRPr="00942C73">
              <w:rPr>
                <w:rFonts w:ascii="Verdana" w:hAnsi="Verdana"/>
                <w:szCs w:val="24"/>
              </w:rPr>
              <w:t xml:space="preserve">Click </w:t>
            </w:r>
            <w:r>
              <w:rPr>
                <w:rFonts w:ascii="Verdana" w:hAnsi="Verdana"/>
                <w:szCs w:val="24"/>
              </w:rPr>
              <w:t>the</w:t>
            </w:r>
            <w:r w:rsidRPr="00942C73">
              <w:rPr>
                <w:rFonts w:ascii="Verdana" w:hAnsi="Verdana"/>
                <w:szCs w:val="24"/>
              </w:rPr>
              <w:t xml:space="preserve"> </w:t>
            </w:r>
            <w:r w:rsidRPr="00EE57B6">
              <w:rPr>
                <w:rFonts w:ascii="Verdana" w:hAnsi="Verdana"/>
                <w:b/>
                <w:bCs/>
                <w:szCs w:val="24"/>
              </w:rPr>
              <w:t>Override/PA History</w:t>
            </w:r>
            <w:r>
              <w:rPr>
                <w:rFonts w:ascii="Verdana" w:hAnsi="Verdana"/>
                <w:szCs w:val="24"/>
              </w:rPr>
              <w:t xml:space="preserve"> hyperlink from the </w:t>
            </w:r>
            <w:r w:rsidRPr="00EE57B6">
              <w:rPr>
                <w:rFonts w:ascii="Verdana" w:hAnsi="Verdana"/>
                <w:b/>
                <w:bCs/>
                <w:szCs w:val="24"/>
              </w:rPr>
              <w:t>Quick Actions</w:t>
            </w:r>
            <w:r>
              <w:rPr>
                <w:rFonts w:ascii="Verdana" w:hAnsi="Verdana"/>
                <w:szCs w:val="24"/>
              </w:rPr>
              <w:t xml:space="preserve"> panel on the Claims Landing Page. </w:t>
            </w:r>
          </w:p>
          <w:p w14:paraId="73943651" w14:textId="57702263" w:rsidR="00D24AEA" w:rsidRPr="00942C73" w:rsidRDefault="00D24AEA" w:rsidP="00EE57B6">
            <w:pPr>
              <w:pStyle w:val="ListParagraph"/>
              <w:numPr>
                <w:ilvl w:val="0"/>
                <w:numId w:val="10"/>
              </w:numPr>
              <w:spacing w:line="256" w:lineRule="auto"/>
              <w:rPr>
                <w:rFonts w:ascii="Verdana" w:hAnsi="Verdana"/>
                <w:szCs w:val="24"/>
              </w:rPr>
            </w:pPr>
            <w:r>
              <w:rPr>
                <w:rFonts w:ascii="Verdana" w:hAnsi="Verdana"/>
                <w:szCs w:val="24"/>
              </w:rPr>
              <w:t>Navigate to the</w:t>
            </w:r>
            <w:r w:rsidRPr="00942C73">
              <w:rPr>
                <w:rFonts w:ascii="Verdana" w:hAnsi="Verdana"/>
                <w:szCs w:val="24"/>
              </w:rPr>
              <w:t xml:space="preserve"> </w:t>
            </w:r>
            <w:r w:rsidRPr="00EE57B6">
              <w:rPr>
                <w:rFonts w:ascii="Verdana" w:hAnsi="Verdana"/>
                <w:b/>
                <w:bCs/>
                <w:szCs w:val="24"/>
              </w:rPr>
              <w:t>PA Status</w:t>
            </w:r>
            <w:r w:rsidRPr="00942C73">
              <w:rPr>
                <w:rFonts w:ascii="Verdana" w:hAnsi="Verdana"/>
                <w:szCs w:val="24"/>
              </w:rPr>
              <w:t xml:space="preserve"> </w:t>
            </w:r>
            <w:r>
              <w:rPr>
                <w:rFonts w:ascii="Verdana" w:hAnsi="Verdana"/>
                <w:szCs w:val="24"/>
              </w:rPr>
              <w:t xml:space="preserve">section. </w:t>
            </w:r>
          </w:p>
          <w:p w14:paraId="17F4B5A4" w14:textId="4F52DA68" w:rsidR="00D24AEA" w:rsidRPr="00942C73" w:rsidRDefault="00D24AEA" w:rsidP="00D210A7">
            <w:pPr>
              <w:pStyle w:val="ListParagraph"/>
              <w:numPr>
                <w:ilvl w:val="0"/>
                <w:numId w:val="10"/>
              </w:numPr>
              <w:spacing w:line="256" w:lineRule="auto"/>
              <w:rPr>
                <w:rFonts w:ascii="Verdana" w:hAnsi="Verdana"/>
                <w:szCs w:val="24"/>
              </w:rPr>
            </w:pPr>
            <w:r w:rsidRPr="00942C73">
              <w:rPr>
                <w:rFonts w:ascii="Verdana" w:hAnsi="Verdana"/>
                <w:szCs w:val="24"/>
              </w:rPr>
              <w:t xml:space="preserve">Confirm the status: </w:t>
            </w:r>
          </w:p>
          <w:p w14:paraId="21E923EE" w14:textId="14C539CF" w:rsidR="00D24AEA" w:rsidRPr="00942C73" w:rsidRDefault="00D24AEA" w:rsidP="00D210A7">
            <w:pPr>
              <w:pStyle w:val="ListParagraph"/>
              <w:numPr>
                <w:ilvl w:val="1"/>
                <w:numId w:val="9"/>
              </w:numPr>
              <w:spacing w:line="256" w:lineRule="auto"/>
              <w:rPr>
                <w:rFonts w:ascii="Verdana" w:hAnsi="Verdana"/>
                <w:szCs w:val="24"/>
              </w:rPr>
            </w:pPr>
            <w:r w:rsidRPr="00942C73">
              <w:rPr>
                <w:rFonts w:ascii="Verdana" w:hAnsi="Verdana"/>
                <w:szCs w:val="24"/>
              </w:rPr>
              <w:t xml:space="preserve">Approved </w:t>
            </w:r>
          </w:p>
          <w:p w14:paraId="081422A7" w14:textId="7A620233" w:rsidR="00D24AEA" w:rsidRPr="00942C73" w:rsidRDefault="00D24AEA" w:rsidP="00D210A7">
            <w:pPr>
              <w:pStyle w:val="ListParagraph"/>
              <w:numPr>
                <w:ilvl w:val="1"/>
                <w:numId w:val="9"/>
              </w:numPr>
              <w:spacing w:line="256" w:lineRule="auto"/>
              <w:rPr>
                <w:rFonts w:ascii="Verdana" w:hAnsi="Verdana"/>
                <w:szCs w:val="24"/>
              </w:rPr>
            </w:pPr>
            <w:r w:rsidRPr="00942C73">
              <w:rPr>
                <w:rFonts w:ascii="Verdana" w:hAnsi="Verdana"/>
                <w:szCs w:val="24"/>
              </w:rPr>
              <w:t>In Process or Pending</w:t>
            </w:r>
          </w:p>
          <w:p w14:paraId="07821532" w14:textId="4BB87495" w:rsidR="00D24AEA" w:rsidRPr="00942C73" w:rsidRDefault="00D24AEA" w:rsidP="00D210A7">
            <w:pPr>
              <w:pStyle w:val="ListParagraph"/>
              <w:numPr>
                <w:ilvl w:val="1"/>
                <w:numId w:val="9"/>
              </w:numPr>
              <w:spacing w:line="256" w:lineRule="auto"/>
              <w:rPr>
                <w:rFonts w:ascii="Verdana" w:hAnsi="Verdana"/>
                <w:szCs w:val="24"/>
              </w:rPr>
            </w:pPr>
            <w:r w:rsidRPr="00942C73">
              <w:rPr>
                <w:rFonts w:ascii="Verdana" w:hAnsi="Verdana"/>
                <w:szCs w:val="24"/>
              </w:rPr>
              <w:t>Denied</w:t>
            </w:r>
          </w:p>
          <w:p w14:paraId="2473DF4E" w14:textId="1B8F9EF1" w:rsidR="00D24AEA" w:rsidRPr="00942C73" w:rsidRDefault="00D24AEA" w:rsidP="00D210A7">
            <w:pPr>
              <w:pStyle w:val="ListParagraph"/>
              <w:numPr>
                <w:ilvl w:val="1"/>
                <w:numId w:val="9"/>
              </w:numPr>
              <w:spacing w:line="256" w:lineRule="auto"/>
              <w:rPr>
                <w:rFonts w:ascii="Verdana" w:hAnsi="Verdana"/>
                <w:szCs w:val="24"/>
              </w:rPr>
            </w:pPr>
            <w:r w:rsidRPr="00942C73">
              <w:rPr>
                <w:rFonts w:ascii="Verdana" w:hAnsi="Verdana"/>
                <w:szCs w:val="24"/>
              </w:rPr>
              <w:t>Cancelled</w:t>
            </w:r>
          </w:p>
          <w:p w14:paraId="0C4A7966" w14:textId="46337385" w:rsidR="00D24AEA" w:rsidRPr="00942C73" w:rsidRDefault="00D24AEA" w:rsidP="00D210A7">
            <w:pPr>
              <w:pStyle w:val="ListParagraph"/>
              <w:numPr>
                <w:ilvl w:val="0"/>
                <w:numId w:val="10"/>
              </w:numPr>
              <w:spacing w:line="256" w:lineRule="auto"/>
              <w:rPr>
                <w:rFonts w:ascii="Verdana" w:hAnsi="Verdana"/>
                <w:szCs w:val="24"/>
              </w:rPr>
            </w:pPr>
            <w:r w:rsidRPr="00942C73">
              <w:rPr>
                <w:rFonts w:ascii="Verdana" w:hAnsi="Verdana"/>
                <w:szCs w:val="24"/>
              </w:rPr>
              <w:t>Educate the member on the status, any next step expectations</w:t>
            </w:r>
            <w:r>
              <w:rPr>
                <w:rFonts w:ascii="Verdana" w:hAnsi="Verdana"/>
                <w:szCs w:val="24"/>
              </w:rPr>
              <w:t>,</w:t>
            </w:r>
            <w:r w:rsidRPr="00942C73">
              <w:rPr>
                <w:rFonts w:ascii="Verdana" w:hAnsi="Verdana"/>
                <w:szCs w:val="24"/>
              </w:rPr>
              <w:t xml:space="preserve"> and the potential steps for filing an Appeal. </w:t>
            </w:r>
          </w:p>
          <w:p w14:paraId="72D68124" w14:textId="77777777" w:rsidR="00D24AEA" w:rsidRPr="00942C73" w:rsidRDefault="00D24AEA" w:rsidP="00942C73">
            <w:pPr>
              <w:spacing w:line="256" w:lineRule="auto"/>
              <w:rPr>
                <w:szCs w:val="24"/>
              </w:rPr>
            </w:pPr>
          </w:p>
          <w:p w14:paraId="717647F9" w14:textId="53B895CA" w:rsidR="00D24AEA" w:rsidRPr="00942C73" w:rsidRDefault="00D24AEA" w:rsidP="00942C73">
            <w:pPr>
              <w:spacing w:line="256" w:lineRule="auto"/>
              <w:rPr>
                <w:szCs w:val="24"/>
              </w:rPr>
            </w:pPr>
            <w:r w:rsidRPr="00446049">
              <w:rPr>
                <w:szCs w:val="24"/>
              </w:rPr>
              <w:t>Refer to</w:t>
            </w:r>
            <w:r>
              <w:rPr>
                <w:b/>
                <w:bCs/>
                <w:szCs w:val="24"/>
              </w:rPr>
              <w:t xml:space="preserve"> </w:t>
            </w:r>
            <w:hyperlink r:id="rId15" w:anchor="!/view?docid=a23bc09d-37f7-4105-ba57-d4e9d7f512ff" w:history="1">
              <w:r>
                <w:rPr>
                  <w:rStyle w:val="Hyperlink"/>
                  <w:szCs w:val="24"/>
                </w:rPr>
                <w:t>Compass MED D - CCR - Coverage Determinations and Redeterminations (Appeals) (064997</w:t>
              </w:r>
            </w:hyperlink>
            <w:r>
              <w:rPr>
                <w:rStyle w:val="Hyperlink"/>
                <w:szCs w:val="24"/>
              </w:rPr>
              <w:t>)</w:t>
            </w:r>
            <w:r>
              <w:rPr>
                <w:szCs w:val="24"/>
              </w:rPr>
              <w:t xml:space="preserve"> </w:t>
            </w:r>
            <w:r w:rsidRPr="00942C73">
              <w:rPr>
                <w:szCs w:val="24"/>
              </w:rPr>
              <w:t>and locate the “Decision Grid” section.</w:t>
            </w:r>
          </w:p>
        </w:tc>
      </w:tr>
      <w:tr w:rsidR="00D24AEA" w14:paraId="069BD444" w14:textId="77777777" w:rsidTr="001B57A8">
        <w:tc>
          <w:tcPr>
            <w:tcW w:w="976" w:type="pct"/>
          </w:tcPr>
          <w:p w14:paraId="3BA97F2B" w14:textId="393D283A" w:rsidR="00D24AEA" w:rsidRPr="00EC19E3" w:rsidRDefault="00D24AEA" w:rsidP="00EC19E3">
            <w:pPr>
              <w:spacing w:after="0" w:line="240" w:lineRule="auto"/>
              <w:rPr>
                <w:b/>
                <w:bCs/>
                <w:szCs w:val="24"/>
              </w:rPr>
            </w:pPr>
            <w:r w:rsidRPr="00942C73">
              <w:rPr>
                <w:b/>
                <w:bCs/>
                <w:szCs w:val="24"/>
              </w:rPr>
              <w:t>Situational Steer</w:t>
            </w:r>
            <w:r w:rsidR="00EC19E3">
              <w:rPr>
                <w:b/>
                <w:bCs/>
                <w:szCs w:val="24"/>
              </w:rPr>
              <w:t xml:space="preserve"> </w:t>
            </w:r>
            <w:r w:rsidRPr="00942C73">
              <w:rPr>
                <w:b/>
                <w:bCs/>
                <w:szCs w:val="24"/>
              </w:rPr>
              <w:t>CD Senior Escalation scenarios</w:t>
            </w:r>
          </w:p>
        </w:tc>
        <w:tc>
          <w:tcPr>
            <w:tcW w:w="4024" w:type="pct"/>
            <w:gridSpan w:val="3"/>
          </w:tcPr>
          <w:p w14:paraId="77B5AF4B" w14:textId="242507D0" w:rsidR="00D24AEA" w:rsidRPr="00942C73" w:rsidRDefault="00D24AEA" w:rsidP="00446049">
            <w:pPr>
              <w:spacing w:line="276" w:lineRule="auto"/>
              <w:rPr>
                <w:szCs w:val="24"/>
              </w:rPr>
            </w:pPr>
            <w:r w:rsidRPr="00942C73">
              <w:rPr>
                <w:szCs w:val="24"/>
              </w:rPr>
              <w:t>When educating the member on the Coverage Determination (CD)</w:t>
            </w:r>
            <w:r>
              <w:rPr>
                <w:szCs w:val="24"/>
              </w:rPr>
              <w:t xml:space="preserve"> </w:t>
            </w:r>
            <w:r w:rsidRPr="00942C73">
              <w:rPr>
                <w:szCs w:val="24"/>
              </w:rPr>
              <w:t xml:space="preserve">request process for the non-formulary drug, you may experience push back due to them not wanting any alternatives, instead they want to speak to someone on getting their original medication covered. It is important to be aware of when the caller needs to </w:t>
            </w:r>
            <w:r>
              <w:rPr>
                <w:szCs w:val="24"/>
              </w:rPr>
              <w:t xml:space="preserve">be </w:t>
            </w:r>
            <w:r w:rsidRPr="00942C73">
              <w:rPr>
                <w:szCs w:val="24"/>
              </w:rPr>
              <w:t xml:space="preserve">transferred to Seniors, please see below for overall primary reasons. </w:t>
            </w:r>
          </w:p>
          <w:p w14:paraId="1012B507" w14:textId="4C4C5A28" w:rsidR="00D24AEA" w:rsidRPr="00942C73" w:rsidRDefault="00D24AEA" w:rsidP="00446049">
            <w:pPr>
              <w:pStyle w:val="ListParagraph"/>
              <w:numPr>
                <w:ilvl w:val="0"/>
                <w:numId w:val="11"/>
              </w:numPr>
              <w:spacing w:line="276" w:lineRule="auto"/>
              <w:rPr>
                <w:rFonts w:ascii="Verdana" w:hAnsi="Verdana"/>
                <w:szCs w:val="24"/>
              </w:rPr>
            </w:pPr>
            <w:r w:rsidRPr="00942C73">
              <w:rPr>
                <w:rFonts w:ascii="Verdana" w:hAnsi="Verdana"/>
                <w:szCs w:val="24"/>
              </w:rPr>
              <w:t xml:space="preserve">Beneficiary is escalated and insistent on being transferred to the CD team. </w:t>
            </w:r>
          </w:p>
          <w:p w14:paraId="38B78CDC" w14:textId="00972790" w:rsidR="00D24AEA" w:rsidRPr="00942C73" w:rsidRDefault="00D24AEA" w:rsidP="00446049">
            <w:pPr>
              <w:pStyle w:val="ListParagraph"/>
              <w:numPr>
                <w:ilvl w:val="0"/>
                <w:numId w:val="11"/>
              </w:numPr>
              <w:spacing w:line="276" w:lineRule="auto"/>
              <w:rPr>
                <w:rFonts w:ascii="Verdana" w:hAnsi="Verdana"/>
                <w:szCs w:val="24"/>
              </w:rPr>
            </w:pPr>
            <w:r w:rsidRPr="00942C73">
              <w:rPr>
                <w:rFonts w:ascii="Verdana" w:hAnsi="Verdana"/>
                <w:szCs w:val="24"/>
              </w:rPr>
              <w:t xml:space="preserve">Case notes indicate contacting the CD Team for more information on the request. </w:t>
            </w:r>
          </w:p>
          <w:p w14:paraId="74A39A0D" w14:textId="5E6C0BD7" w:rsidR="00D24AEA" w:rsidRPr="00942C73" w:rsidRDefault="00D24AEA" w:rsidP="00446049">
            <w:pPr>
              <w:pStyle w:val="ListParagraph"/>
              <w:numPr>
                <w:ilvl w:val="0"/>
                <w:numId w:val="11"/>
              </w:numPr>
              <w:spacing w:line="276" w:lineRule="auto"/>
              <w:rPr>
                <w:rFonts w:ascii="Verdana" w:hAnsi="Verdana"/>
                <w:szCs w:val="24"/>
              </w:rPr>
            </w:pPr>
            <w:r w:rsidRPr="00942C73">
              <w:rPr>
                <w:rFonts w:ascii="Verdana" w:hAnsi="Verdana"/>
                <w:szCs w:val="24"/>
              </w:rPr>
              <w:t xml:space="preserve">The beneficiary wants to withdraw a case that is open or pending. </w:t>
            </w:r>
          </w:p>
          <w:p w14:paraId="4359E586" w14:textId="48F84F57" w:rsidR="00D24AEA" w:rsidRPr="00942C73" w:rsidRDefault="00D24AEA" w:rsidP="00446049">
            <w:pPr>
              <w:pStyle w:val="ListParagraph"/>
              <w:numPr>
                <w:ilvl w:val="0"/>
                <w:numId w:val="11"/>
              </w:numPr>
              <w:spacing w:line="276" w:lineRule="auto"/>
              <w:rPr>
                <w:rFonts w:ascii="Verdana" w:hAnsi="Verdana"/>
                <w:szCs w:val="24"/>
              </w:rPr>
            </w:pPr>
            <w:r w:rsidRPr="00942C73">
              <w:rPr>
                <w:rFonts w:ascii="Verdana" w:hAnsi="Verdana"/>
                <w:szCs w:val="24"/>
              </w:rPr>
              <w:t xml:space="preserve">Beneficiary calls with a change in provider/prescriber for an in-progress case. </w:t>
            </w:r>
          </w:p>
          <w:p w14:paraId="6AC728CF" w14:textId="665009AA" w:rsidR="00D24AEA" w:rsidRPr="00942C73" w:rsidRDefault="00D24AEA" w:rsidP="00446049">
            <w:pPr>
              <w:pStyle w:val="ListParagraph"/>
              <w:numPr>
                <w:ilvl w:val="0"/>
                <w:numId w:val="11"/>
              </w:numPr>
              <w:spacing w:line="276" w:lineRule="auto"/>
              <w:rPr>
                <w:rFonts w:ascii="Verdana" w:hAnsi="Verdana"/>
                <w:szCs w:val="24"/>
              </w:rPr>
            </w:pPr>
            <w:r w:rsidRPr="00942C73">
              <w:rPr>
                <w:rFonts w:ascii="Verdana" w:hAnsi="Verdana"/>
                <w:szCs w:val="24"/>
              </w:rPr>
              <w:t xml:space="preserve">The beneficiary is returning an outbound call from the CD Team. </w:t>
            </w:r>
          </w:p>
          <w:p w14:paraId="773E4209" w14:textId="77777777" w:rsidR="00D24AEA" w:rsidRDefault="00D24AEA" w:rsidP="00446049">
            <w:pPr>
              <w:pStyle w:val="ListParagraph"/>
              <w:numPr>
                <w:ilvl w:val="0"/>
                <w:numId w:val="11"/>
              </w:numPr>
              <w:spacing w:line="276" w:lineRule="auto"/>
              <w:rPr>
                <w:rFonts w:ascii="Verdana" w:hAnsi="Verdana"/>
                <w:szCs w:val="24"/>
              </w:rPr>
            </w:pPr>
            <w:r w:rsidRPr="00942C73">
              <w:rPr>
                <w:rFonts w:ascii="Verdana" w:hAnsi="Verdana"/>
                <w:szCs w:val="24"/>
              </w:rPr>
              <w:t>Client Representatives/Benefit office wants to speak to CD on behalf of the beneficiary.</w:t>
            </w:r>
          </w:p>
          <w:p w14:paraId="0E8E5D3E" w14:textId="3564CDF7" w:rsidR="00D24AEA" w:rsidRPr="00942C73" w:rsidRDefault="00D24AEA" w:rsidP="003E6A03">
            <w:pPr>
              <w:pStyle w:val="ListParagraph"/>
              <w:spacing w:line="256" w:lineRule="auto"/>
              <w:rPr>
                <w:rFonts w:ascii="Verdana" w:hAnsi="Verdana"/>
                <w:szCs w:val="24"/>
              </w:rPr>
            </w:pPr>
          </w:p>
        </w:tc>
      </w:tr>
      <w:tr w:rsidR="00FC263E" w14:paraId="76A9E3F5" w14:textId="77777777" w:rsidTr="001B57A8">
        <w:tc>
          <w:tcPr>
            <w:tcW w:w="976" w:type="pct"/>
          </w:tcPr>
          <w:p w14:paraId="02BE04CB" w14:textId="12001DDB" w:rsidR="00FC263E" w:rsidRPr="00FC263E" w:rsidDel="0027345E" w:rsidRDefault="00FC263E" w:rsidP="00EC19E3">
            <w:pPr>
              <w:rPr>
                <w:b/>
                <w:bCs/>
              </w:rPr>
            </w:pPr>
            <w:r w:rsidRPr="00FC263E">
              <w:rPr>
                <w:b/>
                <w:bCs/>
              </w:rPr>
              <w:t>Situational Steer Medication is</w:t>
            </w:r>
            <w:r w:rsidR="00EC19E3">
              <w:rPr>
                <w:b/>
                <w:bCs/>
              </w:rPr>
              <w:t xml:space="preserve"> </w:t>
            </w:r>
            <w:r w:rsidRPr="00FC263E">
              <w:rPr>
                <w:b/>
                <w:bCs/>
              </w:rPr>
              <w:t>covered under Part B</w:t>
            </w:r>
          </w:p>
        </w:tc>
        <w:tc>
          <w:tcPr>
            <w:tcW w:w="4024" w:type="pct"/>
            <w:gridSpan w:val="3"/>
          </w:tcPr>
          <w:p w14:paraId="645AFDEE" w14:textId="3F8306E9" w:rsidR="00FC263E" w:rsidRPr="00942C73" w:rsidRDefault="00FC263E" w:rsidP="00942C73">
            <w:pPr>
              <w:pStyle w:val="NoSpacing"/>
              <w:spacing w:line="252" w:lineRule="auto"/>
              <w:rPr>
                <w:rFonts w:ascii="Verdana" w:hAnsi="Verdana" w:cstheme="minorBidi"/>
                <w:szCs w:val="24"/>
              </w:rPr>
            </w:pPr>
            <w:r w:rsidRPr="00942C73">
              <w:rPr>
                <w:rFonts w:ascii="Verdana" w:hAnsi="Verdana" w:cstheme="minorBidi"/>
                <w:b/>
                <w:bCs/>
                <w:szCs w:val="24"/>
              </w:rPr>
              <w:t>N</w:t>
            </w:r>
            <w:r>
              <w:rPr>
                <w:rFonts w:ascii="Verdana" w:hAnsi="Verdana" w:cstheme="minorBidi"/>
                <w:b/>
                <w:bCs/>
                <w:szCs w:val="24"/>
              </w:rPr>
              <w:t>ote</w:t>
            </w:r>
            <w:r w:rsidRPr="00E85F3E">
              <w:rPr>
                <w:rFonts w:ascii="Verdana" w:hAnsi="Verdana" w:cstheme="minorBidi"/>
                <w:b/>
                <w:bCs/>
                <w:szCs w:val="24"/>
              </w:rPr>
              <w:t xml:space="preserve">: </w:t>
            </w:r>
            <w:r>
              <w:rPr>
                <w:rFonts w:ascii="Verdana" w:hAnsi="Verdana" w:cstheme="minorBidi"/>
                <w:szCs w:val="24"/>
              </w:rPr>
              <w:t xml:space="preserve"> S</w:t>
            </w:r>
            <w:r w:rsidRPr="00942C73">
              <w:rPr>
                <w:rFonts w:ascii="Verdana" w:hAnsi="Verdana" w:cstheme="minorBidi"/>
                <w:szCs w:val="24"/>
              </w:rPr>
              <w:t>ome examples of medications covered under Part B are Insulin that comes in pumps or injections which must be administered at their doctor’s office. To confirm, run a Test Claim on the medication and review the outcome details.</w:t>
            </w:r>
          </w:p>
          <w:p w14:paraId="11CC7240" w14:textId="77777777" w:rsidR="00FC263E" w:rsidRPr="00942C73" w:rsidRDefault="00FC263E" w:rsidP="00942C73">
            <w:pPr>
              <w:pStyle w:val="NoSpacing"/>
              <w:spacing w:line="252" w:lineRule="auto"/>
              <w:rPr>
                <w:rFonts w:ascii="Verdana" w:hAnsi="Verdana" w:cstheme="minorBidi"/>
                <w:szCs w:val="24"/>
              </w:rPr>
            </w:pPr>
          </w:p>
          <w:p w14:paraId="6B47AC1B" w14:textId="1F771143" w:rsidR="00FC263E" w:rsidRPr="00942C73" w:rsidRDefault="00FC263E" w:rsidP="00942C73">
            <w:pPr>
              <w:pStyle w:val="NoSpacing"/>
              <w:spacing w:line="252" w:lineRule="auto"/>
              <w:rPr>
                <w:rFonts w:ascii="Verdana" w:hAnsi="Verdana" w:cstheme="minorBidi"/>
                <w:szCs w:val="24"/>
              </w:rPr>
            </w:pPr>
            <w:r w:rsidRPr="00942C73">
              <w:rPr>
                <w:rFonts w:ascii="Verdana" w:hAnsi="Verdana" w:cstheme="minorBidi"/>
                <w:b/>
                <w:bCs/>
                <w:szCs w:val="24"/>
              </w:rPr>
              <w:t>R</w:t>
            </w:r>
            <w:r>
              <w:rPr>
                <w:rFonts w:ascii="Verdana" w:hAnsi="Verdana"/>
                <w:b/>
                <w:bCs/>
                <w:szCs w:val="24"/>
              </w:rPr>
              <w:t>epresentative</w:t>
            </w:r>
            <w:r w:rsidRPr="00E85F3E">
              <w:rPr>
                <w:rFonts w:ascii="Verdana" w:hAnsi="Verdana" w:cstheme="minorBidi"/>
                <w:b/>
                <w:bCs/>
                <w:szCs w:val="24"/>
              </w:rPr>
              <w:t>:</w:t>
            </w:r>
            <w:r w:rsidRPr="00942C73">
              <w:rPr>
                <w:rFonts w:ascii="Verdana" w:hAnsi="Verdana" w:cstheme="minorBidi"/>
                <w:szCs w:val="24"/>
              </w:rPr>
              <w:t xml:space="preserve"> </w:t>
            </w:r>
            <w:r>
              <w:rPr>
                <w:rFonts w:ascii="Verdana" w:hAnsi="Verdana" w:cstheme="minorBidi"/>
                <w:szCs w:val="24"/>
              </w:rPr>
              <w:t xml:space="preserve"> </w:t>
            </w:r>
            <w:r>
              <w:rPr>
                <w:rFonts w:ascii="Verdana" w:hAnsi="Verdana"/>
                <w:noProof/>
                <w:szCs w:val="24"/>
              </w:rPr>
              <w:drawing>
                <wp:inline distT="0" distB="0" distL="0" distR="0" wp14:anchorId="1D5A6902" wp14:editId="307B407A">
                  <wp:extent cx="238158" cy="20957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rFonts w:ascii="Verdana" w:hAnsi="Verdana"/>
                <w:szCs w:val="24"/>
              </w:rPr>
              <w:t xml:space="preserve"> </w:t>
            </w:r>
            <w:r w:rsidRPr="00942C73">
              <w:rPr>
                <w:rFonts w:ascii="Verdana" w:hAnsi="Verdana" w:cstheme="minorBidi"/>
                <w:szCs w:val="24"/>
              </w:rPr>
              <w:t xml:space="preserve">Based on what I’m seeing in your account, your </w:t>
            </w:r>
            <w:r>
              <w:rPr>
                <w:rFonts w:ascii="Verdana" w:hAnsi="Verdana" w:cstheme="minorBidi"/>
                <w:szCs w:val="24"/>
              </w:rPr>
              <w:t>&lt;medication name&gt;</w:t>
            </w:r>
            <w:r w:rsidRPr="00942C73">
              <w:rPr>
                <w:rFonts w:ascii="Verdana" w:hAnsi="Verdana" w:cstheme="minorBidi"/>
                <w:szCs w:val="24"/>
              </w:rPr>
              <w:t>medication is not covered under your Part D benefits</w:t>
            </w:r>
            <w:r>
              <w:rPr>
                <w:rFonts w:ascii="Verdana" w:hAnsi="Verdana" w:cstheme="minorBidi"/>
                <w:szCs w:val="24"/>
              </w:rPr>
              <w:t>,</w:t>
            </w:r>
            <w:r w:rsidRPr="00942C73">
              <w:rPr>
                <w:rFonts w:ascii="Verdana" w:hAnsi="Verdana" w:cstheme="minorBidi"/>
                <w:szCs w:val="24"/>
              </w:rPr>
              <w:t xml:space="preserve"> but it may be covered under your medical, Part B benefits.</w:t>
            </w:r>
          </w:p>
          <w:p w14:paraId="37A2841E" w14:textId="77777777" w:rsidR="00FC263E" w:rsidRPr="00942C73" w:rsidRDefault="00FC263E" w:rsidP="00942C73">
            <w:pPr>
              <w:pStyle w:val="NoSpacing"/>
              <w:spacing w:line="252" w:lineRule="auto"/>
              <w:rPr>
                <w:rFonts w:ascii="Verdana" w:hAnsi="Verdana" w:cstheme="minorBidi"/>
                <w:szCs w:val="24"/>
              </w:rPr>
            </w:pPr>
          </w:p>
          <w:p w14:paraId="70B3338F" w14:textId="35DDE7D2" w:rsidR="00FC263E" w:rsidRPr="00942C73" w:rsidRDefault="00FC263E" w:rsidP="00942C73">
            <w:pPr>
              <w:pStyle w:val="NoSpacing"/>
              <w:spacing w:line="252" w:lineRule="auto"/>
              <w:rPr>
                <w:rFonts w:ascii="Verdana" w:hAnsi="Verdana" w:cstheme="minorBidi"/>
                <w:szCs w:val="24"/>
              </w:rPr>
            </w:pPr>
            <w:r w:rsidRPr="00942C73">
              <w:rPr>
                <w:rFonts w:ascii="Verdana" w:hAnsi="Verdana" w:cstheme="minorBidi"/>
                <w:b/>
                <w:bCs/>
                <w:szCs w:val="24"/>
              </w:rPr>
              <w:t>N</w:t>
            </w:r>
            <w:r>
              <w:rPr>
                <w:rFonts w:ascii="Verdana" w:hAnsi="Verdana" w:cstheme="minorBidi"/>
                <w:b/>
                <w:bCs/>
                <w:szCs w:val="24"/>
              </w:rPr>
              <w:t>otes</w:t>
            </w:r>
            <w:r w:rsidRPr="00E85F3E">
              <w:rPr>
                <w:rFonts w:ascii="Verdana" w:hAnsi="Verdana" w:cstheme="minorBidi"/>
                <w:b/>
                <w:bCs/>
                <w:szCs w:val="24"/>
              </w:rPr>
              <w:t xml:space="preserve">: </w:t>
            </w:r>
          </w:p>
          <w:p w14:paraId="25CDEBCA" w14:textId="57E5918B" w:rsidR="00FC263E" w:rsidRPr="00942C73" w:rsidRDefault="00FC263E" w:rsidP="00D210A7">
            <w:pPr>
              <w:pStyle w:val="NoSpacing"/>
              <w:numPr>
                <w:ilvl w:val="0"/>
                <w:numId w:val="12"/>
              </w:numPr>
              <w:spacing w:line="252" w:lineRule="auto"/>
              <w:rPr>
                <w:rFonts w:ascii="Verdana" w:hAnsi="Verdana" w:cstheme="minorBidi"/>
                <w:szCs w:val="24"/>
              </w:rPr>
            </w:pPr>
            <w:r w:rsidRPr="00942C73">
              <w:rPr>
                <w:rFonts w:ascii="Verdana" w:hAnsi="Verdana" w:cstheme="minorBidi"/>
                <w:szCs w:val="24"/>
              </w:rPr>
              <w:t xml:space="preserve">If approved by your supervisor, you may contact the Pharmacy to have them rerun the claim under their Part B benefits. </w:t>
            </w:r>
          </w:p>
          <w:p w14:paraId="67DB5B27" w14:textId="219E0C08" w:rsidR="00FC263E" w:rsidRPr="00942C73" w:rsidRDefault="00FC263E" w:rsidP="00D210A7">
            <w:pPr>
              <w:pStyle w:val="NoSpacing"/>
              <w:numPr>
                <w:ilvl w:val="0"/>
                <w:numId w:val="12"/>
              </w:numPr>
              <w:spacing w:line="252" w:lineRule="auto"/>
              <w:rPr>
                <w:rFonts w:ascii="Verdana" w:hAnsi="Verdana" w:cstheme="minorBidi"/>
                <w:szCs w:val="24"/>
              </w:rPr>
            </w:pPr>
            <w:r w:rsidRPr="00942C73">
              <w:rPr>
                <w:rFonts w:ascii="Verdana" w:hAnsi="Verdana" w:cstheme="minorBidi"/>
                <w:szCs w:val="24"/>
              </w:rPr>
              <w:t xml:space="preserve">If service levels do not allow you to make the reach out, advise the member they can contact their medical number on the back of their card to verify coverage. </w:t>
            </w:r>
          </w:p>
          <w:p w14:paraId="6544DEE7" w14:textId="77777777" w:rsidR="00FC263E" w:rsidRPr="00942C73" w:rsidRDefault="00FC263E" w:rsidP="00942C73">
            <w:pPr>
              <w:pStyle w:val="NoSpacing"/>
              <w:spacing w:line="252" w:lineRule="auto"/>
              <w:rPr>
                <w:rFonts w:ascii="Verdana" w:hAnsi="Verdana" w:cstheme="minorBidi"/>
                <w:szCs w:val="24"/>
              </w:rPr>
            </w:pPr>
          </w:p>
          <w:p w14:paraId="7FD3AD3C" w14:textId="0893764E" w:rsidR="00FC263E" w:rsidRPr="00667CAA" w:rsidRDefault="00FC263E" w:rsidP="00942C73">
            <w:pPr>
              <w:pStyle w:val="NoSpacing"/>
              <w:spacing w:line="252" w:lineRule="auto"/>
              <w:rPr>
                <w:rFonts w:ascii="Verdana" w:hAnsi="Verdana" w:cstheme="minorBidi"/>
                <w:szCs w:val="24"/>
              </w:rPr>
            </w:pPr>
            <w:r w:rsidRPr="00446049">
              <w:rPr>
                <w:rFonts w:ascii="Verdana" w:hAnsi="Verdana" w:cstheme="minorBidi"/>
                <w:szCs w:val="24"/>
              </w:rPr>
              <w:t>Refer to</w:t>
            </w:r>
            <w:r w:rsidRPr="00942C73">
              <w:rPr>
                <w:rFonts w:ascii="Verdana" w:hAnsi="Verdana" w:cstheme="minorBidi"/>
                <w:szCs w:val="24"/>
              </w:rPr>
              <w:t xml:space="preserve"> </w:t>
            </w:r>
            <w:hyperlink r:id="rId16" w:anchor="!/view?docid=c9e4cc50-c745-47e5-9df5-f145e15a8c9c" w:history="1">
              <w:r w:rsidRPr="00E722C3">
                <w:rPr>
                  <w:rStyle w:val="Hyperlink"/>
                  <w:rFonts w:ascii="Verdana" w:hAnsi="Verdana" w:cstheme="minorBidi"/>
                  <w:szCs w:val="24"/>
                </w:rPr>
                <w:t xml:space="preserve">Compass - CCR - Identifying and Handling Medicare Part B Calls </w:t>
              </w:r>
              <w:r>
                <w:rPr>
                  <w:rStyle w:val="Hyperlink"/>
                  <w:rFonts w:ascii="Verdana" w:hAnsi="Verdana" w:cstheme="minorBidi"/>
                  <w:szCs w:val="24"/>
                </w:rPr>
                <w:t>(</w:t>
              </w:r>
              <w:r w:rsidRPr="00E722C3">
                <w:rPr>
                  <w:rStyle w:val="Hyperlink"/>
                  <w:rFonts w:ascii="Verdana" w:hAnsi="Verdana"/>
                  <w:szCs w:val="24"/>
                </w:rPr>
                <w:t>061873</w:t>
              </w:r>
            </w:hyperlink>
            <w:r>
              <w:rPr>
                <w:rStyle w:val="Hyperlink"/>
                <w:rFonts w:ascii="Verdana" w:hAnsi="Verdana"/>
                <w:szCs w:val="24"/>
              </w:rPr>
              <w:t>)</w:t>
            </w:r>
            <w:r>
              <w:rPr>
                <w:rFonts w:ascii="Verdana" w:hAnsi="Verdana" w:cstheme="minorBidi"/>
                <w:szCs w:val="24"/>
              </w:rPr>
              <w:t>.</w:t>
            </w:r>
          </w:p>
        </w:tc>
      </w:tr>
      <w:tr w:rsidR="00FC263E" w14:paraId="4B652C53" w14:textId="77777777" w:rsidTr="001B57A8">
        <w:tc>
          <w:tcPr>
            <w:tcW w:w="976" w:type="pct"/>
          </w:tcPr>
          <w:p w14:paraId="1AB6C2E8" w14:textId="6C7401BD" w:rsidR="00FC263E" w:rsidRPr="00EC19E3" w:rsidRDefault="00FC263E" w:rsidP="00EC19E3">
            <w:pPr>
              <w:spacing w:after="0" w:line="240" w:lineRule="auto"/>
              <w:rPr>
                <w:b/>
                <w:bCs/>
                <w:szCs w:val="24"/>
              </w:rPr>
            </w:pPr>
            <w:r w:rsidRPr="00FA7A41">
              <w:rPr>
                <w:b/>
                <w:bCs/>
                <w:szCs w:val="24"/>
              </w:rPr>
              <w:t>Situational Steer</w:t>
            </w:r>
            <w:r w:rsidR="00EC19E3">
              <w:rPr>
                <w:b/>
                <w:bCs/>
                <w:szCs w:val="24"/>
              </w:rPr>
              <w:t xml:space="preserve"> </w:t>
            </w:r>
            <w:r w:rsidRPr="00FA7A41">
              <w:rPr>
                <w:b/>
                <w:bCs/>
                <w:szCs w:val="24"/>
              </w:rPr>
              <w:t>Transition Fill situations</w:t>
            </w:r>
          </w:p>
        </w:tc>
        <w:tc>
          <w:tcPr>
            <w:tcW w:w="4024" w:type="pct"/>
            <w:gridSpan w:val="3"/>
          </w:tcPr>
          <w:p w14:paraId="0B521C81" w14:textId="5B7460E9" w:rsidR="00FC263E" w:rsidRPr="00FA7A41" w:rsidRDefault="00FC263E" w:rsidP="00FA7A41">
            <w:pPr>
              <w:spacing w:line="256" w:lineRule="auto"/>
              <w:rPr>
                <w:szCs w:val="24"/>
              </w:rPr>
            </w:pPr>
            <w:r w:rsidRPr="00FA7A41">
              <w:rPr>
                <w:szCs w:val="24"/>
              </w:rPr>
              <w:t xml:space="preserve">A Transition Fill occurs during the first 90 days of their new plan year. This process allows the member to receive 30 days of medication which was previously covered however it is no longer covered in the new plan’s formulary. </w:t>
            </w:r>
          </w:p>
          <w:p w14:paraId="681C2B58" w14:textId="77777777" w:rsidR="00FC263E" w:rsidRPr="00FA7A41" w:rsidRDefault="00FC263E" w:rsidP="00FA7A41">
            <w:pPr>
              <w:pStyle w:val="ListParagraph"/>
              <w:spacing w:line="256" w:lineRule="auto"/>
              <w:rPr>
                <w:rFonts w:ascii="Verdana" w:hAnsi="Verdana" w:cstheme="minorBidi"/>
                <w:szCs w:val="24"/>
              </w:rPr>
            </w:pPr>
          </w:p>
          <w:p w14:paraId="1BB7CECD" w14:textId="49F10982" w:rsidR="00FC263E" w:rsidRPr="00FA7A41" w:rsidRDefault="00FC263E" w:rsidP="00FA7A41">
            <w:pPr>
              <w:spacing w:line="256" w:lineRule="auto"/>
              <w:rPr>
                <w:szCs w:val="24"/>
              </w:rPr>
            </w:pPr>
            <w:r w:rsidRPr="00FA7A41">
              <w:rPr>
                <w:szCs w:val="24"/>
              </w:rPr>
              <w:t>When a member fills a medication through the Transition Fill process</w:t>
            </w:r>
            <w:r>
              <w:rPr>
                <w:szCs w:val="24"/>
              </w:rPr>
              <w:t>,</w:t>
            </w:r>
            <w:r w:rsidRPr="00FA7A41">
              <w:rPr>
                <w:szCs w:val="24"/>
              </w:rPr>
              <w:t xml:space="preserve"> they’ll receive a letter informing them they need to find an alternative medication. </w:t>
            </w:r>
          </w:p>
          <w:p w14:paraId="75853D4D" w14:textId="77777777" w:rsidR="00FC263E" w:rsidRPr="00FA7A41" w:rsidRDefault="00FC263E" w:rsidP="00FA7A41">
            <w:pPr>
              <w:pStyle w:val="ListParagraph"/>
              <w:spacing w:line="256" w:lineRule="auto"/>
              <w:rPr>
                <w:rFonts w:ascii="Verdana" w:hAnsi="Verdana" w:cstheme="minorBidi"/>
                <w:szCs w:val="24"/>
              </w:rPr>
            </w:pPr>
          </w:p>
          <w:p w14:paraId="138DA0F8" w14:textId="7CF5D0CA" w:rsidR="00FC263E" w:rsidRPr="00FA7A41" w:rsidRDefault="00FC263E" w:rsidP="00FA7A41">
            <w:pPr>
              <w:spacing w:line="256" w:lineRule="auto"/>
              <w:rPr>
                <w:szCs w:val="24"/>
              </w:rPr>
            </w:pPr>
            <w:r w:rsidRPr="00FA7A41">
              <w:rPr>
                <w:szCs w:val="24"/>
              </w:rPr>
              <w:t xml:space="preserve">When this happens, a member may call and advise them they do not understand the letter because they were able to fill the medication previously. Verify the details in the claim and educate the member accordingly on the process. </w:t>
            </w:r>
          </w:p>
          <w:p w14:paraId="3B651672" w14:textId="77777777" w:rsidR="00FC263E" w:rsidRPr="00FA7A41" w:rsidRDefault="00FC263E" w:rsidP="00FA7A41">
            <w:pPr>
              <w:pStyle w:val="ListParagraph"/>
              <w:spacing w:line="256" w:lineRule="auto"/>
              <w:rPr>
                <w:rFonts w:ascii="Verdana" w:hAnsi="Verdana" w:cstheme="minorBidi"/>
                <w:szCs w:val="24"/>
              </w:rPr>
            </w:pPr>
          </w:p>
          <w:p w14:paraId="301AF0C7" w14:textId="46A5E6CD" w:rsidR="00FC263E" w:rsidRPr="00FA7A41" w:rsidRDefault="00FC263E" w:rsidP="00FA7A41">
            <w:pPr>
              <w:spacing w:line="256" w:lineRule="auto"/>
              <w:rPr>
                <w:szCs w:val="24"/>
              </w:rPr>
            </w:pPr>
            <w:r w:rsidRPr="00FA7A41">
              <w:rPr>
                <w:szCs w:val="24"/>
              </w:rPr>
              <w:t xml:space="preserve">If the member would like to discuss potential covered alternatives, </w:t>
            </w:r>
            <w:r w:rsidR="003B3549">
              <w:rPr>
                <w:szCs w:val="24"/>
              </w:rPr>
              <w:t xml:space="preserve">run a test claim for alternative medication. Refer to </w:t>
            </w:r>
            <w:hyperlink r:id="rId17" w:anchor="!/view?docid=b3dbfb44-1c9e-47a6-b8f4-6010f553731b" w:history="1">
              <w:r w:rsidR="003B3549" w:rsidRPr="00115081">
                <w:rPr>
                  <w:rStyle w:val="Hyperlink"/>
                  <w:szCs w:val="24"/>
                </w:rPr>
                <w:t>Compass - Viewing and Running Test Claims for Alternative Rx(s) (056849)</w:t>
              </w:r>
            </w:hyperlink>
            <w:r w:rsidRPr="00FA7A41">
              <w:rPr>
                <w:szCs w:val="24"/>
              </w:rPr>
              <w:t xml:space="preserve">. </w:t>
            </w:r>
          </w:p>
          <w:p w14:paraId="1493C236" w14:textId="77777777" w:rsidR="00FC263E" w:rsidRPr="00FA7A41" w:rsidRDefault="00FC263E" w:rsidP="00FA7A41">
            <w:pPr>
              <w:pStyle w:val="ListParagraph"/>
              <w:spacing w:line="256" w:lineRule="auto"/>
              <w:rPr>
                <w:rFonts w:ascii="Verdana" w:hAnsi="Verdana" w:cstheme="minorBidi"/>
                <w:szCs w:val="24"/>
              </w:rPr>
            </w:pPr>
          </w:p>
          <w:p w14:paraId="5C8091C5" w14:textId="436DA78E" w:rsidR="00FC263E" w:rsidRPr="00FA7A41" w:rsidRDefault="00FC263E" w:rsidP="00FA7A41">
            <w:pPr>
              <w:spacing w:line="256" w:lineRule="auto"/>
              <w:rPr>
                <w:szCs w:val="24"/>
              </w:rPr>
            </w:pPr>
            <w:r w:rsidRPr="00446049">
              <w:rPr>
                <w:szCs w:val="24"/>
              </w:rPr>
              <w:t>Refer to</w:t>
            </w:r>
            <w:r w:rsidRPr="00FA7A41">
              <w:rPr>
                <w:szCs w:val="24"/>
              </w:rPr>
              <w:t xml:space="preserve"> </w:t>
            </w:r>
            <w:bookmarkStart w:id="20" w:name="OLE_LINK15"/>
            <w:r w:rsidR="00D675CA">
              <w:rPr>
                <w:szCs w:val="24"/>
              </w:rPr>
              <w:fldChar w:fldCharType="begin"/>
            </w:r>
            <w:r w:rsidR="00D675CA">
              <w:rPr>
                <w:szCs w:val="24"/>
              </w:rPr>
              <w:instrText>HYPERLINK "https://thesource.cvshealth.com/nuxeo/thesource/" \l "!/view?docid=15daa63f-81c8-4c0d-a02d-36481155d042"</w:instrText>
            </w:r>
            <w:r w:rsidR="00D675CA">
              <w:rPr>
                <w:szCs w:val="24"/>
              </w:rPr>
            </w:r>
            <w:r w:rsidR="00D675CA">
              <w:rPr>
                <w:szCs w:val="24"/>
              </w:rPr>
              <w:fldChar w:fldCharType="separate"/>
            </w:r>
            <w:r w:rsidRPr="00D675CA">
              <w:rPr>
                <w:rStyle w:val="Hyperlink"/>
                <w:szCs w:val="24"/>
              </w:rPr>
              <w:t>Compass MED D - Transition Fill Care Processes (061926)</w:t>
            </w:r>
            <w:bookmarkEnd w:id="20"/>
            <w:r w:rsidR="00D675CA">
              <w:rPr>
                <w:szCs w:val="24"/>
              </w:rPr>
              <w:fldChar w:fldCharType="end"/>
            </w:r>
            <w:r>
              <w:rPr>
                <w:szCs w:val="24"/>
              </w:rPr>
              <w:t>.</w:t>
            </w:r>
            <w:r w:rsidRPr="00FA7A41">
              <w:rPr>
                <w:szCs w:val="24"/>
              </w:rPr>
              <w:t xml:space="preserve"> </w:t>
            </w:r>
          </w:p>
        </w:tc>
      </w:tr>
      <w:tr w:rsidR="00FC263E" w14:paraId="1F02C980" w14:textId="77777777" w:rsidTr="001B57A8">
        <w:tc>
          <w:tcPr>
            <w:tcW w:w="976" w:type="pct"/>
          </w:tcPr>
          <w:p w14:paraId="5C36EB9D" w14:textId="6B7E7DBC" w:rsidR="00FC263E" w:rsidRPr="00D24AEA" w:rsidRDefault="00FC263E" w:rsidP="00EC19E3">
            <w:pPr>
              <w:spacing w:line="256" w:lineRule="auto"/>
              <w:rPr>
                <w:szCs w:val="24"/>
              </w:rPr>
            </w:pPr>
            <w:bookmarkStart w:id="21" w:name="OLE_LINK34"/>
            <w:r w:rsidRPr="00667CAA">
              <w:rPr>
                <w:b/>
                <w:bCs/>
                <w:szCs w:val="24"/>
              </w:rPr>
              <w:t>Filing the Applicable Grievances</w:t>
            </w:r>
            <w:bookmarkEnd w:id="21"/>
          </w:p>
        </w:tc>
        <w:tc>
          <w:tcPr>
            <w:tcW w:w="4024" w:type="pct"/>
            <w:gridSpan w:val="3"/>
          </w:tcPr>
          <w:p w14:paraId="1D7E4FAD" w14:textId="674F3012" w:rsidR="00FC263E" w:rsidRPr="00FA7A41" w:rsidRDefault="00FC263E" w:rsidP="00D210A7">
            <w:pPr>
              <w:pStyle w:val="ListParagraph"/>
              <w:numPr>
                <w:ilvl w:val="0"/>
                <w:numId w:val="13"/>
              </w:numPr>
              <w:spacing w:line="256" w:lineRule="auto"/>
              <w:rPr>
                <w:rFonts w:ascii="Verdana" w:hAnsi="Verdana"/>
                <w:szCs w:val="24"/>
              </w:rPr>
            </w:pPr>
            <w:r w:rsidRPr="00FA7A41">
              <w:rPr>
                <w:rFonts w:ascii="Verdana" w:hAnsi="Verdana"/>
                <w:szCs w:val="24"/>
              </w:rPr>
              <w:t xml:space="preserve">Access </w:t>
            </w:r>
            <w:bookmarkStart w:id="22" w:name="OLE_LINK14"/>
            <w:r w:rsidR="001B57A8" w:rsidRPr="001B57A8">
              <w:rPr>
                <w:rFonts w:ascii="Verdana" w:hAnsi="Verdana"/>
                <w:szCs w:val="24"/>
              </w:rPr>
              <w:fldChar w:fldCharType="begin"/>
            </w:r>
            <w:r w:rsidR="001B57A8" w:rsidRPr="001B57A8">
              <w:rPr>
                <w:rFonts w:ascii="Verdana" w:hAnsi="Verdana"/>
                <w:szCs w:val="24"/>
              </w:rPr>
              <w:instrText>HYPERLINK "https://thesource.cvshealth.com/nuxeo/thesource/" \l "!/view?docid=b7f5a139-be8a-493a-8155-3932709e086e" \t "_blank"</w:instrText>
            </w:r>
            <w:r w:rsidR="001B57A8" w:rsidRPr="001B57A8">
              <w:rPr>
                <w:rFonts w:ascii="Verdana" w:hAnsi="Verdana"/>
                <w:szCs w:val="24"/>
              </w:rPr>
            </w:r>
            <w:r w:rsidR="001B57A8" w:rsidRPr="001B57A8">
              <w:rPr>
                <w:rFonts w:ascii="Verdana" w:hAnsi="Verdana"/>
                <w:szCs w:val="24"/>
              </w:rPr>
              <w:fldChar w:fldCharType="separate"/>
            </w:r>
            <w:r w:rsidR="001B57A8" w:rsidRPr="001B57A8">
              <w:rPr>
                <w:rStyle w:val="Hyperlink"/>
                <w:rFonts w:ascii="Verdana" w:hAnsi="Verdana"/>
                <w:szCs w:val="24"/>
              </w:rPr>
              <w:t>Med D - Compass Grievances: CCR - First Call Resolution Documentation Templates (SSI PDP, SSI </w:t>
            </w:r>
            <w:proofErr w:type="spellStart"/>
            <w:r w:rsidR="001B57A8" w:rsidRPr="001B57A8">
              <w:rPr>
                <w:rStyle w:val="Hyperlink"/>
                <w:rFonts w:ascii="Verdana" w:hAnsi="Verdana"/>
                <w:szCs w:val="24"/>
              </w:rPr>
              <w:t>EGWP</w:t>
            </w:r>
            <w:proofErr w:type="spellEnd"/>
            <w:r w:rsidR="001B57A8" w:rsidRPr="001B57A8">
              <w:rPr>
                <w:rStyle w:val="Hyperlink"/>
                <w:rFonts w:ascii="Verdana" w:hAnsi="Verdana"/>
                <w:szCs w:val="24"/>
              </w:rPr>
              <w:t>, Aetna </w:t>
            </w:r>
            <w:proofErr w:type="spellStart"/>
            <w:r w:rsidR="001B57A8" w:rsidRPr="001B57A8">
              <w:rPr>
                <w:rStyle w:val="Hyperlink"/>
                <w:rFonts w:ascii="Verdana" w:hAnsi="Verdana"/>
                <w:szCs w:val="24"/>
              </w:rPr>
              <w:t>EGWP</w:t>
            </w:r>
            <w:proofErr w:type="spellEnd"/>
            <w:r w:rsidR="001B57A8" w:rsidRPr="001B57A8">
              <w:rPr>
                <w:rStyle w:val="Hyperlink"/>
                <w:rFonts w:ascii="Verdana" w:hAnsi="Verdana"/>
                <w:szCs w:val="24"/>
              </w:rPr>
              <w:t>) (068896)</w:t>
            </w:r>
            <w:r w:rsidR="001B57A8" w:rsidRPr="001B57A8">
              <w:rPr>
                <w:rFonts w:ascii="Verdana" w:hAnsi="Verdana"/>
                <w:szCs w:val="24"/>
              </w:rPr>
              <w:fldChar w:fldCharType="end"/>
            </w:r>
            <w:hyperlink r:id="rId18" w:anchor="!/view?docid=b777e546-43ed-498e-8cff-e13a0db07607" w:history="1"/>
            <w:bookmarkEnd w:id="22"/>
            <w:r>
              <w:rPr>
                <w:rFonts w:ascii="Verdana" w:hAnsi="Verdana"/>
                <w:szCs w:val="24"/>
              </w:rPr>
              <w:t>.</w:t>
            </w:r>
          </w:p>
          <w:p w14:paraId="11C37498" w14:textId="73B509CD" w:rsidR="00FC263E" w:rsidRPr="00FA7A41" w:rsidRDefault="00FC263E" w:rsidP="00D210A7">
            <w:pPr>
              <w:pStyle w:val="ListParagraph"/>
              <w:numPr>
                <w:ilvl w:val="0"/>
                <w:numId w:val="13"/>
              </w:numPr>
              <w:spacing w:line="256" w:lineRule="auto"/>
              <w:rPr>
                <w:rFonts w:ascii="Verdana" w:hAnsi="Verdana"/>
                <w:szCs w:val="24"/>
              </w:rPr>
            </w:pPr>
            <w:r w:rsidRPr="00FA7A41">
              <w:rPr>
                <w:rFonts w:ascii="Verdana" w:hAnsi="Verdana"/>
                <w:szCs w:val="24"/>
              </w:rPr>
              <w:t>Access the MHK Nitro system</w:t>
            </w:r>
            <w:r>
              <w:rPr>
                <w:rFonts w:ascii="Verdana" w:hAnsi="Verdana"/>
                <w:szCs w:val="24"/>
              </w:rPr>
              <w:t>.</w:t>
            </w:r>
          </w:p>
          <w:p w14:paraId="206890E4" w14:textId="77777777" w:rsidR="00FC263E" w:rsidRDefault="00FC263E" w:rsidP="00D210A7">
            <w:pPr>
              <w:pStyle w:val="ListParagraph"/>
              <w:numPr>
                <w:ilvl w:val="0"/>
                <w:numId w:val="13"/>
              </w:numPr>
              <w:spacing w:line="256" w:lineRule="auto"/>
              <w:rPr>
                <w:rFonts w:ascii="Verdana" w:hAnsi="Verdana"/>
                <w:szCs w:val="24"/>
              </w:rPr>
            </w:pPr>
            <w:r w:rsidRPr="00FA7A41">
              <w:rPr>
                <w:rFonts w:ascii="Verdana" w:hAnsi="Verdana"/>
                <w:szCs w:val="24"/>
              </w:rPr>
              <w:t xml:space="preserve">Submit an FCR Grievance for “Physician Wrote Prescription So Additional Approval Should Not Be Necessary (CD/RD).” </w:t>
            </w:r>
          </w:p>
          <w:p w14:paraId="31FE3836" w14:textId="77777777" w:rsidR="00FC263E" w:rsidRDefault="00FC263E" w:rsidP="003E6A03">
            <w:pPr>
              <w:spacing w:line="256" w:lineRule="auto"/>
              <w:rPr>
                <w:b/>
                <w:bCs/>
                <w:szCs w:val="24"/>
              </w:rPr>
            </w:pPr>
          </w:p>
          <w:p w14:paraId="4612D7EF" w14:textId="2FE0E1F4" w:rsidR="00FC263E" w:rsidRDefault="00FC263E" w:rsidP="00FA7A41">
            <w:pPr>
              <w:spacing w:line="256" w:lineRule="auto"/>
              <w:rPr>
                <w:szCs w:val="24"/>
              </w:rPr>
            </w:pPr>
            <w:r w:rsidRPr="00446049">
              <w:rPr>
                <w:b/>
                <w:bCs/>
                <w:szCs w:val="24"/>
              </w:rPr>
              <w:t>N</w:t>
            </w:r>
            <w:r>
              <w:rPr>
                <w:b/>
                <w:bCs/>
                <w:szCs w:val="24"/>
              </w:rPr>
              <w:t>otes</w:t>
            </w:r>
            <w:r w:rsidRPr="00EE57B6">
              <w:rPr>
                <w:b/>
                <w:bCs/>
                <w:szCs w:val="24"/>
              </w:rPr>
              <w:t>:</w:t>
            </w:r>
          </w:p>
          <w:p w14:paraId="0B6DA9B5" w14:textId="6B0181DD" w:rsidR="00FC263E" w:rsidRPr="003E6A03" w:rsidRDefault="00FC263E" w:rsidP="00613260">
            <w:pPr>
              <w:pStyle w:val="ListParagraph"/>
              <w:numPr>
                <w:ilvl w:val="0"/>
                <w:numId w:val="20"/>
              </w:numPr>
            </w:pPr>
            <w:r w:rsidRPr="00446049">
              <w:rPr>
                <w:rFonts w:ascii="Verdana" w:hAnsi="Verdana"/>
                <w:szCs w:val="24"/>
              </w:rPr>
              <w:t>Always confirm if there is an open grievance for this same issue first.</w:t>
            </w:r>
          </w:p>
          <w:p w14:paraId="35D09C23" w14:textId="00020708" w:rsidR="00FC263E" w:rsidRPr="00446049" w:rsidRDefault="00FC263E" w:rsidP="00446049">
            <w:pPr>
              <w:pStyle w:val="ListParagraph"/>
              <w:numPr>
                <w:ilvl w:val="0"/>
                <w:numId w:val="20"/>
              </w:numPr>
              <w:spacing w:line="256" w:lineRule="auto"/>
              <w:rPr>
                <w:rFonts w:ascii="Verdana" w:hAnsi="Verdana"/>
                <w:szCs w:val="24"/>
              </w:rPr>
            </w:pPr>
            <w:r w:rsidRPr="00446049">
              <w:rPr>
                <w:rFonts w:ascii="Verdana" w:hAnsi="Verdana"/>
                <w:szCs w:val="24"/>
              </w:rPr>
              <w:t>This is an FCR Grievance because the CD process will not change but we need to record our member experiences &amp; dissatisfactions regarding having to go through the CD process.</w:t>
            </w:r>
          </w:p>
        </w:tc>
      </w:tr>
      <w:tr w:rsidR="00BE7FC6" w14:paraId="6DAC3F1C" w14:textId="77777777" w:rsidTr="001B57A8">
        <w:trPr>
          <w:trHeight w:val="85"/>
        </w:trPr>
        <w:tc>
          <w:tcPr>
            <w:tcW w:w="976" w:type="pct"/>
            <w:vMerge w:val="restart"/>
          </w:tcPr>
          <w:p w14:paraId="09A30EB6" w14:textId="1ACC520F" w:rsidR="0081623F" w:rsidRPr="00667CAA" w:rsidRDefault="0081623F" w:rsidP="00EC19E3">
            <w:pPr>
              <w:spacing w:after="0" w:line="240" w:lineRule="auto"/>
              <w:rPr>
                <w:b/>
                <w:bCs/>
                <w:szCs w:val="24"/>
              </w:rPr>
            </w:pPr>
            <w:bookmarkStart w:id="23" w:name="OLE_LINK35"/>
            <w:r w:rsidRPr="00667CAA">
              <w:rPr>
                <w:b/>
                <w:bCs/>
                <w:szCs w:val="24"/>
              </w:rPr>
              <w:t>Anticipating Beneficiary Q&amp;A</w:t>
            </w:r>
            <w:bookmarkEnd w:id="23"/>
          </w:p>
        </w:tc>
        <w:tc>
          <w:tcPr>
            <w:tcW w:w="4024" w:type="pct"/>
            <w:gridSpan w:val="3"/>
          </w:tcPr>
          <w:p w14:paraId="1E646B88" w14:textId="11AC07A6" w:rsidR="0081623F" w:rsidRDefault="0081623F" w:rsidP="003A3961">
            <w:pPr>
              <w:pStyle w:val="ListParagraph"/>
              <w:spacing w:line="256" w:lineRule="auto"/>
              <w:ind w:left="-29"/>
              <w:rPr>
                <w:rFonts w:ascii="Verdana" w:hAnsi="Verdana"/>
                <w:szCs w:val="24"/>
              </w:rPr>
            </w:pPr>
            <w:r w:rsidRPr="00D210A7">
              <w:rPr>
                <w:rFonts w:ascii="Verdana" w:hAnsi="Verdana"/>
                <w:szCs w:val="24"/>
              </w:rPr>
              <w:t xml:space="preserve"> </w:t>
            </w:r>
          </w:p>
          <w:p w14:paraId="116869B7" w14:textId="54E98A1D" w:rsidR="0081623F" w:rsidRPr="00D210A7" w:rsidRDefault="0081623F" w:rsidP="003A3961">
            <w:pPr>
              <w:pStyle w:val="ListParagraph"/>
              <w:spacing w:line="256" w:lineRule="auto"/>
              <w:ind w:left="-29"/>
              <w:rPr>
                <w:rFonts w:ascii="Verdana" w:hAnsi="Verdana"/>
                <w:szCs w:val="24"/>
              </w:rPr>
            </w:pPr>
            <w:r>
              <w:rPr>
                <w:rFonts w:ascii="Verdana" w:hAnsi="Verdana"/>
                <w:szCs w:val="24"/>
              </w:rPr>
              <w:t>Refer to the below:</w:t>
            </w:r>
          </w:p>
        </w:tc>
      </w:tr>
      <w:tr w:rsidR="00BE7FC6" w14:paraId="3E347588" w14:textId="77777777" w:rsidTr="001B57A8">
        <w:trPr>
          <w:trHeight w:val="20"/>
        </w:trPr>
        <w:tc>
          <w:tcPr>
            <w:tcW w:w="976" w:type="pct"/>
            <w:vMerge/>
          </w:tcPr>
          <w:p w14:paraId="555F70C1" w14:textId="77777777" w:rsidR="0081623F" w:rsidRPr="00667CAA" w:rsidRDefault="0081623F" w:rsidP="00667CAA">
            <w:pPr>
              <w:spacing w:after="0" w:line="240" w:lineRule="auto"/>
              <w:jc w:val="center"/>
              <w:rPr>
                <w:b/>
                <w:bCs/>
                <w:szCs w:val="24"/>
              </w:rPr>
            </w:pPr>
          </w:p>
        </w:tc>
        <w:tc>
          <w:tcPr>
            <w:tcW w:w="423" w:type="pct"/>
            <w:shd w:val="clear" w:color="auto" w:fill="D9D9D9" w:themeFill="background1" w:themeFillShade="D9"/>
          </w:tcPr>
          <w:p w14:paraId="5C7C385E" w14:textId="2B8C7432" w:rsidR="0081623F" w:rsidRPr="0081623F" w:rsidRDefault="0081623F" w:rsidP="0081623F">
            <w:pPr>
              <w:spacing w:before="120" w:after="120" w:line="240" w:lineRule="auto"/>
              <w:jc w:val="center"/>
              <w:rPr>
                <w:b/>
                <w:bCs/>
              </w:rPr>
            </w:pPr>
            <w:r w:rsidRPr="0081623F">
              <w:rPr>
                <w:b/>
                <w:bCs/>
              </w:rPr>
              <w:t>#</w:t>
            </w:r>
          </w:p>
        </w:tc>
        <w:tc>
          <w:tcPr>
            <w:tcW w:w="1571" w:type="pct"/>
            <w:shd w:val="clear" w:color="auto" w:fill="D9D9D9" w:themeFill="background1" w:themeFillShade="D9"/>
          </w:tcPr>
          <w:p w14:paraId="69676A88" w14:textId="25CA49C1" w:rsidR="0081623F" w:rsidRPr="003A3961" w:rsidRDefault="0081623F" w:rsidP="00682423">
            <w:pPr>
              <w:spacing w:before="120" w:after="120" w:line="240" w:lineRule="auto"/>
              <w:jc w:val="center"/>
              <w:rPr>
                <w:b/>
                <w:bCs/>
              </w:rPr>
            </w:pPr>
            <w:r w:rsidRPr="003A3961">
              <w:rPr>
                <w:b/>
                <w:bCs/>
              </w:rPr>
              <w:t>Question</w:t>
            </w:r>
          </w:p>
        </w:tc>
        <w:tc>
          <w:tcPr>
            <w:tcW w:w="2030" w:type="pct"/>
            <w:shd w:val="clear" w:color="auto" w:fill="D9D9D9" w:themeFill="background1" w:themeFillShade="D9"/>
          </w:tcPr>
          <w:p w14:paraId="4975907A" w14:textId="47A91489" w:rsidR="0081623F" w:rsidRPr="003A3961" w:rsidRDefault="0081623F" w:rsidP="00682423">
            <w:pPr>
              <w:spacing w:before="120" w:after="120" w:line="240" w:lineRule="auto"/>
              <w:jc w:val="center"/>
              <w:rPr>
                <w:b/>
                <w:bCs/>
              </w:rPr>
            </w:pPr>
            <w:r w:rsidRPr="003A3961">
              <w:rPr>
                <w:b/>
                <w:bCs/>
              </w:rPr>
              <w:t>Answer</w:t>
            </w:r>
          </w:p>
        </w:tc>
      </w:tr>
      <w:tr w:rsidR="00BE7FC6" w14:paraId="1E9897AD" w14:textId="77777777" w:rsidTr="001B57A8">
        <w:trPr>
          <w:trHeight w:val="20"/>
        </w:trPr>
        <w:tc>
          <w:tcPr>
            <w:tcW w:w="976" w:type="pct"/>
            <w:vMerge/>
          </w:tcPr>
          <w:p w14:paraId="7D8DBABE" w14:textId="77777777" w:rsidR="0081623F" w:rsidRPr="00667CAA" w:rsidRDefault="0081623F" w:rsidP="00667CAA">
            <w:pPr>
              <w:spacing w:after="0" w:line="240" w:lineRule="auto"/>
              <w:jc w:val="center"/>
              <w:rPr>
                <w:b/>
                <w:bCs/>
                <w:szCs w:val="24"/>
              </w:rPr>
            </w:pPr>
          </w:p>
        </w:tc>
        <w:tc>
          <w:tcPr>
            <w:tcW w:w="423" w:type="pct"/>
          </w:tcPr>
          <w:p w14:paraId="70A50863" w14:textId="1286CC85" w:rsidR="0081623F" w:rsidRPr="0081623F" w:rsidRDefault="0081623F" w:rsidP="0081623F">
            <w:pPr>
              <w:spacing w:before="120" w:after="120" w:line="240" w:lineRule="auto"/>
              <w:jc w:val="center"/>
              <w:rPr>
                <w:b/>
                <w:bCs/>
              </w:rPr>
            </w:pPr>
            <w:r>
              <w:rPr>
                <w:b/>
                <w:bCs/>
              </w:rPr>
              <w:t>1</w:t>
            </w:r>
          </w:p>
        </w:tc>
        <w:tc>
          <w:tcPr>
            <w:tcW w:w="1571" w:type="pct"/>
          </w:tcPr>
          <w:p w14:paraId="36848C7D" w14:textId="4457A014" w:rsidR="0081623F" w:rsidRPr="005D67EC" w:rsidRDefault="0081623F" w:rsidP="00682423">
            <w:pPr>
              <w:spacing w:before="120" w:after="120" w:line="240" w:lineRule="auto"/>
            </w:pPr>
            <w:r w:rsidRPr="00FA7A41">
              <w:t>How long will it take to get a response on my Coverage Determination request?</w:t>
            </w:r>
          </w:p>
        </w:tc>
        <w:tc>
          <w:tcPr>
            <w:tcW w:w="2030" w:type="pct"/>
          </w:tcPr>
          <w:p w14:paraId="0DF31DAB" w14:textId="77777777" w:rsidR="0081623F" w:rsidRPr="00FA7A41" w:rsidRDefault="0081623F" w:rsidP="00682423">
            <w:pPr>
              <w:spacing w:before="120" w:after="120" w:line="240" w:lineRule="auto"/>
            </w:pPr>
            <w:r>
              <w:t>T</w:t>
            </w:r>
            <w:r w:rsidRPr="00FA7A41">
              <w:t xml:space="preserve">he guidance is: </w:t>
            </w:r>
          </w:p>
          <w:p w14:paraId="42C5E597" w14:textId="77777777" w:rsidR="0081623F" w:rsidRPr="003A3961" w:rsidRDefault="0081623F" w:rsidP="00682423">
            <w:pPr>
              <w:pStyle w:val="ListParagraph"/>
              <w:numPr>
                <w:ilvl w:val="0"/>
                <w:numId w:val="24"/>
              </w:numPr>
              <w:spacing w:before="120" w:after="120"/>
              <w:rPr>
                <w:rFonts w:ascii="Verdana" w:hAnsi="Verdana"/>
              </w:rPr>
            </w:pPr>
            <w:r w:rsidRPr="003A3961">
              <w:rPr>
                <w:rFonts w:ascii="Verdana" w:hAnsi="Verdana"/>
              </w:rPr>
              <w:t>Standard – 72 hrs., up to 17 days for any exceptions request</w:t>
            </w:r>
          </w:p>
          <w:p w14:paraId="3D059BBC" w14:textId="77777777" w:rsidR="0081623F" w:rsidRPr="003A3961" w:rsidRDefault="0081623F" w:rsidP="00682423">
            <w:pPr>
              <w:pStyle w:val="ListParagraph"/>
              <w:numPr>
                <w:ilvl w:val="0"/>
                <w:numId w:val="24"/>
              </w:numPr>
              <w:spacing w:before="120" w:after="120"/>
              <w:rPr>
                <w:rFonts w:ascii="Verdana" w:hAnsi="Verdana"/>
              </w:rPr>
            </w:pPr>
            <w:r w:rsidRPr="003A3961">
              <w:rPr>
                <w:rFonts w:ascii="Verdana" w:hAnsi="Verdana"/>
              </w:rPr>
              <w:t xml:space="preserve">Expedited – 24 hrs., up to 15 days for any exceptions request </w:t>
            </w:r>
          </w:p>
          <w:p w14:paraId="41421125" w14:textId="03C5E4C0" w:rsidR="0081623F" w:rsidRPr="005D67EC" w:rsidRDefault="0081623F" w:rsidP="00682423">
            <w:pPr>
              <w:spacing w:before="120" w:after="120" w:line="240" w:lineRule="auto"/>
            </w:pPr>
            <w:r w:rsidRPr="003A3961">
              <w:rPr>
                <w:b/>
                <w:bCs/>
              </w:rPr>
              <w:t>Note:</w:t>
            </w:r>
            <w:r w:rsidRPr="00FA7A41">
              <w:t xml:space="preserve"> </w:t>
            </w:r>
            <w:r>
              <w:t xml:space="preserve"> </w:t>
            </w:r>
            <w:r w:rsidRPr="00FA7A41">
              <w:t>this includes nights, weekends, and holidays</w:t>
            </w:r>
          </w:p>
        </w:tc>
      </w:tr>
      <w:tr w:rsidR="00BE7FC6" w14:paraId="003EE59C" w14:textId="77777777" w:rsidTr="001B57A8">
        <w:trPr>
          <w:trHeight w:val="20"/>
        </w:trPr>
        <w:tc>
          <w:tcPr>
            <w:tcW w:w="976" w:type="pct"/>
            <w:vMerge/>
          </w:tcPr>
          <w:p w14:paraId="5EFF9C84" w14:textId="77777777" w:rsidR="0081623F" w:rsidRPr="00667CAA" w:rsidRDefault="0081623F" w:rsidP="00667CAA">
            <w:pPr>
              <w:spacing w:after="0" w:line="240" w:lineRule="auto"/>
              <w:jc w:val="center"/>
              <w:rPr>
                <w:b/>
                <w:bCs/>
                <w:szCs w:val="24"/>
              </w:rPr>
            </w:pPr>
          </w:p>
        </w:tc>
        <w:tc>
          <w:tcPr>
            <w:tcW w:w="423" w:type="pct"/>
          </w:tcPr>
          <w:p w14:paraId="54D5FDCC" w14:textId="4828203E" w:rsidR="0081623F" w:rsidRPr="0081623F" w:rsidRDefault="0081623F" w:rsidP="0081623F">
            <w:pPr>
              <w:spacing w:before="120" w:after="120" w:line="240" w:lineRule="auto"/>
              <w:jc w:val="center"/>
              <w:rPr>
                <w:b/>
                <w:bCs/>
              </w:rPr>
            </w:pPr>
            <w:r>
              <w:rPr>
                <w:b/>
                <w:bCs/>
              </w:rPr>
              <w:t>2</w:t>
            </w:r>
          </w:p>
        </w:tc>
        <w:tc>
          <w:tcPr>
            <w:tcW w:w="1571" w:type="pct"/>
          </w:tcPr>
          <w:p w14:paraId="314A31C4" w14:textId="2219DA3C" w:rsidR="0081623F" w:rsidRPr="005D67EC" w:rsidRDefault="0081623F" w:rsidP="00682423">
            <w:pPr>
              <w:spacing w:before="120" w:after="120" w:line="240" w:lineRule="auto"/>
            </w:pPr>
            <w:r w:rsidRPr="003E6A03">
              <w:t>What can I do if my Coverage Determination request is denied?</w:t>
            </w:r>
          </w:p>
        </w:tc>
        <w:tc>
          <w:tcPr>
            <w:tcW w:w="2030" w:type="pct"/>
          </w:tcPr>
          <w:p w14:paraId="0F245789" w14:textId="2EC23B06" w:rsidR="0081623F" w:rsidRPr="005D67EC" w:rsidRDefault="0081623F" w:rsidP="00682423">
            <w:pPr>
              <w:spacing w:before="120" w:after="120" w:line="240" w:lineRule="auto"/>
            </w:pPr>
            <w:r w:rsidRPr="003E6A03">
              <w:t>The member has a right to Appeal the decision.</w:t>
            </w:r>
          </w:p>
        </w:tc>
      </w:tr>
      <w:tr w:rsidR="00BE7FC6" w14:paraId="1CD1EAC7" w14:textId="77777777" w:rsidTr="001B57A8">
        <w:trPr>
          <w:trHeight w:val="20"/>
        </w:trPr>
        <w:tc>
          <w:tcPr>
            <w:tcW w:w="976" w:type="pct"/>
            <w:vMerge/>
          </w:tcPr>
          <w:p w14:paraId="07FB460D" w14:textId="77777777" w:rsidR="0081623F" w:rsidRPr="00667CAA" w:rsidRDefault="0081623F" w:rsidP="00667CAA">
            <w:pPr>
              <w:spacing w:after="0" w:line="240" w:lineRule="auto"/>
              <w:jc w:val="center"/>
              <w:rPr>
                <w:b/>
                <w:bCs/>
                <w:szCs w:val="24"/>
              </w:rPr>
            </w:pPr>
          </w:p>
        </w:tc>
        <w:tc>
          <w:tcPr>
            <w:tcW w:w="423" w:type="pct"/>
          </w:tcPr>
          <w:p w14:paraId="378DD579" w14:textId="5F891D11" w:rsidR="0081623F" w:rsidRPr="0081623F" w:rsidRDefault="0081623F" w:rsidP="0081623F">
            <w:pPr>
              <w:spacing w:before="120" w:after="120" w:line="240" w:lineRule="auto"/>
              <w:jc w:val="center"/>
              <w:rPr>
                <w:b/>
                <w:bCs/>
              </w:rPr>
            </w:pPr>
            <w:r>
              <w:rPr>
                <w:b/>
                <w:bCs/>
              </w:rPr>
              <w:t>3</w:t>
            </w:r>
          </w:p>
        </w:tc>
        <w:tc>
          <w:tcPr>
            <w:tcW w:w="1571" w:type="pct"/>
          </w:tcPr>
          <w:p w14:paraId="36F455E3" w14:textId="422243BF" w:rsidR="0081623F" w:rsidRPr="005D67EC" w:rsidRDefault="0081623F" w:rsidP="00682423">
            <w:pPr>
              <w:spacing w:before="120" w:after="120" w:line="240" w:lineRule="auto"/>
            </w:pPr>
            <w:r w:rsidRPr="00FA7A41">
              <w:t>If I file a Redetermination, how long does it take to get a response?</w:t>
            </w:r>
          </w:p>
        </w:tc>
        <w:tc>
          <w:tcPr>
            <w:tcW w:w="2030" w:type="pct"/>
          </w:tcPr>
          <w:p w14:paraId="69985217" w14:textId="77777777" w:rsidR="0081623F" w:rsidRPr="00FA7A41" w:rsidRDefault="0081623F" w:rsidP="00682423">
            <w:pPr>
              <w:spacing w:before="120" w:after="120" w:line="240" w:lineRule="auto"/>
            </w:pPr>
            <w:r>
              <w:t>T</w:t>
            </w:r>
            <w:r w:rsidRPr="00FA7A41">
              <w:t xml:space="preserve">he guidance is: </w:t>
            </w:r>
          </w:p>
          <w:p w14:paraId="13922E8D" w14:textId="77777777" w:rsidR="0081623F" w:rsidRPr="003A3961" w:rsidRDefault="0081623F" w:rsidP="00682423">
            <w:pPr>
              <w:pStyle w:val="ListParagraph"/>
              <w:numPr>
                <w:ilvl w:val="0"/>
                <w:numId w:val="25"/>
              </w:numPr>
              <w:spacing w:before="120" w:after="120"/>
              <w:rPr>
                <w:rFonts w:ascii="Verdana" w:hAnsi="Verdana"/>
              </w:rPr>
            </w:pPr>
            <w:r w:rsidRPr="003A3961">
              <w:rPr>
                <w:rFonts w:ascii="Verdana" w:hAnsi="Verdana"/>
              </w:rPr>
              <w:t>72 hrs. for expedited</w:t>
            </w:r>
          </w:p>
          <w:p w14:paraId="6A1083CE" w14:textId="77777777" w:rsidR="0081623F" w:rsidRPr="003A3961" w:rsidRDefault="0081623F" w:rsidP="00682423">
            <w:pPr>
              <w:pStyle w:val="ListParagraph"/>
              <w:numPr>
                <w:ilvl w:val="0"/>
                <w:numId w:val="25"/>
              </w:numPr>
              <w:spacing w:before="120" w:after="120"/>
              <w:rPr>
                <w:rFonts w:ascii="Verdana" w:hAnsi="Verdana"/>
              </w:rPr>
            </w:pPr>
            <w:r w:rsidRPr="003A3961">
              <w:rPr>
                <w:rFonts w:ascii="Verdana" w:hAnsi="Verdana"/>
              </w:rPr>
              <w:t xml:space="preserve">7 calendar days for standard </w:t>
            </w:r>
          </w:p>
          <w:p w14:paraId="4DBB12ED" w14:textId="4F12F683" w:rsidR="0081623F" w:rsidRPr="005D67EC" w:rsidRDefault="0081623F" w:rsidP="00682423">
            <w:pPr>
              <w:spacing w:before="120" w:after="120" w:line="240" w:lineRule="auto"/>
            </w:pPr>
            <w:r w:rsidRPr="003A3961">
              <w:rPr>
                <w:b/>
                <w:bCs/>
              </w:rPr>
              <w:t>Note:</w:t>
            </w:r>
            <w:r w:rsidRPr="00FA7A41">
              <w:t xml:space="preserve"> </w:t>
            </w:r>
            <w:r>
              <w:t xml:space="preserve"> </w:t>
            </w:r>
            <w:r w:rsidRPr="00FA7A41">
              <w:t>this includes nights, weekends, and holidays</w:t>
            </w:r>
          </w:p>
        </w:tc>
      </w:tr>
      <w:tr w:rsidR="00BE7FC6" w14:paraId="51DA3942" w14:textId="77777777" w:rsidTr="001B57A8">
        <w:trPr>
          <w:trHeight w:val="20"/>
        </w:trPr>
        <w:tc>
          <w:tcPr>
            <w:tcW w:w="976" w:type="pct"/>
            <w:vMerge/>
          </w:tcPr>
          <w:p w14:paraId="3C2892EF" w14:textId="77777777" w:rsidR="0081623F" w:rsidRPr="00667CAA" w:rsidRDefault="0081623F" w:rsidP="00667CAA">
            <w:pPr>
              <w:spacing w:after="0" w:line="240" w:lineRule="auto"/>
              <w:jc w:val="center"/>
              <w:rPr>
                <w:b/>
                <w:bCs/>
                <w:szCs w:val="24"/>
              </w:rPr>
            </w:pPr>
          </w:p>
        </w:tc>
        <w:tc>
          <w:tcPr>
            <w:tcW w:w="423" w:type="pct"/>
          </w:tcPr>
          <w:p w14:paraId="6E1D87E0" w14:textId="66E6A382" w:rsidR="0081623F" w:rsidRPr="0081623F" w:rsidRDefault="0081623F" w:rsidP="0081623F">
            <w:pPr>
              <w:spacing w:before="120" w:after="120" w:line="240" w:lineRule="auto"/>
              <w:jc w:val="center"/>
              <w:rPr>
                <w:b/>
                <w:bCs/>
              </w:rPr>
            </w:pPr>
            <w:r>
              <w:rPr>
                <w:b/>
                <w:bCs/>
              </w:rPr>
              <w:t>4</w:t>
            </w:r>
          </w:p>
        </w:tc>
        <w:tc>
          <w:tcPr>
            <w:tcW w:w="1571" w:type="pct"/>
          </w:tcPr>
          <w:p w14:paraId="6FFB9290" w14:textId="754B8AEC" w:rsidR="0081623F" w:rsidRPr="005D67EC" w:rsidRDefault="0081623F" w:rsidP="00682423">
            <w:pPr>
              <w:spacing w:before="120" w:after="120" w:line="240" w:lineRule="auto"/>
            </w:pPr>
            <w:r w:rsidRPr="00FA7A41">
              <w:t>Do I have to request a Prior Authorization every year or if I get approved, is it good for as long as I take my meds?</w:t>
            </w:r>
          </w:p>
        </w:tc>
        <w:tc>
          <w:tcPr>
            <w:tcW w:w="2030" w:type="pct"/>
          </w:tcPr>
          <w:p w14:paraId="7B99AEF7" w14:textId="1E378E28" w:rsidR="0081623F" w:rsidRPr="005D67EC" w:rsidRDefault="0081623F" w:rsidP="00682423">
            <w:pPr>
              <w:spacing w:before="120" w:after="120" w:line="240" w:lineRule="auto"/>
            </w:pPr>
            <w:r w:rsidRPr="00FA7A41">
              <w:t>It must be renewed annually. The length of the approval may vary based on the medication and the doctor’s approval.</w:t>
            </w:r>
          </w:p>
        </w:tc>
      </w:tr>
      <w:tr w:rsidR="00BE7FC6" w14:paraId="1F8E173A" w14:textId="77777777" w:rsidTr="001B57A8">
        <w:trPr>
          <w:trHeight w:val="20"/>
        </w:trPr>
        <w:tc>
          <w:tcPr>
            <w:tcW w:w="976" w:type="pct"/>
            <w:vMerge/>
          </w:tcPr>
          <w:p w14:paraId="3BD378CF" w14:textId="77777777" w:rsidR="0081623F" w:rsidRPr="00667CAA" w:rsidRDefault="0081623F" w:rsidP="00667CAA">
            <w:pPr>
              <w:spacing w:after="0" w:line="240" w:lineRule="auto"/>
              <w:jc w:val="center"/>
              <w:rPr>
                <w:b/>
                <w:bCs/>
                <w:szCs w:val="24"/>
              </w:rPr>
            </w:pPr>
          </w:p>
        </w:tc>
        <w:tc>
          <w:tcPr>
            <w:tcW w:w="423" w:type="pct"/>
          </w:tcPr>
          <w:p w14:paraId="0B1218B7" w14:textId="05BBF948" w:rsidR="0081623F" w:rsidRPr="0081623F" w:rsidRDefault="0081623F" w:rsidP="0081623F">
            <w:pPr>
              <w:spacing w:before="120" w:after="120" w:line="240" w:lineRule="auto"/>
              <w:jc w:val="center"/>
              <w:rPr>
                <w:b/>
                <w:bCs/>
              </w:rPr>
            </w:pPr>
            <w:r>
              <w:rPr>
                <w:b/>
                <w:bCs/>
              </w:rPr>
              <w:t>5</w:t>
            </w:r>
          </w:p>
        </w:tc>
        <w:tc>
          <w:tcPr>
            <w:tcW w:w="1571" w:type="pct"/>
          </w:tcPr>
          <w:p w14:paraId="5B409FE0" w14:textId="0766BA9F" w:rsidR="0081623F" w:rsidRPr="005D67EC" w:rsidRDefault="0081623F" w:rsidP="00682423">
            <w:pPr>
              <w:spacing w:before="120" w:after="120" w:line="240" w:lineRule="auto"/>
            </w:pPr>
            <w:r w:rsidRPr="00FA7A41">
              <w:t>Is it possible to have my Prior Authorization backdated?</w:t>
            </w:r>
          </w:p>
        </w:tc>
        <w:tc>
          <w:tcPr>
            <w:tcW w:w="2030" w:type="pct"/>
          </w:tcPr>
          <w:p w14:paraId="3ACE8341" w14:textId="7EB2CA42" w:rsidR="0081623F" w:rsidRPr="005D67EC" w:rsidRDefault="0081623F" w:rsidP="00682423">
            <w:pPr>
              <w:spacing w:before="120" w:after="120" w:line="240" w:lineRule="auto"/>
            </w:pPr>
            <w:r w:rsidRPr="00FA7A41">
              <w:t>The decision will be made by the team handling the determination; they will collaborate with your doctor to make a final determination. After the final decision is made, we will be able to provide you with the information.</w:t>
            </w:r>
          </w:p>
        </w:tc>
      </w:tr>
      <w:tr w:rsidR="00BE7FC6" w14:paraId="4371A502" w14:textId="77777777" w:rsidTr="001B57A8">
        <w:trPr>
          <w:trHeight w:val="20"/>
        </w:trPr>
        <w:tc>
          <w:tcPr>
            <w:tcW w:w="976" w:type="pct"/>
            <w:vMerge/>
          </w:tcPr>
          <w:p w14:paraId="291DD1E8" w14:textId="77777777" w:rsidR="0081623F" w:rsidRPr="00667CAA" w:rsidRDefault="0081623F" w:rsidP="00667CAA">
            <w:pPr>
              <w:spacing w:after="0" w:line="240" w:lineRule="auto"/>
              <w:jc w:val="center"/>
              <w:rPr>
                <w:b/>
                <w:bCs/>
                <w:szCs w:val="24"/>
              </w:rPr>
            </w:pPr>
          </w:p>
        </w:tc>
        <w:tc>
          <w:tcPr>
            <w:tcW w:w="423" w:type="pct"/>
          </w:tcPr>
          <w:p w14:paraId="41FC90EA" w14:textId="1CFC4172" w:rsidR="0081623F" w:rsidRPr="0081623F" w:rsidRDefault="0081623F" w:rsidP="0081623F">
            <w:pPr>
              <w:spacing w:before="120" w:after="120" w:line="240" w:lineRule="auto"/>
              <w:jc w:val="center"/>
              <w:rPr>
                <w:b/>
                <w:bCs/>
              </w:rPr>
            </w:pPr>
            <w:r>
              <w:rPr>
                <w:b/>
                <w:bCs/>
              </w:rPr>
              <w:t>6</w:t>
            </w:r>
          </w:p>
        </w:tc>
        <w:tc>
          <w:tcPr>
            <w:tcW w:w="1571" w:type="pct"/>
          </w:tcPr>
          <w:p w14:paraId="223B371C" w14:textId="4370305F" w:rsidR="0081623F" w:rsidRPr="005D67EC" w:rsidRDefault="0081623F" w:rsidP="00682423">
            <w:pPr>
              <w:spacing w:before="120" w:after="120" w:line="240" w:lineRule="auto"/>
            </w:pPr>
            <w:r w:rsidRPr="00D210A7">
              <w:t>What can be done now, I need my medication?</w:t>
            </w:r>
          </w:p>
        </w:tc>
        <w:tc>
          <w:tcPr>
            <w:tcW w:w="2030" w:type="pct"/>
          </w:tcPr>
          <w:p w14:paraId="4241CEBD" w14:textId="77777777" w:rsidR="0081623F" w:rsidRPr="003A3961" w:rsidRDefault="0081623F" w:rsidP="00682423">
            <w:pPr>
              <w:spacing w:before="120" w:after="120" w:line="240" w:lineRule="auto"/>
            </w:pPr>
            <w:r w:rsidRPr="003A3961">
              <w:t xml:space="preserve">The member can pay out of pocket and if the Prior Authorization is approved and backdated, they can submit a paper claim for a reimbursement. If the PA is denied, they always have the right to Appeal the decision. </w:t>
            </w:r>
          </w:p>
          <w:p w14:paraId="780A6FD8" w14:textId="7C03D348" w:rsidR="0081623F" w:rsidRPr="005D67EC" w:rsidRDefault="0081623F" w:rsidP="00682423">
            <w:pPr>
              <w:spacing w:before="120" w:after="120" w:line="240" w:lineRule="auto"/>
            </w:pPr>
            <w:r w:rsidRPr="003A3961">
              <w:rPr>
                <w:b/>
                <w:bCs/>
              </w:rPr>
              <w:t>Note:</w:t>
            </w:r>
            <w:r w:rsidRPr="00D210A7">
              <w:t xml:space="preserve"> </w:t>
            </w:r>
            <w:r>
              <w:t xml:space="preserve"> Refer to </w:t>
            </w:r>
            <w:hyperlink r:id="rId19" w:anchor="!/view?docid=62aa67ac-8298-4fa1-b1ba-fda383d15b4c" w:history="1">
              <w:r w:rsidR="000A3F1A" w:rsidRPr="000A3F1A">
                <w:rPr>
                  <w:rStyle w:val="Hyperlink"/>
                  <w:szCs w:val="24"/>
                </w:rPr>
                <w:t>Member Cannot Afford Medication (Alternatives and Financial Assistance) (026963</w:t>
              </w:r>
              <w:r w:rsidRPr="000A3F1A">
                <w:rPr>
                  <w:rStyle w:val="Hyperlink"/>
                </w:rPr>
                <w:t>)</w:t>
              </w:r>
            </w:hyperlink>
            <w:r>
              <w:t>.</w:t>
            </w:r>
          </w:p>
        </w:tc>
      </w:tr>
      <w:tr w:rsidR="00425276" w14:paraId="2177D66D" w14:textId="77777777" w:rsidTr="001B57A8">
        <w:tc>
          <w:tcPr>
            <w:tcW w:w="976" w:type="pct"/>
          </w:tcPr>
          <w:p w14:paraId="593DE379" w14:textId="77777777" w:rsidR="00425276" w:rsidRPr="00667CAA" w:rsidRDefault="00425276" w:rsidP="00EC19E3">
            <w:pPr>
              <w:spacing w:after="0" w:line="240" w:lineRule="auto"/>
              <w:rPr>
                <w:b/>
                <w:bCs/>
                <w:szCs w:val="24"/>
              </w:rPr>
            </w:pPr>
            <w:bookmarkStart w:id="24" w:name="OLE_LINK51"/>
            <w:r>
              <w:rPr>
                <w:b/>
                <w:bCs/>
                <w:szCs w:val="24"/>
              </w:rPr>
              <w:t xml:space="preserve">Compass </w:t>
            </w:r>
            <w:r w:rsidRPr="00667CAA">
              <w:rPr>
                <w:b/>
                <w:bCs/>
                <w:szCs w:val="24"/>
              </w:rPr>
              <w:t xml:space="preserve">Call </w:t>
            </w:r>
          </w:p>
          <w:p w14:paraId="2862D334" w14:textId="1289F869" w:rsidR="00425276" w:rsidRPr="00D210A7" w:rsidRDefault="00425276" w:rsidP="00B169B4">
            <w:pPr>
              <w:rPr>
                <w:szCs w:val="24"/>
              </w:rPr>
            </w:pPr>
            <w:r w:rsidRPr="00667CAA">
              <w:rPr>
                <w:b/>
                <w:bCs/>
                <w:szCs w:val="24"/>
              </w:rPr>
              <w:t>Documentation Notes</w:t>
            </w:r>
            <w:bookmarkEnd w:id="24"/>
          </w:p>
        </w:tc>
        <w:tc>
          <w:tcPr>
            <w:tcW w:w="4024" w:type="pct"/>
            <w:gridSpan w:val="3"/>
          </w:tcPr>
          <w:p w14:paraId="5EEF680E" w14:textId="003DBC81" w:rsidR="00425276" w:rsidRPr="00667CAA" w:rsidRDefault="00425276" w:rsidP="00B169B4">
            <w:pPr>
              <w:rPr>
                <w:szCs w:val="24"/>
              </w:rPr>
            </w:pPr>
            <w:r w:rsidRPr="00D210A7">
              <w:rPr>
                <w:szCs w:val="24"/>
              </w:rPr>
              <w:t xml:space="preserve">Spoke with the member regarding prescription rejections at the pharmacy. For </w:t>
            </w:r>
            <w:r>
              <w:rPr>
                <w:szCs w:val="24"/>
              </w:rPr>
              <w:t>&lt;</w:t>
            </w:r>
            <w:r w:rsidRPr="00D210A7">
              <w:rPr>
                <w:szCs w:val="24"/>
              </w:rPr>
              <w:t>drug A</w:t>
            </w:r>
            <w:r w:rsidR="00D03CEB">
              <w:rPr>
                <w:szCs w:val="24"/>
              </w:rPr>
              <w:t>&gt;</w:t>
            </w:r>
            <w:r>
              <w:rPr>
                <w:szCs w:val="24"/>
              </w:rPr>
              <w:t>,</w:t>
            </w:r>
            <w:r w:rsidRPr="00D210A7">
              <w:rPr>
                <w:szCs w:val="24"/>
              </w:rPr>
              <w:t xml:space="preserve"> which was rejecting for Quantity, a PA </w:t>
            </w:r>
            <w:r>
              <w:rPr>
                <w:szCs w:val="24"/>
              </w:rPr>
              <w:t xml:space="preserve">Support </w:t>
            </w:r>
            <w:r w:rsidRPr="00D210A7">
              <w:rPr>
                <w:szCs w:val="24"/>
              </w:rPr>
              <w:t xml:space="preserve">Task was submitted. For </w:t>
            </w:r>
            <w:r>
              <w:rPr>
                <w:szCs w:val="24"/>
              </w:rPr>
              <w:t>&lt;</w:t>
            </w:r>
            <w:r w:rsidRPr="00D210A7">
              <w:rPr>
                <w:szCs w:val="24"/>
              </w:rPr>
              <w:t>drug B</w:t>
            </w:r>
            <w:r>
              <w:rPr>
                <w:szCs w:val="24"/>
              </w:rPr>
              <w:t>&gt;</w:t>
            </w:r>
            <w:r w:rsidRPr="00D210A7">
              <w:rPr>
                <w:szCs w:val="24"/>
              </w:rPr>
              <w:t xml:space="preserve"> which was rejected for non-formulary, member was </w:t>
            </w:r>
            <w:r w:rsidR="002A6299">
              <w:rPr>
                <w:szCs w:val="24"/>
              </w:rPr>
              <w:t>provided</w:t>
            </w:r>
            <w:r w:rsidR="00A47998">
              <w:rPr>
                <w:szCs w:val="24"/>
              </w:rPr>
              <w:t xml:space="preserve"> alternatives</w:t>
            </w:r>
            <w:r w:rsidRPr="00D210A7">
              <w:rPr>
                <w:szCs w:val="24"/>
              </w:rPr>
              <w:t xml:space="preserve">. Filed a FCR grievance since the member was dissatisfied with having to go through the Coverage Determination process, the Grievance number is </w:t>
            </w:r>
            <w:r>
              <w:rPr>
                <w:szCs w:val="24"/>
              </w:rPr>
              <w:t>&lt;</w:t>
            </w:r>
            <w:r w:rsidRPr="00D210A7">
              <w:rPr>
                <w:szCs w:val="24"/>
              </w:rPr>
              <w:t>number</w:t>
            </w:r>
            <w:r>
              <w:rPr>
                <w:szCs w:val="24"/>
              </w:rPr>
              <w:t>&gt;</w:t>
            </w:r>
            <w:r w:rsidRPr="00D210A7">
              <w:rPr>
                <w:szCs w:val="24"/>
              </w:rPr>
              <w:t>.</w:t>
            </w:r>
          </w:p>
        </w:tc>
      </w:tr>
      <w:tr w:rsidR="00425276" w14:paraId="1BB782BC" w14:textId="77777777" w:rsidTr="001B57A8">
        <w:tc>
          <w:tcPr>
            <w:tcW w:w="976" w:type="pct"/>
          </w:tcPr>
          <w:p w14:paraId="05B18444" w14:textId="7A941C5C" w:rsidR="00425276" w:rsidRPr="00D210A7" w:rsidRDefault="00425276" w:rsidP="00B169B4">
            <w:pPr>
              <w:rPr>
                <w:b/>
                <w:bCs/>
                <w:szCs w:val="24"/>
              </w:rPr>
            </w:pPr>
            <w:bookmarkStart w:id="25" w:name="OLE_LINK52"/>
            <w:r w:rsidRPr="00667CAA">
              <w:rPr>
                <w:b/>
                <w:bCs/>
                <w:szCs w:val="24"/>
              </w:rPr>
              <w:t>Call Closing Recap</w:t>
            </w:r>
            <w:bookmarkEnd w:id="25"/>
          </w:p>
        </w:tc>
        <w:tc>
          <w:tcPr>
            <w:tcW w:w="4024" w:type="pct"/>
            <w:gridSpan w:val="3"/>
          </w:tcPr>
          <w:p w14:paraId="0D01DE3D" w14:textId="7FD98D6C" w:rsidR="00425276" w:rsidRPr="00667CAA" w:rsidRDefault="00425276" w:rsidP="00B169B4">
            <w:pPr>
              <w:rPr>
                <w:szCs w:val="24"/>
              </w:rPr>
            </w:pPr>
            <w:r w:rsidRPr="00D210A7">
              <w:rPr>
                <w:b/>
                <w:bCs/>
                <w:szCs w:val="24"/>
              </w:rPr>
              <w:t>R</w:t>
            </w:r>
            <w:r>
              <w:rPr>
                <w:b/>
                <w:bCs/>
                <w:szCs w:val="24"/>
              </w:rPr>
              <w:t>epresentative</w:t>
            </w:r>
            <w:r w:rsidRPr="00EE57B6">
              <w:rPr>
                <w:b/>
                <w:bCs/>
                <w:szCs w:val="24"/>
              </w:rPr>
              <w:t>:</w:t>
            </w:r>
            <w:r w:rsidRPr="00D210A7">
              <w:rPr>
                <w:szCs w:val="24"/>
              </w:rPr>
              <w:t xml:space="preserve"> </w:t>
            </w:r>
            <w:r>
              <w:rPr>
                <w:szCs w:val="24"/>
              </w:rPr>
              <w:t xml:space="preserve"> </w:t>
            </w:r>
            <w:r>
              <w:rPr>
                <w:noProof/>
                <w:szCs w:val="24"/>
              </w:rPr>
              <w:drawing>
                <wp:inline distT="0" distB="0" distL="0" distR="0" wp14:anchorId="1334D104" wp14:editId="6C4349F6">
                  <wp:extent cx="238158" cy="20957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D210A7" w:rsidDel="005B4669">
              <w:rPr>
                <w:szCs w:val="24"/>
              </w:rPr>
              <w:t xml:space="preserve"> </w:t>
            </w:r>
            <w:r w:rsidRPr="00D210A7">
              <w:rPr>
                <w:szCs w:val="24"/>
              </w:rPr>
              <w:t xml:space="preserve">To make sure we took care of everything today; we filed a Coverage Determination request for </w:t>
            </w:r>
            <w:r>
              <w:rPr>
                <w:szCs w:val="24"/>
              </w:rPr>
              <w:t>&lt;</w:t>
            </w:r>
            <w:r w:rsidRPr="00D210A7">
              <w:rPr>
                <w:szCs w:val="24"/>
              </w:rPr>
              <w:t>Drug A</w:t>
            </w:r>
            <w:r>
              <w:rPr>
                <w:szCs w:val="24"/>
              </w:rPr>
              <w:t>&gt;</w:t>
            </w:r>
            <w:r w:rsidRPr="00D210A7">
              <w:rPr>
                <w:szCs w:val="24"/>
              </w:rPr>
              <w:t xml:space="preserve"> and help</w:t>
            </w:r>
            <w:r w:rsidR="00706FD2">
              <w:rPr>
                <w:szCs w:val="24"/>
              </w:rPr>
              <w:t>ed</w:t>
            </w:r>
            <w:r w:rsidRPr="00D210A7">
              <w:rPr>
                <w:szCs w:val="24"/>
              </w:rPr>
              <w:t xml:space="preserve"> you identify potential alternatives for </w:t>
            </w:r>
            <w:r>
              <w:rPr>
                <w:szCs w:val="24"/>
              </w:rPr>
              <w:t>&lt;</w:t>
            </w:r>
            <w:r w:rsidRPr="00D210A7">
              <w:rPr>
                <w:szCs w:val="24"/>
              </w:rPr>
              <w:t>Drug B</w:t>
            </w:r>
            <w:r>
              <w:rPr>
                <w:szCs w:val="24"/>
              </w:rPr>
              <w:t>&gt;</w:t>
            </w:r>
            <w:r w:rsidRPr="00D210A7">
              <w:rPr>
                <w:szCs w:val="24"/>
              </w:rPr>
              <w:t>.</w:t>
            </w:r>
          </w:p>
        </w:tc>
      </w:tr>
      <w:tr w:rsidR="00425276" w14:paraId="4CE44C80" w14:textId="77777777" w:rsidTr="001B57A8">
        <w:tc>
          <w:tcPr>
            <w:tcW w:w="976" w:type="pct"/>
          </w:tcPr>
          <w:p w14:paraId="6302323F" w14:textId="42008926" w:rsidR="00425276" w:rsidRPr="00D210A7" w:rsidRDefault="00425276" w:rsidP="00D210A7">
            <w:pPr>
              <w:rPr>
                <w:b/>
                <w:bCs/>
                <w:szCs w:val="24"/>
              </w:rPr>
            </w:pPr>
            <w:bookmarkStart w:id="26" w:name="OLE_LINK54"/>
            <w:bookmarkStart w:id="27" w:name="OLE_LINK53"/>
            <w:r w:rsidRPr="00667CAA">
              <w:rPr>
                <w:b/>
                <w:bCs/>
                <w:szCs w:val="24"/>
              </w:rPr>
              <w:t xml:space="preserve">Call Closeout&amp; Survey Awareness </w:t>
            </w:r>
            <w:bookmarkEnd w:id="26"/>
            <w:bookmarkEnd w:id="27"/>
          </w:p>
        </w:tc>
        <w:tc>
          <w:tcPr>
            <w:tcW w:w="4024" w:type="pct"/>
            <w:gridSpan w:val="3"/>
          </w:tcPr>
          <w:p w14:paraId="3E04A5C4" w14:textId="0A4F010D" w:rsidR="00425276" w:rsidRPr="00D210A7" w:rsidRDefault="00425276" w:rsidP="00D210A7">
            <w:pPr>
              <w:rPr>
                <w:szCs w:val="24"/>
              </w:rPr>
            </w:pPr>
            <w:r w:rsidRPr="00D210A7">
              <w:rPr>
                <w:b/>
                <w:bCs/>
                <w:szCs w:val="24"/>
              </w:rPr>
              <w:t>R</w:t>
            </w:r>
            <w:r>
              <w:rPr>
                <w:b/>
                <w:bCs/>
                <w:szCs w:val="24"/>
              </w:rPr>
              <w:t>epresentative</w:t>
            </w:r>
            <w:r w:rsidRPr="00EE57B6">
              <w:rPr>
                <w:b/>
                <w:bCs/>
                <w:szCs w:val="24"/>
              </w:rPr>
              <w:t xml:space="preserve">: </w:t>
            </w:r>
            <w:r>
              <w:rPr>
                <w:b/>
                <w:bCs/>
                <w:szCs w:val="24"/>
              </w:rPr>
              <w:t xml:space="preserve"> </w:t>
            </w:r>
            <w:r>
              <w:rPr>
                <w:noProof/>
                <w:szCs w:val="24"/>
              </w:rPr>
              <w:drawing>
                <wp:inline distT="0" distB="0" distL="0" distR="0" wp14:anchorId="2A80E74E" wp14:editId="2E36630B">
                  <wp:extent cx="238158" cy="209579"/>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D210A7" w:rsidDel="005B4669">
              <w:rPr>
                <w:szCs w:val="24"/>
              </w:rPr>
              <w:t xml:space="preserve"> </w:t>
            </w:r>
            <w:r w:rsidRPr="00D210A7">
              <w:rPr>
                <w:szCs w:val="24"/>
              </w:rPr>
              <w:t>Thank you for calling, please be aware you may receive a survey via e-mail in the next day or two regarding your call experience today.</w:t>
            </w:r>
          </w:p>
          <w:p w14:paraId="76E789F6" w14:textId="469BCF87" w:rsidR="00425276" w:rsidRPr="00D210A7" w:rsidRDefault="00425276" w:rsidP="00D210A7">
            <w:pPr>
              <w:rPr>
                <w:szCs w:val="24"/>
              </w:rPr>
            </w:pPr>
            <w:r w:rsidRPr="00D210A7">
              <w:rPr>
                <w:b/>
                <w:bCs/>
                <w:szCs w:val="24"/>
              </w:rPr>
              <w:t>N</w:t>
            </w:r>
            <w:r>
              <w:rPr>
                <w:b/>
                <w:bCs/>
                <w:szCs w:val="24"/>
              </w:rPr>
              <w:t>ote</w:t>
            </w:r>
            <w:r w:rsidRPr="00E85F3E">
              <w:rPr>
                <w:b/>
                <w:bCs/>
                <w:szCs w:val="24"/>
              </w:rPr>
              <w:t>:</w:t>
            </w:r>
            <w:r w:rsidRPr="00D210A7">
              <w:rPr>
                <w:szCs w:val="24"/>
              </w:rPr>
              <w:t xml:space="preserve"> </w:t>
            </w:r>
            <w:r>
              <w:rPr>
                <w:szCs w:val="24"/>
              </w:rPr>
              <w:t xml:space="preserve"> </w:t>
            </w:r>
            <w:r w:rsidRPr="00D210A7">
              <w:rPr>
                <w:szCs w:val="24"/>
              </w:rPr>
              <w:t>the beneficiary can opt out of the survey through a link within the e-mail invite.</w:t>
            </w:r>
          </w:p>
          <w:p w14:paraId="30732878" w14:textId="47E07FF2" w:rsidR="00425276" w:rsidRPr="00667CAA" w:rsidRDefault="00425276" w:rsidP="00D210A7">
            <w:pPr>
              <w:rPr>
                <w:szCs w:val="24"/>
              </w:rPr>
            </w:pPr>
            <w:r w:rsidRPr="00446049">
              <w:rPr>
                <w:szCs w:val="24"/>
              </w:rPr>
              <w:t>Refer to</w:t>
            </w:r>
            <w:r w:rsidRPr="00D210A7">
              <w:rPr>
                <w:szCs w:val="24"/>
              </w:rPr>
              <w:t xml:space="preserve"> </w:t>
            </w:r>
            <w:bookmarkStart w:id="28" w:name="OLE_LINK2"/>
            <w:r>
              <w:rPr>
                <w:szCs w:val="24"/>
              </w:rPr>
              <w:t xml:space="preserve"> </w:t>
            </w:r>
            <w:hyperlink r:id="rId20" w:anchor="!/view?docid=c954b131-7884-494c-b4bb-dfc12fdc846f" w:history="1">
              <w:r>
                <w:rPr>
                  <w:rStyle w:val="Hyperlink"/>
                  <w:szCs w:val="24"/>
                </w:rPr>
                <w:t>Universal Care - Consultative Call Flow (CCF) Process (095822)</w:t>
              </w:r>
            </w:hyperlink>
            <w:r>
              <w:t>.</w:t>
            </w:r>
            <w:bookmarkEnd w:id="28"/>
          </w:p>
        </w:tc>
      </w:tr>
    </w:tbl>
    <w:p w14:paraId="6461ADC2" w14:textId="77777777" w:rsidR="00F613ED" w:rsidRPr="00F613ED" w:rsidRDefault="00F613ED" w:rsidP="00667CAA">
      <w:pPr>
        <w:spacing w:after="0" w:line="240" w:lineRule="auto"/>
        <w:rPr>
          <w:rFonts w:ascii="Times New Roman" w:eastAsia="Times New Roman" w:hAnsi="Times New Roman" w:cs="Times New Roman"/>
          <w:color w:val="0000FF"/>
          <w:szCs w:val="24"/>
          <w:u w:val="single"/>
        </w:rPr>
      </w:pPr>
    </w:p>
    <w:p w14:paraId="1253E0D1" w14:textId="18B7BB59" w:rsidR="00F613ED" w:rsidRPr="00F613ED" w:rsidRDefault="00F613ED" w:rsidP="00F613ED">
      <w:pPr>
        <w:spacing w:after="0" w:line="240" w:lineRule="auto"/>
        <w:jc w:val="right"/>
        <w:rPr>
          <w:rFonts w:eastAsia="Times New Roman" w:cs="Times New Roman"/>
          <w:szCs w:val="24"/>
        </w:rPr>
      </w:pPr>
      <w:hyperlink w:anchor="_top" w:history="1">
        <w:r w:rsidRPr="00446049">
          <w:rPr>
            <w:rStyle w:val="Hyperlink"/>
            <w:rFonts w:eastAsia="Times New Roman" w:cs="Times New Roman"/>
            <w:szCs w:val="24"/>
          </w:rPr>
          <w:t>Top of the Document</w:t>
        </w:r>
        <w:bookmarkStart w:id="29" w:name="_Updating_a_PBO"/>
        <w:bookmarkEnd w:id="29"/>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F613ED" w:rsidRPr="00F613ED" w14:paraId="75A81458" w14:textId="77777777" w:rsidTr="00612D04">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6E476A3" w14:textId="77777777" w:rsidR="00F613ED" w:rsidRPr="00F613ED" w:rsidRDefault="00F613ED" w:rsidP="00F613ED">
            <w:pPr>
              <w:keepNext/>
              <w:spacing w:after="0" w:line="240" w:lineRule="auto"/>
              <w:outlineLvl w:val="1"/>
              <w:rPr>
                <w:rFonts w:eastAsia="Times New Roman" w:cs="Arial"/>
                <w:b/>
                <w:bCs/>
                <w:iCs/>
                <w:sz w:val="28"/>
                <w:szCs w:val="28"/>
              </w:rPr>
            </w:pPr>
            <w:bookmarkStart w:id="30" w:name="_Toc525628632"/>
            <w:bookmarkStart w:id="31" w:name="_Toc71546320"/>
            <w:bookmarkStart w:id="32" w:name="_Toc116900832"/>
            <w:r w:rsidRPr="00F613ED">
              <w:rPr>
                <w:rFonts w:eastAsia="Times New Roman" w:cs="Arial"/>
                <w:b/>
                <w:bCs/>
                <w:iCs/>
                <w:sz w:val="28"/>
                <w:szCs w:val="28"/>
              </w:rPr>
              <w:t>Related Document</w:t>
            </w:r>
            <w:bookmarkEnd w:id="30"/>
            <w:r w:rsidRPr="00F613ED">
              <w:rPr>
                <w:rFonts w:eastAsia="Times New Roman" w:cs="Arial"/>
                <w:b/>
                <w:bCs/>
                <w:iCs/>
                <w:sz w:val="28"/>
                <w:szCs w:val="28"/>
              </w:rPr>
              <w:t>s</w:t>
            </w:r>
            <w:bookmarkEnd w:id="31"/>
            <w:bookmarkEnd w:id="32"/>
          </w:p>
        </w:tc>
      </w:tr>
    </w:tbl>
    <w:p w14:paraId="4C215899" w14:textId="32A3AF29" w:rsidR="00F613ED" w:rsidRDefault="00F613ED" w:rsidP="00F613ED">
      <w:pPr>
        <w:spacing w:after="0" w:line="240" w:lineRule="auto"/>
        <w:rPr>
          <w:rFonts w:eastAsia="Times New Roman" w:cs="Times New Roman"/>
          <w:szCs w:val="24"/>
        </w:rPr>
      </w:pPr>
    </w:p>
    <w:p w14:paraId="055DE6E8" w14:textId="2D597B27" w:rsidR="003A7992" w:rsidRDefault="00E9644A" w:rsidP="00226555">
      <w:pPr>
        <w:pStyle w:val="NoSpacing"/>
        <w:numPr>
          <w:ilvl w:val="0"/>
          <w:numId w:val="18"/>
        </w:numPr>
        <w:spacing w:line="276" w:lineRule="auto"/>
        <w:rPr>
          <w:rFonts w:ascii="Verdana" w:hAnsi="Verdana" w:cstheme="minorBidi"/>
          <w:szCs w:val="24"/>
        </w:rPr>
      </w:pPr>
      <w:hyperlink r:id="rId21" w:anchor="!/view?docid=a23bc09d-37f7-4105-ba57-d4e9d7f512ff" w:history="1">
        <w:r w:rsidRPr="00E9644A">
          <w:rPr>
            <w:rStyle w:val="Hyperlink"/>
            <w:rFonts w:ascii="Verdana" w:hAnsi="Verdana" w:cstheme="minorBidi"/>
            <w:szCs w:val="24"/>
          </w:rPr>
          <w:t xml:space="preserve">Compass MED D - CCR - Coverage Determinations and Redeterminations (Appeals) </w:t>
        </w:r>
        <w:r w:rsidR="006E099C">
          <w:rPr>
            <w:rStyle w:val="Hyperlink"/>
            <w:rFonts w:ascii="Verdana" w:hAnsi="Verdana" w:cstheme="minorBidi"/>
            <w:szCs w:val="24"/>
          </w:rPr>
          <w:t>(</w:t>
        </w:r>
        <w:r w:rsidRPr="00E9644A">
          <w:rPr>
            <w:rStyle w:val="Hyperlink"/>
            <w:rFonts w:ascii="Verdana" w:hAnsi="Verdana" w:cstheme="minorBidi"/>
            <w:szCs w:val="24"/>
          </w:rPr>
          <w:t>064997</w:t>
        </w:r>
      </w:hyperlink>
      <w:r w:rsidR="006E099C">
        <w:rPr>
          <w:rStyle w:val="Hyperlink"/>
          <w:rFonts w:ascii="Verdana" w:hAnsi="Verdana" w:cstheme="minorBidi"/>
          <w:szCs w:val="24"/>
        </w:rPr>
        <w:t>)</w:t>
      </w:r>
    </w:p>
    <w:p w14:paraId="30E2DACE" w14:textId="70570C41" w:rsidR="00343785" w:rsidRPr="00EB78D7" w:rsidRDefault="00343785" w:rsidP="00226555">
      <w:pPr>
        <w:pStyle w:val="NoSpacing"/>
        <w:numPr>
          <w:ilvl w:val="0"/>
          <w:numId w:val="18"/>
        </w:numPr>
        <w:spacing w:line="276" w:lineRule="auto"/>
        <w:rPr>
          <w:rFonts w:ascii="Verdana" w:hAnsi="Verdana" w:cstheme="minorBidi"/>
          <w:szCs w:val="24"/>
        </w:rPr>
      </w:pPr>
      <w:hyperlink r:id="rId22" w:anchor="!/view?docid=60c20ea0-1d07-46e3-809a-b54734b80fbe" w:history="1">
        <w:r w:rsidRPr="00EB78D7">
          <w:rPr>
            <w:rStyle w:val="Hyperlink"/>
            <w:rFonts w:ascii="Verdana" w:hAnsi="Verdana" w:cstheme="minorBidi"/>
            <w:szCs w:val="24"/>
          </w:rPr>
          <w:t>Compass - Test Claims</w:t>
        </w:r>
        <w:r w:rsidRPr="00EB78D7">
          <w:rPr>
            <w:rStyle w:val="Hyperlink"/>
            <w:rFonts w:ascii="Verdana" w:hAnsi="Verdana"/>
          </w:rPr>
          <w:t xml:space="preserve"> </w:t>
        </w:r>
        <w:r w:rsidR="006E099C" w:rsidRPr="00EB78D7">
          <w:rPr>
            <w:rStyle w:val="Hyperlink"/>
            <w:rFonts w:ascii="Verdana" w:hAnsi="Verdana"/>
          </w:rPr>
          <w:t>(</w:t>
        </w:r>
        <w:r w:rsidRPr="00EB78D7">
          <w:rPr>
            <w:rStyle w:val="Hyperlink"/>
            <w:rFonts w:ascii="Verdana" w:hAnsi="Verdana" w:cstheme="minorBidi"/>
            <w:szCs w:val="24"/>
          </w:rPr>
          <w:t>050041</w:t>
        </w:r>
      </w:hyperlink>
      <w:r w:rsidR="006E099C" w:rsidRPr="00EB78D7">
        <w:rPr>
          <w:rStyle w:val="Hyperlink"/>
          <w:rFonts w:ascii="Verdana" w:hAnsi="Verdana" w:cstheme="minorBidi"/>
          <w:szCs w:val="24"/>
        </w:rPr>
        <w:t>)</w:t>
      </w:r>
      <w:r w:rsidRPr="00EB78D7">
        <w:rPr>
          <w:rFonts w:ascii="Verdana" w:hAnsi="Verdana" w:cstheme="minorBidi"/>
          <w:szCs w:val="24"/>
        </w:rPr>
        <w:t xml:space="preserve"> </w:t>
      </w:r>
    </w:p>
    <w:p w14:paraId="6F918FBC" w14:textId="125B04FA" w:rsidR="003E6A03" w:rsidRPr="003E6A03" w:rsidRDefault="009D2582" w:rsidP="00226555">
      <w:pPr>
        <w:pStyle w:val="ListParagraph"/>
        <w:numPr>
          <w:ilvl w:val="0"/>
          <w:numId w:val="18"/>
        </w:numPr>
        <w:spacing w:line="276" w:lineRule="auto"/>
        <w:rPr>
          <w:rFonts w:ascii="Verdana" w:eastAsia="Times New Roman" w:hAnsi="Verdana" w:cs="Times New Roman"/>
          <w:szCs w:val="24"/>
        </w:rPr>
      </w:pPr>
      <w:hyperlink r:id="rId23" w:anchor="!/view?docid=c9e4cc50-c745-47e5-9df5-f145e15a8c9c" w:history="1">
        <w:r w:rsidRPr="009D2582">
          <w:rPr>
            <w:rStyle w:val="Hyperlink"/>
            <w:rFonts w:ascii="Verdana" w:hAnsi="Verdana"/>
            <w:szCs w:val="24"/>
          </w:rPr>
          <w:t xml:space="preserve">Compass </w:t>
        </w:r>
        <w:r w:rsidR="006E099C">
          <w:rPr>
            <w:rStyle w:val="Hyperlink"/>
            <w:rFonts w:ascii="Verdana" w:hAnsi="Verdana"/>
            <w:szCs w:val="24"/>
          </w:rPr>
          <w:t>–</w:t>
        </w:r>
        <w:r w:rsidRPr="009D2582">
          <w:rPr>
            <w:rStyle w:val="Hyperlink"/>
            <w:rFonts w:ascii="Verdana" w:hAnsi="Verdana"/>
            <w:szCs w:val="24"/>
          </w:rPr>
          <w:t xml:space="preserve"> </w:t>
        </w:r>
        <w:r w:rsidR="00EE57B6" w:rsidRPr="009D2582">
          <w:rPr>
            <w:rStyle w:val="Hyperlink"/>
            <w:rFonts w:ascii="Verdana" w:hAnsi="Verdana"/>
            <w:szCs w:val="24"/>
          </w:rPr>
          <w:t xml:space="preserve">CCR </w:t>
        </w:r>
        <w:r w:rsidR="006E099C">
          <w:rPr>
            <w:rStyle w:val="Hyperlink"/>
            <w:rFonts w:ascii="Verdana" w:hAnsi="Verdana"/>
            <w:szCs w:val="24"/>
          </w:rPr>
          <w:t>–</w:t>
        </w:r>
        <w:r w:rsidR="00EE57B6" w:rsidRPr="009D2582">
          <w:rPr>
            <w:rStyle w:val="Hyperlink"/>
            <w:rFonts w:ascii="Verdana" w:hAnsi="Verdana"/>
            <w:szCs w:val="24"/>
          </w:rPr>
          <w:t xml:space="preserve"> Identifying and Handling Medicare Part B Calls</w:t>
        </w:r>
        <w:r w:rsidRPr="009D2582">
          <w:rPr>
            <w:rStyle w:val="Hyperlink"/>
            <w:rFonts w:ascii="Verdana" w:hAnsi="Verdana"/>
            <w:szCs w:val="24"/>
          </w:rPr>
          <w:t xml:space="preserve"> </w:t>
        </w:r>
        <w:r w:rsidR="006E099C">
          <w:rPr>
            <w:rStyle w:val="Hyperlink"/>
            <w:rFonts w:ascii="Verdana" w:hAnsi="Verdana"/>
            <w:szCs w:val="24"/>
          </w:rPr>
          <w:t>(</w:t>
        </w:r>
        <w:r w:rsidRPr="009D2582">
          <w:rPr>
            <w:rStyle w:val="Hyperlink"/>
            <w:rFonts w:ascii="Verdana" w:hAnsi="Verdana"/>
            <w:szCs w:val="24"/>
          </w:rPr>
          <w:t>061873</w:t>
        </w:r>
      </w:hyperlink>
      <w:r w:rsidR="006E099C">
        <w:rPr>
          <w:rStyle w:val="Hyperlink"/>
          <w:rFonts w:ascii="Verdana" w:hAnsi="Verdana"/>
          <w:szCs w:val="24"/>
        </w:rPr>
        <w:t>)</w:t>
      </w:r>
    </w:p>
    <w:p w14:paraId="74216504" w14:textId="165B366B" w:rsidR="003E6A03" w:rsidRPr="00AD4129" w:rsidRDefault="00740113" w:rsidP="00226555">
      <w:pPr>
        <w:pStyle w:val="ListParagraph"/>
        <w:numPr>
          <w:ilvl w:val="0"/>
          <w:numId w:val="18"/>
        </w:numPr>
        <w:spacing w:line="276" w:lineRule="auto"/>
        <w:rPr>
          <w:rFonts w:ascii="Verdana" w:eastAsia="Times New Roman" w:hAnsi="Verdana" w:cs="Times New Roman"/>
          <w:szCs w:val="24"/>
        </w:rPr>
      </w:pPr>
      <w:hyperlink r:id="rId24" w:anchor="!/view?docid=15daa63f-81c8-4c0d-a02d-36481155d042" w:history="1">
        <w:r w:rsidRPr="00060ECD">
          <w:rPr>
            <w:rStyle w:val="Hyperlink"/>
            <w:rFonts w:ascii="Verdana" w:hAnsi="Verdana"/>
            <w:szCs w:val="24"/>
          </w:rPr>
          <w:t xml:space="preserve">Compass </w:t>
        </w:r>
        <w:r w:rsidR="00EE57B6" w:rsidRPr="00060ECD">
          <w:rPr>
            <w:rStyle w:val="Hyperlink"/>
            <w:rFonts w:ascii="Verdana" w:hAnsi="Verdana"/>
            <w:szCs w:val="24"/>
          </w:rPr>
          <w:t>MED D - Transition Fill Care Processes</w:t>
        </w:r>
        <w:r w:rsidRPr="00060ECD">
          <w:rPr>
            <w:rStyle w:val="Hyperlink"/>
            <w:rFonts w:ascii="Verdana" w:hAnsi="Verdana"/>
            <w:szCs w:val="24"/>
          </w:rPr>
          <w:t xml:space="preserve"> </w:t>
        </w:r>
        <w:r w:rsidR="006E099C">
          <w:rPr>
            <w:rStyle w:val="Hyperlink"/>
            <w:rFonts w:ascii="Verdana" w:hAnsi="Verdana"/>
            <w:szCs w:val="24"/>
          </w:rPr>
          <w:t>(</w:t>
        </w:r>
        <w:r w:rsidRPr="00060ECD">
          <w:rPr>
            <w:rStyle w:val="Hyperlink"/>
            <w:rFonts w:ascii="Verdana" w:hAnsi="Verdana"/>
            <w:szCs w:val="24"/>
          </w:rPr>
          <w:t>061926</w:t>
        </w:r>
      </w:hyperlink>
      <w:r w:rsidR="006E099C">
        <w:rPr>
          <w:rStyle w:val="Hyperlink"/>
          <w:rFonts w:ascii="Verdana" w:hAnsi="Verdana"/>
          <w:szCs w:val="24"/>
        </w:rPr>
        <w:t>)</w:t>
      </w:r>
    </w:p>
    <w:p w14:paraId="09ADBF76" w14:textId="77777777" w:rsidR="001B57A8" w:rsidRPr="001B57A8" w:rsidRDefault="001B57A8" w:rsidP="00612D04">
      <w:pPr>
        <w:pStyle w:val="ListParagraph"/>
        <w:numPr>
          <w:ilvl w:val="0"/>
          <w:numId w:val="18"/>
        </w:numPr>
        <w:spacing w:line="276" w:lineRule="auto"/>
        <w:rPr>
          <w:rFonts w:ascii="Verdana" w:hAnsi="Verdana" w:cs="Times New Roman"/>
          <w:szCs w:val="24"/>
        </w:rPr>
      </w:pPr>
      <w:hyperlink r:id="rId25" w:anchor="!/view?docid=b7f5a139-be8a-493a-8155-3932709e086e" w:tgtFrame="_blank" w:history="1">
        <w:r w:rsidRPr="001B57A8">
          <w:rPr>
            <w:rStyle w:val="Hyperlink"/>
            <w:rFonts w:ascii="Verdana" w:hAnsi="Verdana"/>
          </w:rPr>
          <w:t>Med D - Compass Grievances: CCR - First Call Resolution Documentation Templates (SSI PDP, SSI </w:t>
        </w:r>
        <w:proofErr w:type="spellStart"/>
        <w:r w:rsidRPr="001B57A8">
          <w:rPr>
            <w:rStyle w:val="Hyperlink"/>
            <w:rFonts w:ascii="Verdana" w:hAnsi="Verdana"/>
          </w:rPr>
          <w:t>EGWP</w:t>
        </w:r>
        <w:proofErr w:type="spellEnd"/>
        <w:r w:rsidRPr="001B57A8">
          <w:rPr>
            <w:rStyle w:val="Hyperlink"/>
            <w:rFonts w:ascii="Verdana" w:hAnsi="Verdana"/>
          </w:rPr>
          <w:t>, Aetna </w:t>
        </w:r>
        <w:proofErr w:type="spellStart"/>
        <w:r w:rsidRPr="001B57A8">
          <w:rPr>
            <w:rStyle w:val="Hyperlink"/>
            <w:rFonts w:ascii="Verdana" w:hAnsi="Verdana"/>
          </w:rPr>
          <w:t>EGWP</w:t>
        </w:r>
        <w:proofErr w:type="spellEnd"/>
        <w:r w:rsidRPr="001B57A8">
          <w:rPr>
            <w:rStyle w:val="Hyperlink"/>
            <w:rFonts w:ascii="Verdana" w:hAnsi="Verdana"/>
          </w:rPr>
          <w:t>) (068896)</w:t>
        </w:r>
      </w:hyperlink>
    </w:p>
    <w:p w14:paraId="63BFE431" w14:textId="3835F967" w:rsidR="00BD597E" w:rsidRDefault="000A3F1A" w:rsidP="00612D04">
      <w:pPr>
        <w:pStyle w:val="ListParagraph"/>
        <w:numPr>
          <w:ilvl w:val="0"/>
          <w:numId w:val="18"/>
        </w:numPr>
        <w:spacing w:line="276" w:lineRule="auto"/>
        <w:rPr>
          <w:rFonts w:ascii="Times New Roman" w:hAnsi="Times New Roman" w:cs="Times New Roman"/>
          <w:szCs w:val="24"/>
        </w:rPr>
      </w:pPr>
      <w:hyperlink r:id="rId26" w:anchor="!/view?docid=62aa67ac-8298-4fa1-b1ba-fda383d15b4c" w:history="1">
        <w:r>
          <w:rPr>
            <w:rStyle w:val="Hyperlink"/>
            <w:rFonts w:ascii="Verdana" w:hAnsi="Verdana"/>
            <w:szCs w:val="24"/>
          </w:rPr>
          <w:t>Member Cannot Afford Medication (Alternatives and Financial Assistance) (026963)</w:t>
        </w:r>
      </w:hyperlink>
      <w:r w:rsidR="001A6A9B" w:rsidRPr="000A3F1A">
        <w:rPr>
          <w:rFonts w:ascii="Times New Roman" w:hAnsi="Times New Roman" w:cs="Times New Roman"/>
          <w:szCs w:val="24"/>
        </w:rPr>
        <w:t xml:space="preserve"> </w:t>
      </w:r>
    </w:p>
    <w:p w14:paraId="5CAE9894" w14:textId="4AAC98C9" w:rsidR="00612D04" w:rsidRPr="00BD597E" w:rsidRDefault="00BD597E" w:rsidP="00BD597E">
      <w:pPr>
        <w:pStyle w:val="ListParagraph"/>
        <w:numPr>
          <w:ilvl w:val="0"/>
          <w:numId w:val="18"/>
        </w:numPr>
        <w:spacing w:line="276" w:lineRule="auto"/>
        <w:rPr>
          <w:rFonts w:ascii="Verdana" w:hAnsi="Verdana"/>
          <w:szCs w:val="24"/>
        </w:rPr>
      </w:pPr>
      <w:hyperlink r:id="rId27" w:anchor="!/view?docid=c954b131-7884-494c-b4bb-dfc12fdc846f" w:history="1">
        <w:r w:rsidRPr="00BD597E">
          <w:rPr>
            <w:rStyle w:val="Hyperlink"/>
            <w:rFonts w:ascii="Verdana" w:hAnsi="Verdana"/>
          </w:rPr>
          <w:t>Universal Care - Consultative Call Flow (CCF) Process (095822)</w:t>
        </w:r>
      </w:hyperlink>
    </w:p>
    <w:p w14:paraId="74F89307" w14:textId="1E6855C4" w:rsidR="00F613ED" w:rsidRPr="00F613ED" w:rsidRDefault="00F613ED" w:rsidP="00612D04">
      <w:pPr>
        <w:pStyle w:val="ListParagraph"/>
        <w:spacing w:line="276" w:lineRule="auto"/>
        <w:jc w:val="right"/>
        <w:rPr>
          <w:rFonts w:eastAsia="Times New Roman" w:cs="Times New Roman"/>
          <w:szCs w:val="24"/>
        </w:rPr>
      </w:pPr>
      <w:hyperlink w:anchor="_top" w:history="1">
        <w:r w:rsidRPr="00446049">
          <w:rPr>
            <w:rStyle w:val="Hyperlink"/>
            <w:rFonts w:ascii="Verdana" w:eastAsia="Times New Roman" w:hAnsi="Verdana" w:cs="Times New Roman"/>
            <w:szCs w:val="24"/>
          </w:rPr>
          <w:t>Top of the Document</w:t>
        </w:r>
      </w:hyperlink>
    </w:p>
    <w:p w14:paraId="7F2D7B89" w14:textId="77777777" w:rsidR="00F613ED" w:rsidRPr="00F613ED" w:rsidRDefault="00F613ED" w:rsidP="00F613ED">
      <w:pPr>
        <w:spacing w:after="0" w:line="240" w:lineRule="auto"/>
        <w:jc w:val="right"/>
        <w:rPr>
          <w:rFonts w:eastAsia="Times New Roman" w:cs="Times New Roman"/>
          <w:szCs w:val="24"/>
        </w:rPr>
      </w:pPr>
    </w:p>
    <w:p w14:paraId="0EE92AB0" w14:textId="7CFA0D34" w:rsidR="00F613ED" w:rsidRPr="00F613ED" w:rsidRDefault="00F613ED" w:rsidP="00F613ED">
      <w:pPr>
        <w:spacing w:after="0" w:line="240" w:lineRule="auto"/>
        <w:jc w:val="center"/>
        <w:rPr>
          <w:rFonts w:eastAsia="Times New Roman" w:cs="Times New Roman"/>
          <w:sz w:val="16"/>
          <w:szCs w:val="16"/>
        </w:rPr>
      </w:pPr>
      <w:r w:rsidRPr="00F613ED">
        <w:rPr>
          <w:rFonts w:eastAsia="Times New Roman" w:cs="Times New Roman"/>
          <w:sz w:val="16"/>
          <w:szCs w:val="16"/>
        </w:rPr>
        <w:t xml:space="preserve">Not To Be Reproduced </w:t>
      </w:r>
      <w:r w:rsidR="00E97DE9" w:rsidRPr="00F613ED">
        <w:rPr>
          <w:rFonts w:eastAsia="Times New Roman" w:cs="Times New Roman"/>
          <w:sz w:val="16"/>
          <w:szCs w:val="16"/>
        </w:rPr>
        <w:t>or</w:t>
      </w:r>
      <w:r w:rsidRPr="00F613ED">
        <w:rPr>
          <w:rFonts w:eastAsia="Times New Roman" w:cs="Times New Roman"/>
          <w:sz w:val="16"/>
          <w:szCs w:val="16"/>
        </w:rPr>
        <w:t xml:space="preserve"> Disclosed to Others Without Prior Written Approval</w:t>
      </w:r>
    </w:p>
    <w:p w14:paraId="2217556A" w14:textId="77777777" w:rsidR="00F613ED" w:rsidRPr="00F613ED" w:rsidRDefault="00F613ED" w:rsidP="00F613ED">
      <w:pPr>
        <w:spacing w:after="0" w:line="240" w:lineRule="auto"/>
        <w:jc w:val="center"/>
        <w:rPr>
          <w:rFonts w:eastAsia="Times New Roman" w:cs="Times New Roman"/>
          <w:b/>
          <w:color w:val="000000"/>
          <w:sz w:val="16"/>
          <w:szCs w:val="16"/>
        </w:rPr>
      </w:pPr>
      <w:r w:rsidRPr="00F613ED">
        <w:rPr>
          <w:rFonts w:eastAsia="Times New Roman" w:cs="Times New Roman"/>
          <w:b/>
          <w:color w:val="000000"/>
          <w:sz w:val="16"/>
          <w:szCs w:val="16"/>
        </w:rPr>
        <w:t>ELECTRONIC DATA = OFFICIAL VERSION / PAPER COPY = INFORMATIONAL ONLY</w:t>
      </w:r>
    </w:p>
    <w:p w14:paraId="2C4B5D01" w14:textId="77777777" w:rsidR="00F613ED" w:rsidRDefault="00F613ED"/>
    <w:sectPr w:rsidR="00F613ED">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B91EC" w14:textId="77777777" w:rsidR="00781F6B" w:rsidRDefault="00781F6B" w:rsidP="00E17454">
      <w:pPr>
        <w:spacing w:after="0" w:line="240" w:lineRule="auto"/>
      </w:pPr>
      <w:r>
        <w:separator/>
      </w:r>
    </w:p>
  </w:endnote>
  <w:endnote w:type="continuationSeparator" w:id="0">
    <w:p w14:paraId="7CE89C93" w14:textId="77777777" w:rsidR="00781F6B" w:rsidRDefault="00781F6B" w:rsidP="00E17454">
      <w:pPr>
        <w:spacing w:after="0" w:line="240" w:lineRule="auto"/>
      </w:pPr>
      <w:r>
        <w:continuationSeparator/>
      </w:r>
    </w:p>
  </w:endnote>
  <w:endnote w:type="continuationNotice" w:id="1">
    <w:p w14:paraId="5A040682" w14:textId="77777777" w:rsidR="00781F6B" w:rsidRDefault="00781F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B1FC6" w14:textId="77777777" w:rsidR="008E4FB0" w:rsidRDefault="008E4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53ECC" w14:textId="77777777" w:rsidR="00781F6B" w:rsidRDefault="00781F6B" w:rsidP="00E17454">
      <w:pPr>
        <w:spacing w:after="0" w:line="240" w:lineRule="auto"/>
      </w:pPr>
      <w:r>
        <w:separator/>
      </w:r>
    </w:p>
  </w:footnote>
  <w:footnote w:type="continuationSeparator" w:id="0">
    <w:p w14:paraId="2ADF87B7" w14:textId="77777777" w:rsidR="00781F6B" w:rsidRDefault="00781F6B" w:rsidP="00E17454">
      <w:pPr>
        <w:spacing w:after="0" w:line="240" w:lineRule="auto"/>
      </w:pPr>
      <w:r>
        <w:continuationSeparator/>
      </w:r>
    </w:p>
  </w:footnote>
  <w:footnote w:type="continuationNotice" w:id="1">
    <w:p w14:paraId="58BB5175" w14:textId="77777777" w:rsidR="00781F6B" w:rsidRDefault="00781F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879EA" w14:textId="77777777" w:rsidR="008E4FB0" w:rsidRDefault="008E4F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D7C04"/>
    <w:multiLevelType w:val="hybridMultilevel"/>
    <w:tmpl w:val="10029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56EAC"/>
    <w:multiLevelType w:val="hybridMultilevel"/>
    <w:tmpl w:val="1EBA1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66273"/>
    <w:multiLevelType w:val="hybridMultilevel"/>
    <w:tmpl w:val="38C40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C6127"/>
    <w:multiLevelType w:val="hybridMultilevel"/>
    <w:tmpl w:val="E25ED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91D47"/>
    <w:multiLevelType w:val="hybridMultilevel"/>
    <w:tmpl w:val="2D44F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C1B49"/>
    <w:multiLevelType w:val="hybridMultilevel"/>
    <w:tmpl w:val="E47E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101CF"/>
    <w:multiLevelType w:val="hybridMultilevel"/>
    <w:tmpl w:val="67C8D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B62EF"/>
    <w:multiLevelType w:val="hybridMultilevel"/>
    <w:tmpl w:val="5526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C6E31"/>
    <w:multiLevelType w:val="hybridMultilevel"/>
    <w:tmpl w:val="1A1E6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57BC2"/>
    <w:multiLevelType w:val="hybridMultilevel"/>
    <w:tmpl w:val="4636E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C3091"/>
    <w:multiLevelType w:val="hybridMultilevel"/>
    <w:tmpl w:val="E33A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25D6B"/>
    <w:multiLevelType w:val="hybridMultilevel"/>
    <w:tmpl w:val="099AD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B157C"/>
    <w:multiLevelType w:val="hybridMultilevel"/>
    <w:tmpl w:val="DB20DEA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976F93"/>
    <w:multiLevelType w:val="hybridMultilevel"/>
    <w:tmpl w:val="6758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17360"/>
    <w:multiLevelType w:val="hybridMultilevel"/>
    <w:tmpl w:val="594AFFDE"/>
    <w:lvl w:ilvl="0" w:tplc="94A2AC9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E61FF7"/>
    <w:multiLevelType w:val="hybridMultilevel"/>
    <w:tmpl w:val="C330B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2551B6"/>
    <w:multiLevelType w:val="hybridMultilevel"/>
    <w:tmpl w:val="D298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718F4"/>
    <w:multiLevelType w:val="hybridMultilevel"/>
    <w:tmpl w:val="1A94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D86736"/>
    <w:multiLevelType w:val="hybridMultilevel"/>
    <w:tmpl w:val="7B1EB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BA6844"/>
    <w:multiLevelType w:val="hybridMultilevel"/>
    <w:tmpl w:val="ABA20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2E7CDC"/>
    <w:multiLevelType w:val="hybridMultilevel"/>
    <w:tmpl w:val="48822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CA1C1F"/>
    <w:multiLevelType w:val="hybridMultilevel"/>
    <w:tmpl w:val="010EE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E60599"/>
    <w:multiLevelType w:val="hybridMultilevel"/>
    <w:tmpl w:val="0FD2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993491">
    <w:abstractNumId w:val="21"/>
  </w:num>
  <w:num w:numId="2" w16cid:durableId="876813809">
    <w:abstractNumId w:val="6"/>
  </w:num>
  <w:num w:numId="3" w16cid:durableId="1261378072">
    <w:abstractNumId w:val="22"/>
  </w:num>
  <w:num w:numId="4" w16cid:durableId="1117792268">
    <w:abstractNumId w:val="3"/>
  </w:num>
  <w:num w:numId="5" w16cid:durableId="97065864">
    <w:abstractNumId w:val="16"/>
  </w:num>
  <w:num w:numId="6" w16cid:durableId="479268041">
    <w:abstractNumId w:val="19"/>
  </w:num>
  <w:num w:numId="7" w16cid:durableId="1850364336">
    <w:abstractNumId w:val="12"/>
  </w:num>
  <w:num w:numId="8" w16cid:durableId="1059599324">
    <w:abstractNumId w:val="18"/>
  </w:num>
  <w:num w:numId="9" w16cid:durableId="515460271">
    <w:abstractNumId w:val="9"/>
  </w:num>
  <w:num w:numId="10" w16cid:durableId="1863978162">
    <w:abstractNumId w:val="15"/>
  </w:num>
  <w:num w:numId="11" w16cid:durableId="218445475">
    <w:abstractNumId w:val="13"/>
  </w:num>
  <w:num w:numId="12" w16cid:durableId="1548681427">
    <w:abstractNumId w:val="10"/>
  </w:num>
  <w:num w:numId="13" w16cid:durableId="1549149899">
    <w:abstractNumId w:val="20"/>
  </w:num>
  <w:num w:numId="14" w16cid:durableId="396711154">
    <w:abstractNumId w:val="4"/>
  </w:num>
  <w:num w:numId="15" w16cid:durableId="449134618">
    <w:abstractNumId w:val="1"/>
  </w:num>
  <w:num w:numId="16" w16cid:durableId="449977575">
    <w:abstractNumId w:val="0"/>
  </w:num>
  <w:num w:numId="17" w16cid:durableId="2009407442">
    <w:abstractNumId w:val="11"/>
  </w:num>
  <w:num w:numId="18" w16cid:durableId="455831561">
    <w:abstractNumId w:val="8"/>
  </w:num>
  <w:num w:numId="19" w16cid:durableId="1160193303">
    <w:abstractNumId w:val="16"/>
  </w:num>
  <w:num w:numId="20" w16cid:durableId="2044481475">
    <w:abstractNumId w:val="14"/>
  </w:num>
  <w:num w:numId="21" w16cid:durableId="2112974142">
    <w:abstractNumId w:val="2"/>
  </w:num>
  <w:num w:numId="22" w16cid:durableId="1680615001">
    <w:abstractNumId w:val="7"/>
  </w:num>
  <w:num w:numId="23" w16cid:durableId="208302320">
    <w:abstractNumId w:val="16"/>
  </w:num>
  <w:num w:numId="24" w16cid:durableId="812723487">
    <w:abstractNumId w:val="17"/>
  </w:num>
  <w:num w:numId="25" w16cid:durableId="847907727">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removePersonalInformation/>
  <w:removeDateAndTime/>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3ED"/>
    <w:rsid w:val="0000073E"/>
    <w:rsid w:val="00000F45"/>
    <w:rsid w:val="00004810"/>
    <w:rsid w:val="00005809"/>
    <w:rsid w:val="000147E2"/>
    <w:rsid w:val="00017034"/>
    <w:rsid w:val="00017DBA"/>
    <w:rsid w:val="000252EB"/>
    <w:rsid w:val="000255E9"/>
    <w:rsid w:val="00031B1C"/>
    <w:rsid w:val="00032421"/>
    <w:rsid w:val="00047B6D"/>
    <w:rsid w:val="00060ECD"/>
    <w:rsid w:val="0006102A"/>
    <w:rsid w:val="0006405C"/>
    <w:rsid w:val="00064C47"/>
    <w:rsid w:val="000714F0"/>
    <w:rsid w:val="00087CF4"/>
    <w:rsid w:val="00090491"/>
    <w:rsid w:val="000A035C"/>
    <w:rsid w:val="000A3F1A"/>
    <w:rsid w:val="000B0CFC"/>
    <w:rsid w:val="000B3678"/>
    <w:rsid w:val="000C3234"/>
    <w:rsid w:val="000C36C2"/>
    <w:rsid w:val="000C3EE7"/>
    <w:rsid w:val="000C4FFC"/>
    <w:rsid w:val="000C6B5F"/>
    <w:rsid w:val="000E19D7"/>
    <w:rsid w:val="000F5B1A"/>
    <w:rsid w:val="00102CE0"/>
    <w:rsid w:val="00115081"/>
    <w:rsid w:val="001257DD"/>
    <w:rsid w:val="001321F5"/>
    <w:rsid w:val="00137F7F"/>
    <w:rsid w:val="00141AA4"/>
    <w:rsid w:val="001535D9"/>
    <w:rsid w:val="00154618"/>
    <w:rsid w:val="00162B67"/>
    <w:rsid w:val="001630E1"/>
    <w:rsid w:val="00165275"/>
    <w:rsid w:val="00165A6C"/>
    <w:rsid w:val="00165C11"/>
    <w:rsid w:val="0017261E"/>
    <w:rsid w:val="00172B0B"/>
    <w:rsid w:val="00184E5F"/>
    <w:rsid w:val="0019172B"/>
    <w:rsid w:val="00192C06"/>
    <w:rsid w:val="001A1BCB"/>
    <w:rsid w:val="001A32C4"/>
    <w:rsid w:val="001A6A9B"/>
    <w:rsid w:val="001B12F9"/>
    <w:rsid w:val="001B57A8"/>
    <w:rsid w:val="001C6037"/>
    <w:rsid w:val="001C6E56"/>
    <w:rsid w:val="001C77CB"/>
    <w:rsid w:val="001D38D2"/>
    <w:rsid w:val="001E4E79"/>
    <w:rsid w:val="001F17DB"/>
    <w:rsid w:val="001F3ACC"/>
    <w:rsid w:val="001F7360"/>
    <w:rsid w:val="002062B5"/>
    <w:rsid w:val="00210E5A"/>
    <w:rsid w:val="00215257"/>
    <w:rsid w:val="00216F4C"/>
    <w:rsid w:val="0022195F"/>
    <w:rsid w:val="002239FF"/>
    <w:rsid w:val="0022535F"/>
    <w:rsid w:val="00226555"/>
    <w:rsid w:val="00227DE5"/>
    <w:rsid w:val="00230CDC"/>
    <w:rsid w:val="00232CFC"/>
    <w:rsid w:val="002334D9"/>
    <w:rsid w:val="002363CB"/>
    <w:rsid w:val="0023758C"/>
    <w:rsid w:val="002522B9"/>
    <w:rsid w:val="0026195C"/>
    <w:rsid w:val="002632DC"/>
    <w:rsid w:val="002663BA"/>
    <w:rsid w:val="0027085C"/>
    <w:rsid w:val="0027305B"/>
    <w:rsid w:val="0027345E"/>
    <w:rsid w:val="0027514D"/>
    <w:rsid w:val="00284C9C"/>
    <w:rsid w:val="002A449C"/>
    <w:rsid w:val="002A6299"/>
    <w:rsid w:val="002A6E0C"/>
    <w:rsid w:val="002B455F"/>
    <w:rsid w:val="002B61C3"/>
    <w:rsid w:val="002B76DF"/>
    <w:rsid w:val="002C0126"/>
    <w:rsid w:val="002C53E7"/>
    <w:rsid w:val="002C586C"/>
    <w:rsid w:val="002C672A"/>
    <w:rsid w:val="002D1EC9"/>
    <w:rsid w:val="002D4C69"/>
    <w:rsid w:val="002F02FE"/>
    <w:rsid w:val="002F2B82"/>
    <w:rsid w:val="00301645"/>
    <w:rsid w:val="00305D1A"/>
    <w:rsid w:val="00314470"/>
    <w:rsid w:val="00321CC8"/>
    <w:rsid w:val="003318C9"/>
    <w:rsid w:val="003435BD"/>
    <w:rsid w:val="00343785"/>
    <w:rsid w:val="00346ADD"/>
    <w:rsid w:val="0036000A"/>
    <w:rsid w:val="0036504C"/>
    <w:rsid w:val="00371652"/>
    <w:rsid w:val="0037219F"/>
    <w:rsid w:val="00372B30"/>
    <w:rsid w:val="00384E5A"/>
    <w:rsid w:val="003A3961"/>
    <w:rsid w:val="003A73E1"/>
    <w:rsid w:val="003A7992"/>
    <w:rsid w:val="003B10B4"/>
    <w:rsid w:val="003B3549"/>
    <w:rsid w:val="003C00EB"/>
    <w:rsid w:val="003C7AB2"/>
    <w:rsid w:val="003D77B8"/>
    <w:rsid w:val="003D77BF"/>
    <w:rsid w:val="003E6630"/>
    <w:rsid w:val="003E6A03"/>
    <w:rsid w:val="003F044A"/>
    <w:rsid w:val="003F45CC"/>
    <w:rsid w:val="0040182B"/>
    <w:rsid w:val="004040F5"/>
    <w:rsid w:val="00410BE1"/>
    <w:rsid w:val="0041559C"/>
    <w:rsid w:val="00417903"/>
    <w:rsid w:val="0042232C"/>
    <w:rsid w:val="00425276"/>
    <w:rsid w:val="00427669"/>
    <w:rsid w:val="00430556"/>
    <w:rsid w:val="0043484D"/>
    <w:rsid w:val="0043774E"/>
    <w:rsid w:val="00437D28"/>
    <w:rsid w:val="00446049"/>
    <w:rsid w:val="004523D3"/>
    <w:rsid w:val="00464E39"/>
    <w:rsid w:val="004652E4"/>
    <w:rsid w:val="00471262"/>
    <w:rsid w:val="004722F7"/>
    <w:rsid w:val="00475128"/>
    <w:rsid w:val="004855F2"/>
    <w:rsid w:val="004868E1"/>
    <w:rsid w:val="004A61B5"/>
    <w:rsid w:val="004A772B"/>
    <w:rsid w:val="004B56F9"/>
    <w:rsid w:val="004D5822"/>
    <w:rsid w:val="004E0A6A"/>
    <w:rsid w:val="004E4496"/>
    <w:rsid w:val="004F2484"/>
    <w:rsid w:val="004F6363"/>
    <w:rsid w:val="004F7690"/>
    <w:rsid w:val="00500889"/>
    <w:rsid w:val="00501BE3"/>
    <w:rsid w:val="00507E84"/>
    <w:rsid w:val="005104F3"/>
    <w:rsid w:val="005108B0"/>
    <w:rsid w:val="00525DE1"/>
    <w:rsid w:val="00526C8C"/>
    <w:rsid w:val="00532858"/>
    <w:rsid w:val="005437F1"/>
    <w:rsid w:val="0055120F"/>
    <w:rsid w:val="0055264F"/>
    <w:rsid w:val="00554B7D"/>
    <w:rsid w:val="00586C7C"/>
    <w:rsid w:val="00590FD2"/>
    <w:rsid w:val="0059453F"/>
    <w:rsid w:val="005A0B58"/>
    <w:rsid w:val="005A3517"/>
    <w:rsid w:val="005A5233"/>
    <w:rsid w:val="005B4669"/>
    <w:rsid w:val="005B60ED"/>
    <w:rsid w:val="005C17F7"/>
    <w:rsid w:val="005C25A8"/>
    <w:rsid w:val="005C6105"/>
    <w:rsid w:val="005C71C3"/>
    <w:rsid w:val="005D67EC"/>
    <w:rsid w:val="005E2461"/>
    <w:rsid w:val="005E55E0"/>
    <w:rsid w:val="005E5EB7"/>
    <w:rsid w:val="005E6F10"/>
    <w:rsid w:val="005E74E7"/>
    <w:rsid w:val="0060757C"/>
    <w:rsid w:val="006112B6"/>
    <w:rsid w:val="00612D04"/>
    <w:rsid w:val="00613260"/>
    <w:rsid w:val="00624EC4"/>
    <w:rsid w:val="006333BB"/>
    <w:rsid w:val="0063655D"/>
    <w:rsid w:val="00640656"/>
    <w:rsid w:val="00643629"/>
    <w:rsid w:val="00643FD4"/>
    <w:rsid w:val="006443E7"/>
    <w:rsid w:val="00645084"/>
    <w:rsid w:val="006527AC"/>
    <w:rsid w:val="00655A71"/>
    <w:rsid w:val="00656071"/>
    <w:rsid w:val="00660391"/>
    <w:rsid w:val="00667CAA"/>
    <w:rsid w:val="006721D8"/>
    <w:rsid w:val="00676C6B"/>
    <w:rsid w:val="00682423"/>
    <w:rsid w:val="00682BA6"/>
    <w:rsid w:val="00683444"/>
    <w:rsid w:val="00684E0D"/>
    <w:rsid w:val="00686D04"/>
    <w:rsid w:val="00691CDB"/>
    <w:rsid w:val="006920D6"/>
    <w:rsid w:val="00693D4D"/>
    <w:rsid w:val="0069797F"/>
    <w:rsid w:val="006A0B3A"/>
    <w:rsid w:val="006A2A03"/>
    <w:rsid w:val="006A32D8"/>
    <w:rsid w:val="006B37F9"/>
    <w:rsid w:val="006B4AAC"/>
    <w:rsid w:val="006B4CE7"/>
    <w:rsid w:val="006B659B"/>
    <w:rsid w:val="006C1DE4"/>
    <w:rsid w:val="006C233D"/>
    <w:rsid w:val="006C6856"/>
    <w:rsid w:val="006C784C"/>
    <w:rsid w:val="006D5913"/>
    <w:rsid w:val="006E08DF"/>
    <w:rsid w:val="006E099C"/>
    <w:rsid w:val="006E718C"/>
    <w:rsid w:val="006F6E6D"/>
    <w:rsid w:val="006F7FDA"/>
    <w:rsid w:val="00701144"/>
    <w:rsid w:val="00701D76"/>
    <w:rsid w:val="00705F6A"/>
    <w:rsid w:val="00706FD2"/>
    <w:rsid w:val="00717EC3"/>
    <w:rsid w:val="00720390"/>
    <w:rsid w:val="0072126A"/>
    <w:rsid w:val="00723C99"/>
    <w:rsid w:val="00725C91"/>
    <w:rsid w:val="00740113"/>
    <w:rsid w:val="007463D1"/>
    <w:rsid w:val="00752591"/>
    <w:rsid w:val="00756E4B"/>
    <w:rsid w:val="007640F2"/>
    <w:rsid w:val="007666E4"/>
    <w:rsid w:val="00767A87"/>
    <w:rsid w:val="007737F2"/>
    <w:rsid w:val="00773B85"/>
    <w:rsid w:val="0077710F"/>
    <w:rsid w:val="00781F6B"/>
    <w:rsid w:val="007968BD"/>
    <w:rsid w:val="0079744D"/>
    <w:rsid w:val="007A1DDF"/>
    <w:rsid w:val="007B2500"/>
    <w:rsid w:val="007C723C"/>
    <w:rsid w:val="007D2215"/>
    <w:rsid w:val="007D39FB"/>
    <w:rsid w:val="007E5E69"/>
    <w:rsid w:val="007E64C3"/>
    <w:rsid w:val="007F53E1"/>
    <w:rsid w:val="007F79C7"/>
    <w:rsid w:val="0080207C"/>
    <w:rsid w:val="00803D59"/>
    <w:rsid w:val="008101EB"/>
    <w:rsid w:val="00811567"/>
    <w:rsid w:val="00814C24"/>
    <w:rsid w:val="0081623F"/>
    <w:rsid w:val="00817178"/>
    <w:rsid w:val="0082151F"/>
    <w:rsid w:val="00823157"/>
    <w:rsid w:val="008262BB"/>
    <w:rsid w:val="008264E8"/>
    <w:rsid w:val="00830B0E"/>
    <w:rsid w:val="00833F77"/>
    <w:rsid w:val="00842054"/>
    <w:rsid w:val="00844DC0"/>
    <w:rsid w:val="00845DDC"/>
    <w:rsid w:val="0085073D"/>
    <w:rsid w:val="00864EFA"/>
    <w:rsid w:val="008653BB"/>
    <w:rsid w:val="008663BF"/>
    <w:rsid w:val="00881DA0"/>
    <w:rsid w:val="00884600"/>
    <w:rsid w:val="00886317"/>
    <w:rsid w:val="00892D86"/>
    <w:rsid w:val="008945B9"/>
    <w:rsid w:val="008A059D"/>
    <w:rsid w:val="008A0FC5"/>
    <w:rsid w:val="008A3818"/>
    <w:rsid w:val="008A682B"/>
    <w:rsid w:val="008B3FAF"/>
    <w:rsid w:val="008B4EC1"/>
    <w:rsid w:val="008C2F51"/>
    <w:rsid w:val="008C5022"/>
    <w:rsid w:val="008C78E0"/>
    <w:rsid w:val="008D1CF1"/>
    <w:rsid w:val="008D504F"/>
    <w:rsid w:val="008E221D"/>
    <w:rsid w:val="008E22B2"/>
    <w:rsid w:val="008E4FB0"/>
    <w:rsid w:val="008E5455"/>
    <w:rsid w:val="008F4174"/>
    <w:rsid w:val="009039FA"/>
    <w:rsid w:val="00914D1A"/>
    <w:rsid w:val="00915A8C"/>
    <w:rsid w:val="0091695E"/>
    <w:rsid w:val="009327E5"/>
    <w:rsid w:val="00933BB7"/>
    <w:rsid w:val="00941C88"/>
    <w:rsid w:val="00942C73"/>
    <w:rsid w:val="00942D0E"/>
    <w:rsid w:val="009443A3"/>
    <w:rsid w:val="00950706"/>
    <w:rsid w:val="00956342"/>
    <w:rsid w:val="00956481"/>
    <w:rsid w:val="009604B2"/>
    <w:rsid w:val="00961F8E"/>
    <w:rsid w:val="009624B2"/>
    <w:rsid w:val="00962570"/>
    <w:rsid w:val="00965A91"/>
    <w:rsid w:val="0097440C"/>
    <w:rsid w:val="00982F77"/>
    <w:rsid w:val="009865DC"/>
    <w:rsid w:val="009920C8"/>
    <w:rsid w:val="00996AB7"/>
    <w:rsid w:val="009A2A17"/>
    <w:rsid w:val="009A3727"/>
    <w:rsid w:val="009A6304"/>
    <w:rsid w:val="009A7CA4"/>
    <w:rsid w:val="009D069B"/>
    <w:rsid w:val="009D1007"/>
    <w:rsid w:val="009D18B5"/>
    <w:rsid w:val="009D2582"/>
    <w:rsid w:val="009D5D1F"/>
    <w:rsid w:val="009E40CF"/>
    <w:rsid w:val="009F00FA"/>
    <w:rsid w:val="009F362B"/>
    <w:rsid w:val="00A00A2A"/>
    <w:rsid w:val="00A05892"/>
    <w:rsid w:val="00A11B23"/>
    <w:rsid w:val="00A224FC"/>
    <w:rsid w:val="00A30182"/>
    <w:rsid w:val="00A33147"/>
    <w:rsid w:val="00A42407"/>
    <w:rsid w:val="00A47998"/>
    <w:rsid w:val="00A536EB"/>
    <w:rsid w:val="00A57CF7"/>
    <w:rsid w:val="00A620AE"/>
    <w:rsid w:val="00A731CB"/>
    <w:rsid w:val="00A77CC7"/>
    <w:rsid w:val="00A85114"/>
    <w:rsid w:val="00A91322"/>
    <w:rsid w:val="00AA2675"/>
    <w:rsid w:val="00AA45DA"/>
    <w:rsid w:val="00AB0F74"/>
    <w:rsid w:val="00AC0844"/>
    <w:rsid w:val="00AC0CE8"/>
    <w:rsid w:val="00AC1E9E"/>
    <w:rsid w:val="00AC6891"/>
    <w:rsid w:val="00AD13C8"/>
    <w:rsid w:val="00AD4129"/>
    <w:rsid w:val="00B02428"/>
    <w:rsid w:val="00B07786"/>
    <w:rsid w:val="00B12997"/>
    <w:rsid w:val="00B1605A"/>
    <w:rsid w:val="00B169B4"/>
    <w:rsid w:val="00B20887"/>
    <w:rsid w:val="00B229C6"/>
    <w:rsid w:val="00B31746"/>
    <w:rsid w:val="00B42769"/>
    <w:rsid w:val="00B44023"/>
    <w:rsid w:val="00B47972"/>
    <w:rsid w:val="00B55F42"/>
    <w:rsid w:val="00B5759D"/>
    <w:rsid w:val="00B5775A"/>
    <w:rsid w:val="00B6382F"/>
    <w:rsid w:val="00B67EA8"/>
    <w:rsid w:val="00B7202B"/>
    <w:rsid w:val="00B73D0C"/>
    <w:rsid w:val="00B7705D"/>
    <w:rsid w:val="00B82CCC"/>
    <w:rsid w:val="00B97F96"/>
    <w:rsid w:val="00BA4204"/>
    <w:rsid w:val="00BA6AAF"/>
    <w:rsid w:val="00BA7BBB"/>
    <w:rsid w:val="00BC4C68"/>
    <w:rsid w:val="00BD067D"/>
    <w:rsid w:val="00BD27C1"/>
    <w:rsid w:val="00BD597E"/>
    <w:rsid w:val="00BE0AC5"/>
    <w:rsid w:val="00BE1BE3"/>
    <w:rsid w:val="00BE7FC6"/>
    <w:rsid w:val="00BF0DA6"/>
    <w:rsid w:val="00BF16E3"/>
    <w:rsid w:val="00BF48D2"/>
    <w:rsid w:val="00BF690E"/>
    <w:rsid w:val="00C04B98"/>
    <w:rsid w:val="00C11BD2"/>
    <w:rsid w:val="00C17AA5"/>
    <w:rsid w:val="00C20120"/>
    <w:rsid w:val="00C20616"/>
    <w:rsid w:val="00C2671A"/>
    <w:rsid w:val="00C3096C"/>
    <w:rsid w:val="00C309D9"/>
    <w:rsid w:val="00C369CF"/>
    <w:rsid w:val="00C4310E"/>
    <w:rsid w:val="00C519E8"/>
    <w:rsid w:val="00C64A36"/>
    <w:rsid w:val="00C70049"/>
    <w:rsid w:val="00C72410"/>
    <w:rsid w:val="00C734D6"/>
    <w:rsid w:val="00C76973"/>
    <w:rsid w:val="00C8590D"/>
    <w:rsid w:val="00C91909"/>
    <w:rsid w:val="00C96F4D"/>
    <w:rsid w:val="00CA1464"/>
    <w:rsid w:val="00CC676D"/>
    <w:rsid w:val="00CE0DB8"/>
    <w:rsid w:val="00CF4C7D"/>
    <w:rsid w:val="00D00C61"/>
    <w:rsid w:val="00D02DAD"/>
    <w:rsid w:val="00D03CEB"/>
    <w:rsid w:val="00D20CE5"/>
    <w:rsid w:val="00D210A7"/>
    <w:rsid w:val="00D219DC"/>
    <w:rsid w:val="00D21BFA"/>
    <w:rsid w:val="00D24AEA"/>
    <w:rsid w:val="00D315C2"/>
    <w:rsid w:val="00D361FB"/>
    <w:rsid w:val="00D42069"/>
    <w:rsid w:val="00D42AAD"/>
    <w:rsid w:val="00D45499"/>
    <w:rsid w:val="00D631E8"/>
    <w:rsid w:val="00D65FFE"/>
    <w:rsid w:val="00D675CA"/>
    <w:rsid w:val="00D7039C"/>
    <w:rsid w:val="00D703B5"/>
    <w:rsid w:val="00D809FC"/>
    <w:rsid w:val="00D86DC7"/>
    <w:rsid w:val="00D86F41"/>
    <w:rsid w:val="00D873BD"/>
    <w:rsid w:val="00D9453F"/>
    <w:rsid w:val="00D9588E"/>
    <w:rsid w:val="00D9641F"/>
    <w:rsid w:val="00DB028E"/>
    <w:rsid w:val="00DB3413"/>
    <w:rsid w:val="00DB66AD"/>
    <w:rsid w:val="00DC7441"/>
    <w:rsid w:val="00DF12BE"/>
    <w:rsid w:val="00DF17A5"/>
    <w:rsid w:val="00DF7706"/>
    <w:rsid w:val="00DF784B"/>
    <w:rsid w:val="00E040F8"/>
    <w:rsid w:val="00E07F38"/>
    <w:rsid w:val="00E142F0"/>
    <w:rsid w:val="00E15EAE"/>
    <w:rsid w:val="00E16EDB"/>
    <w:rsid w:val="00E17454"/>
    <w:rsid w:val="00E36104"/>
    <w:rsid w:val="00E424B4"/>
    <w:rsid w:val="00E5076F"/>
    <w:rsid w:val="00E60782"/>
    <w:rsid w:val="00E6519B"/>
    <w:rsid w:val="00E66BCC"/>
    <w:rsid w:val="00E722C3"/>
    <w:rsid w:val="00E7235D"/>
    <w:rsid w:val="00E72BBF"/>
    <w:rsid w:val="00E85F3E"/>
    <w:rsid w:val="00E92CBD"/>
    <w:rsid w:val="00E930E3"/>
    <w:rsid w:val="00E9405D"/>
    <w:rsid w:val="00E95E45"/>
    <w:rsid w:val="00E960C2"/>
    <w:rsid w:val="00E9644A"/>
    <w:rsid w:val="00E97DE9"/>
    <w:rsid w:val="00EA2929"/>
    <w:rsid w:val="00EA4DDD"/>
    <w:rsid w:val="00EB2080"/>
    <w:rsid w:val="00EB3342"/>
    <w:rsid w:val="00EB597F"/>
    <w:rsid w:val="00EB78D7"/>
    <w:rsid w:val="00EC0BC5"/>
    <w:rsid w:val="00EC19E3"/>
    <w:rsid w:val="00EC33A8"/>
    <w:rsid w:val="00EC58DF"/>
    <w:rsid w:val="00EC79D8"/>
    <w:rsid w:val="00ED45F1"/>
    <w:rsid w:val="00EE0F2B"/>
    <w:rsid w:val="00EE57B6"/>
    <w:rsid w:val="00EE67F7"/>
    <w:rsid w:val="00EF1A26"/>
    <w:rsid w:val="00EF6814"/>
    <w:rsid w:val="00EF798D"/>
    <w:rsid w:val="00F045D5"/>
    <w:rsid w:val="00F10BCC"/>
    <w:rsid w:val="00F2005B"/>
    <w:rsid w:val="00F20157"/>
    <w:rsid w:val="00F2105D"/>
    <w:rsid w:val="00F431C8"/>
    <w:rsid w:val="00F457CB"/>
    <w:rsid w:val="00F613ED"/>
    <w:rsid w:val="00F6379C"/>
    <w:rsid w:val="00F731AD"/>
    <w:rsid w:val="00F73713"/>
    <w:rsid w:val="00F751B3"/>
    <w:rsid w:val="00F76ADC"/>
    <w:rsid w:val="00FA77CF"/>
    <w:rsid w:val="00FA7A41"/>
    <w:rsid w:val="00FB3240"/>
    <w:rsid w:val="00FB5042"/>
    <w:rsid w:val="00FB51F8"/>
    <w:rsid w:val="00FB64DE"/>
    <w:rsid w:val="00FC263E"/>
    <w:rsid w:val="00FC5559"/>
    <w:rsid w:val="00FE3EAB"/>
    <w:rsid w:val="00FF0591"/>
    <w:rsid w:val="00FF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08A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961"/>
    <w:rPr>
      <w:rFonts w:ascii="Verdana" w:hAnsi="Verdana"/>
      <w:sz w:val="24"/>
    </w:rPr>
  </w:style>
  <w:style w:type="paragraph" w:styleId="Heading1">
    <w:name w:val="heading 1"/>
    <w:basedOn w:val="Normal"/>
    <w:next w:val="Normal"/>
    <w:link w:val="Heading1Char"/>
    <w:uiPriority w:val="9"/>
    <w:qFormat/>
    <w:rsid w:val="00667CAA"/>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612D04"/>
    <w:pPr>
      <w:tabs>
        <w:tab w:val="right" w:leader="dot" w:pos="9350"/>
      </w:tabs>
      <w:spacing w:before="120" w:after="120"/>
    </w:pPr>
  </w:style>
  <w:style w:type="character" w:styleId="Hyperlink">
    <w:name w:val="Hyperlink"/>
    <w:basedOn w:val="DefaultParagraphFont"/>
    <w:uiPriority w:val="99"/>
    <w:unhideWhenUsed/>
    <w:rsid w:val="002B455F"/>
    <w:rPr>
      <w:color w:val="0000FF"/>
      <w:u w:val="single"/>
    </w:rPr>
  </w:style>
  <w:style w:type="paragraph" w:styleId="ListParagraph">
    <w:name w:val="List Paragraph"/>
    <w:basedOn w:val="Normal"/>
    <w:uiPriority w:val="34"/>
    <w:qFormat/>
    <w:rsid w:val="00667CAA"/>
    <w:pPr>
      <w:spacing w:after="0" w:line="240" w:lineRule="auto"/>
      <w:ind w:left="720"/>
    </w:pPr>
    <w:rPr>
      <w:rFonts w:ascii="Calibri" w:hAnsi="Calibri" w:cs="Calibri"/>
    </w:rPr>
  </w:style>
  <w:style w:type="paragraph" w:styleId="NoSpacing">
    <w:name w:val="No Spacing"/>
    <w:basedOn w:val="Normal"/>
    <w:uiPriority w:val="1"/>
    <w:qFormat/>
    <w:rsid w:val="00667CAA"/>
    <w:pPr>
      <w:spacing w:after="0" w:line="240" w:lineRule="auto"/>
    </w:pPr>
    <w:rPr>
      <w:rFonts w:ascii="Calibri" w:hAnsi="Calibri" w:cs="Calibri"/>
    </w:rPr>
  </w:style>
  <w:style w:type="character" w:customStyle="1" w:styleId="Heading1Char">
    <w:name w:val="Heading 1 Char"/>
    <w:basedOn w:val="DefaultParagraphFont"/>
    <w:link w:val="Heading1"/>
    <w:uiPriority w:val="9"/>
    <w:rsid w:val="00667CA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67CAA"/>
    <w:pPr>
      <w:spacing w:before="100" w:beforeAutospacing="1" w:after="100" w:afterAutospacing="1" w:line="240" w:lineRule="auto"/>
    </w:pPr>
    <w:rPr>
      <w:rFonts w:ascii="Calibri" w:hAnsi="Calibri" w:cs="Calibri"/>
    </w:rPr>
  </w:style>
  <w:style w:type="character" w:styleId="UnresolvedMention">
    <w:name w:val="Unresolved Mention"/>
    <w:basedOn w:val="DefaultParagraphFont"/>
    <w:uiPriority w:val="99"/>
    <w:unhideWhenUsed/>
    <w:rsid w:val="00996AB7"/>
    <w:rPr>
      <w:color w:val="605E5C"/>
      <w:shd w:val="clear" w:color="auto" w:fill="E1DFDD"/>
    </w:rPr>
  </w:style>
  <w:style w:type="character" w:styleId="CommentReference">
    <w:name w:val="annotation reference"/>
    <w:basedOn w:val="DefaultParagraphFont"/>
    <w:uiPriority w:val="99"/>
    <w:semiHidden/>
    <w:unhideWhenUsed/>
    <w:rsid w:val="00AC1E9E"/>
    <w:rPr>
      <w:sz w:val="16"/>
      <w:szCs w:val="16"/>
    </w:rPr>
  </w:style>
  <w:style w:type="paragraph" w:styleId="CommentText">
    <w:name w:val="annotation text"/>
    <w:basedOn w:val="Normal"/>
    <w:link w:val="CommentTextChar"/>
    <w:uiPriority w:val="99"/>
    <w:semiHidden/>
    <w:unhideWhenUsed/>
    <w:rsid w:val="00AC1E9E"/>
    <w:pPr>
      <w:spacing w:line="240" w:lineRule="auto"/>
    </w:pPr>
    <w:rPr>
      <w:sz w:val="20"/>
      <w:szCs w:val="20"/>
    </w:rPr>
  </w:style>
  <w:style w:type="character" w:customStyle="1" w:styleId="CommentTextChar">
    <w:name w:val="Comment Text Char"/>
    <w:basedOn w:val="DefaultParagraphFont"/>
    <w:link w:val="CommentText"/>
    <w:uiPriority w:val="99"/>
    <w:semiHidden/>
    <w:rsid w:val="00AC1E9E"/>
    <w:rPr>
      <w:sz w:val="20"/>
      <w:szCs w:val="20"/>
    </w:rPr>
  </w:style>
  <w:style w:type="paragraph" w:styleId="CommentSubject">
    <w:name w:val="annotation subject"/>
    <w:basedOn w:val="CommentText"/>
    <w:next w:val="CommentText"/>
    <w:link w:val="CommentSubjectChar"/>
    <w:uiPriority w:val="99"/>
    <w:semiHidden/>
    <w:unhideWhenUsed/>
    <w:rsid w:val="00AC1E9E"/>
    <w:rPr>
      <w:b/>
      <w:bCs/>
    </w:rPr>
  </w:style>
  <w:style w:type="character" w:customStyle="1" w:styleId="CommentSubjectChar">
    <w:name w:val="Comment Subject Char"/>
    <w:basedOn w:val="CommentTextChar"/>
    <w:link w:val="CommentSubject"/>
    <w:uiPriority w:val="99"/>
    <w:semiHidden/>
    <w:rsid w:val="00AC1E9E"/>
    <w:rPr>
      <w:b/>
      <w:bCs/>
      <w:sz w:val="20"/>
      <w:szCs w:val="20"/>
    </w:rPr>
  </w:style>
  <w:style w:type="paragraph" w:styleId="Header">
    <w:name w:val="header"/>
    <w:basedOn w:val="Normal"/>
    <w:link w:val="HeaderChar"/>
    <w:uiPriority w:val="99"/>
    <w:unhideWhenUsed/>
    <w:rsid w:val="00720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390"/>
  </w:style>
  <w:style w:type="paragraph" w:styleId="Footer">
    <w:name w:val="footer"/>
    <w:basedOn w:val="Normal"/>
    <w:link w:val="FooterChar"/>
    <w:uiPriority w:val="99"/>
    <w:unhideWhenUsed/>
    <w:rsid w:val="00720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390"/>
  </w:style>
  <w:style w:type="paragraph" w:styleId="Revision">
    <w:name w:val="Revision"/>
    <w:hidden/>
    <w:uiPriority w:val="99"/>
    <w:semiHidden/>
    <w:rsid w:val="00767A87"/>
    <w:pPr>
      <w:spacing w:after="0" w:line="240" w:lineRule="auto"/>
    </w:pPr>
  </w:style>
  <w:style w:type="character" w:styleId="Mention">
    <w:name w:val="Mention"/>
    <w:basedOn w:val="DefaultParagraphFont"/>
    <w:uiPriority w:val="99"/>
    <w:unhideWhenUsed/>
    <w:rsid w:val="006B4CE7"/>
    <w:rPr>
      <w:color w:val="2B579A"/>
      <w:shd w:val="clear" w:color="auto" w:fill="E1DFDD"/>
    </w:rPr>
  </w:style>
  <w:style w:type="paragraph" w:customStyle="1" w:styleId="style-scope">
    <w:name w:val="style-scope"/>
    <w:basedOn w:val="Normal"/>
    <w:rsid w:val="00210E5A"/>
    <w:pPr>
      <w:spacing w:before="100" w:beforeAutospacing="1" w:after="100" w:afterAutospacing="1" w:line="240" w:lineRule="auto"/>
    </w:pPr>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CC67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033895">
      <w:bodyDiv w:val="1"/>
      <w:marLeft w:val="0"/>
      <w:marRight w:val="0"/>
      <w:marTop w:val="0"/>
      <w:marBottom w:val="0"/>
      <w:divBdr>
        <w:top w:val="none" w:sz="0" w:space="0" w:color="auto"/>
        <w:left w:val="none" w:sz="0" w:space="0" w:color="auto"/>
        <w:bottom w:val="none" w:sz="0" w:space="0" w:color="auto"/>
        <w:right w:val="none" w:sz="0" w:space="0" w:color="auto"/>
      </w:divBdr>
    </w:div>
    <w:div w:id="186874470">
      <w:bodyDiv w:val="1"/>
      <w:marLeft w:val="0"/>
      <w:marRight w:val="0"/>
      <w:marTop w:val="0"/>
      <w:marBottom w:val="0"/>
      <w:divBdr>
        <w:top w:val="none" w:sz="0" w:space="0" w:color="auto"/>
        <w:left w:val="none" w:sz="0" w:space="0" w:color="auto"/>
        <w:bottom w:val="none" w:sz="0" w:space="0" w:color="auto"/>
        <w:right w:val="none" w:sz="0" w:space="0" w:color="auto"/>
      </w:divBdr>
      <w:divsChild>
        <w:div w:id="28802531">
          <w:marLeft w:val="0"/>
          <w:marRight w:val="0"/>
          <w:marTop w:val="0"/>
          <w:marBottom w:val="0"/>
          <w:divBdr>
            <w:top w:val="none" w:sz="0" w:space="0" w:color="auto"/>
            <w:left w:val="none" w:sz="0" w:space="0" w:color="auto"/>
            <w:bottom w:val="none" w:sz="0" w:space="0" w:color="auto"/>
            <w:right w:val="none" w:sz="0" w:space="0" w:color="auto"/>
          </w:divBdr>
          <w:divsChild>
            <w:div w:id="738478278">
              <w:marLeft w:val="0"/>
              <w:marRight w:val="0"/>
              <w:marTop w:val="0"/>
              <w:marBottom w:val="0"/>
              <w:divBdr>
                <w:top w:val="none" w:sz="0" w:space="0" w:color="auto"/>
                <w:left w:val="none" w:sz="0" w:space="0" w:color="auto"/>
                <w:bottom w:val="none" w:sz="0" w:space="0" w:color="auto"/>
                <w:right w:val="none" w:sz="0" w:space="0" w:color="auto"/>
              </w:divBdr>
              <w:divsChild>
                <w:div w:id="749277503">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603073699">
          <w:marLeft w:val="0"/>
          <w:marRight w:val="0"/>
          <w:marTop w:val="0"/>
          <w:marBottom w:val="0"/>
          <w:divBdr>
            <w:top w:val="none" w:sz="0" w:space="0" w:color="auto"/>
            <w:left w:val="none" w:sz="0" w:space="0" w:color="auto"/>
            <w:bottom w:val="none" w:sz="0" w:space="0" w:color="auto"/>
            <w:right w:val="none" w:sz="0" w:space="0" w:color="auto"/>
          </w:divBdr>
          <w:divsChild>
            <w:div w:id="60843954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98205275">
      <w:bodyDiv w:val="1"/>
      <w:marLeft w:val="0"/>
      <w:marRight w:val="0"/>
      <w:marTop w:val="0"/>
      <w:marBottom w:val="0"/>
      <w:divBdr>
        <w:top w:val="none" w:sz="0" w:space="0" w:color="auto"/>
        <w:left w:val="none" w:sz="0" w:space="0" w:color="auto"/>
        <w:bottom w:val="none" w:sz="0" w:space="0" w:color="auto"/>
        <w:right w:val="none" w:sz="0" w:space="0" w:color="auto"/>
      </w:divBdr>
    </w:div>
    <w:div w:id="218398018">
      <w:bodyDiv w:val="1"/>
      <w:marLeft w:val="0"/>
      <w:marRight w:val="0"/>
      <w:marTop w:val="0"/>
      <w:marBottom w:val="0"/>
      <w:divBdr>
        <w:top w:val="none" w:sz="0" w:space="0" w:color="auto"/>
        <w:left w:val="none" w:sz="0" w:space="0" w:color="auto"/>
        <w:bottom w:val="none" w:sz="0" w:space="0" w:color="auto"/>
        <w:right w:val="none" w:sz="0" w:space="0" w:color="auto"/>
      </w:divBdr>
    </w:div>
    <w:div w:id="289557530">
      <w:bodyDiv w:val="1"/>
      <w:marLeft w:val="0"/>
      <w:marRight w:val="0"/>
      <w:marTop w:val="0"/>
      <w:marBottom w:val="0"/>
      <w:divBdr>
        <w:top w:val="none" w:sz="0" w:space="0" w:color="auto"/>
        <w:left w:val="none" w:sz="0" w:space="0" w:color="auto"/>
        <w:bottom w:val="none" w:sz="0" w:space="0" w:color="auto"/>
        <w:right w:val="none" w:sz="0" w:space="0" w:color="auto"/>
      </w:divBdr>
    </w:div>
    <w:div w:id="294262993">
      <w:bodyDiv w:val="1"/>
      <w:marLeft w:val="0"/>
      <w:marRight w:val="0"/>
      <w:marTop w:val="0"/>
      <w:marBottom w:val="0"/>
      <w:divBdr>
        <w:top w:val="none" w:sz="0" w:space="0" w:color="auto"/>
        <w:left w:val="none" w:sz="0" w:space="0" w:color="auto"/>
        <w:bottom w:val="none" w:sz="0" w:space="0" w:color="auto"/>
        <w:right w:val="none" w:sz="0" w:space="0" w:color="auto"/>
      </w:divBdr>
    </w:div>
    <w:div w:id="363797143">
      <w:bodyDiv w:val="1"/>
      <w:marLeft w:val="0"/>
      <w:marRight w:val="0"/>
      <w:marTop w:val="0"/>
      <w:marBottom w:val="0"/>
      <w:divBdr>
        <w:top w:val="none" w:sz="0" w:space="0" w:color="auto"/>
        <w:left w:val="none" w:sz="0" w:space="0" w:color="auto"/>
        <w:bottom w:val="none" w:sz="0" w:space="0" w:color="auto"/>
        <w:right w:val="none" w:sz="0" w:space="0" w:color="auto"/>
      </w:divBdr>
    </w:div>
    <w:div w:id="505750044">
      <w:bodyDiv w:val="1"/>
      <w:marLeft w:val="0"/>
      <w:marRight w:val="0"/>
      <w:marTop w:val="0"/>
      <w:marBottom w:val="0"/>
      <w:divBdr>
        <w:top w:val="none" w:sz="0" w:space="0" w:color="auto"/>
        <w:left w:val="none" w:sz="0" w:space="0" w:color="auto"/>
        <w:bottom w:val="none" w:sz="0" w:space="0" w:color="auto"/>
        <w:right w:val="none" w:sz="0" w:space="0" w:color="auto"/>
      </w:divBdr>
    </w:div>
    <w:div w:id="633364987">
      <w:bodyDiv w:val="1"/>
      <w:marLeft w:val="0"/>
      <w:marRight w:val="0"/>
      <w:marTop w:val="0"/>
      <w:marBottom w:val="0"/>
      <w:divBdr>
        <w:top w:val="none" w:sz="0" w:space="0" w:color="auto"/>
        <w:left w:val="none" w:sz="0" w:space="0" w:color="auto"/>
        <w:bottom w:val="none" w:sz="0" w:space="0" w:color="auto"/>
        <w:right w:val="none" w:sz="0" w:space="0" w:color="auto"/>
      </w:divBdr>
    </w:div>
    <w:div w:id="774522659">
      <w:bodyDiv w:val="1"/>
      <w:marLeft w:val="0"/>
      <w:marRight w:val="0"/>
      <w:marTop w:val="0"/>
      <w:marBottom w:val="0"/>
      <w:divBdr>
        <w:top w:val="none" w:sz="0" w:space="0" w:color="auto"/>
        <w:left w:val="none" w:sz="0" w:space="0" w:color="auto"/>
        <w:bottom w:val="none" w:sz="0" w:space="0" w:color="auto"/>
        <w:right w:val="none" w:sz="0" w:space="0" w:color="auto"/>
      </w:divBdr>
    </w:div>
    <w:div w:id="793912968">
      <w:bodyDiv w:val="1"/>
      <w:marLeft w:val="0"/>
      <w:marRight w:val="0"/>
      <w:marTop w:val="0"/>
      <w:marBottom w:val="0"/>
      <w:divBdr>
        <w:top w:val="none" w:sz="0" w:space="0" w:color="auto"/>
        <w:left w:val="none" w:sz="0" w:space="0" w:color="auto"/>
        <w:bottom w:val="none" w:sz="0" w:space="0" w:color="auto"/>
        <w:right w:val="none" w:sz="0" w:space="0" w:color="auto"/>
      </w:divBdr>
      <w:divsChild>
        <w:div w:id="1161653800">
          <w:marLeft w:val="0"/>
          <w:marRight w:val="0"/>
          <w:marTop w:val="0"/>
          <w:marBottom w:val="0"/>
          <w:divBdr>
            <w:top w:val="none" w:sz="0" w:space="0" w:color="auto"/>
            <w:left w:val="none" w:sz="0" w:space="0" w:color="auto"/>
            <w:bottom w:val="none" w:sz="0" w:space="0" w:color="auto"/>
            <w:right w:val="none" w:sz="0" w:space="0" w:color="auto"/>
          </w:divBdr>
          <w:divsChild>
            <w:div w:id="561988598">
              <w:marLeft w:val="0"/>
              <w:marRight w:val="0"/>
              <w:marTop w:val="0"/>
              <w:marBottom w:val="0"/>
              <w:divBdr>
                <w:top w:val="none" w:sz="0" w:space="0" w:color="auto"/>
                <w:left w:val="none" w:sz="0" w:space="0" w:color="auto"/>
                <w:bottom w:val="none" w:sz="0" w:space="0" w:color="auto"/>
                <w:right w:val="none" w:sz="0" w:space="0" w:color="auto"/>
              </w:divBdr>
              <w:divsChild>
                <w:div w:id="131098557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917709687">
          <w:marLeft w:val="0"/>
          <w:marRight w:val="0"/>
          <w:marTop w:val="0"/>
          <w:marBottom w:val="0"/>
          <w:divBdr>
            <w:top w:val="none" w:sz="0" w:space="0" w:color="auto"/>
            <w:left w:val="none" w:sz="0" w:space="0" w:color="auto"/>
            <w:bottom w:val="none" w:sz="0" w:space="0" w:color="auto"/>
            <w:right w:val="none" w:sz="0" w:space="0" w:color="auto"/>
          </w:divBdr>
          <w:divsChild>
            <w:div w:id="717900309">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884758944">
      <w:bodyDiv w:val="1"/>
      <w:marLeft w:val="0"/>
      <w:marRight w:val="0"/>
      <w:marTop w:val="0"/>
      <w:marBottom w:val="0"/>
      <w:divBdr>
        <w:top w:val="none" w:sz="0" w:space="0" w:color="auto"/>
        <w:left w:val="none" w:sz="0" w:space="0" w:color="auto"/>
        <w:bottom w:val="none" w:sz="0" w:space="0" w:color="auto"/>
        <w:right w:val="none" w:sz="0" w:space="0" w:color="auto"/>
      </w:divBdr>
    </w:div>
    <w:div w:id="1020738279">
      <w:bodyDiv w:val="1"/>
      <w:marLeft w:val="0"/>
      <w:marRight w:val="0"/>
      <w:marTop w:val="0"/>
      <w:marBottom w:val="0"/>
      <w:divBdr>
        <w:top w:val="none" w:sz="0" w:space="0" w:color="auto"/>
        <w:left w:val="none" w:sz="0" w:space="0" w:color="auto"/>
        <w:bottom w:val="none" w:sz="0" w:space="0" w:color="auto"/>
        <w:right w:val="none" w:sz="0" w:space="0" w:color="auto"/>
      </w:divBdr>
    </w:div>
    <w:div w:id="1350332282">
      <w:bodyDiv w:val="1"/>
      <w:marLeft w:val="0"/>
      <w:marRight w:val="0"/>
      <w:marTop w:val="0"/>
      <w:marBottom w:val="0"/>
      <w:divBdr>
        <w:top w:val="none" w:sz="0" w:space="0" w:color="auto"/>
        <w:left w:val="none" w:sz="0" w:space="0" w:color="auto"/>
        <w:bottom w:val="none" w:sz="0" w:space="0" w:color="auto"/>
        <w:right w:val="none" w:sz="0" w:space="0" w:color="auto"/>
      </w:divBdr>
    </w:div>
    <w:div w:id="1503349928">
      <w:bodyDiv w:val="1"/>
      <w:marLeft w:val="0"/>
      <w:marRight w:val="0"/>
      <w:marTop w:val="0"/>
      <w:marBottom w:val="0"/>
      <w:divBdr>
        <w:top w:val="none" w:sz="0" w:space="0" w:color="auto"/>
        <w:left w:val="none" w:sz="0" w:space="0" w:color="auto"/>
        <w:bottom w:val="none" w:sz="0" w:space="0" w:color="auto"/>
        <w:right w:val="none" w:sz="0" w:space="0" w:color="auto"/>
      </w:divBdr>
    </w:div>
    <w:div w:id="1515413048">
      <w:bodyDiv w:val="1"/>
      <w:marLeft w:val="0"/>
      <w:marRight w:val="0"/>
      <w:marTop w:val="0"/>
      <w:marBottom w:val="0"/>
      <w:divBdr>
        <w:top w:val="none" w:sz="0" w:space="0" w:color="auto"/>
        <w:left w:val="none" w:sz="0" w:space="0" w:color="auto"/>
        <w:bottom w:val="none" w:sz="0" w:space="0" w:color="auto"/>
        <w:right w:val="none" w:sz="0" w:space="0" w:color="auto"/>
      </w:divBdr>
    </w:div>
    <w:div w:id="1551578345">
      <w:bodyDiv w:val="1"/>
      <w:marLeft w:val="0"/>
      <w:marRight w:val="0"/>
      <w:marTop w:val="0"/>
      <w:marBottom w:val="0"/>
      <w:divBdr>
        <w:top w:val="none" w:sz="0" w:space="0" w:color="auto"/>
        <w:left w:val="none" w:sz="0" w:space="0" w:color="auto"/>
        <w:bottom w:val="none" w:sz="0" w:space="0" w:color="auto"/>
        <w:right w:val="none" w:sz="0" w:space="0" w:color="auto"/>
      </w:divBdr>
    </w:div>
    <w:div w:id="1628854411">
      <w:bodyDiv w:val="1"/>
      <w:marLeft w:val="0"/>
      <w:marRight w:val="0"/>
      <w:marTop w:val="0"/>
      <w:marBottom w:val="0"/>
      <w:divBdr>
        <w:top w:val="none" w:sz="0" w:space="0" w:color="auto"/>
        <w:left w:val="none" w:sz="0" w:space="0" w:color="auto"/>
        <w:bottom w:val="none" w:sz="0" w:space="0" w:color="auto"/>
        <w:right w:val="none" w:sz="0" w:space="0" w:color="auto"/>
      </w:divBdr>
    </w:div>
    <w:div w:id="1651013572">
      <w:bodyDiv w:val="1"/>
      <w:marLeft w:val="0"/>
      <w:marRight w:val="0"/>
      <w:marTop w:val="0"/>
      <w:marBottom w:val="0"/>
      <w:divBdr>
        <w:top w:val="none" w:sz="0" w:space="0" w:color="auto"/>
        <w:left w:val="none" w:sz="0" w:space="0" w:color="auto"/>
        <w:bottom w:val="none" w:sz="0" w:space="0" w:color="auto"/>
        <w:right w:val="none" w:sz="0" w:space="0" w:color="auto"/>
      </w:divBdr>
    </w:div>
    <w:div w:id="1651060901">
      <w:bodyDiv w:val="1"/>
      <w:marLeft w:val="0"/>
      <w:marRight w:val="0"/>
      <w:marTop w:val="0"/>
      <w:marBottom w:val="0"/>
      <w:divBdr>
        <w:top w:val="none" w:sz="0" w:space="0" w:color="auto"/>
        <w:left w:val="none" w:sz="0" w:space="0" w:color="auto"/>
        <w:bottom w:val="none" w:sz="0" w:space="0" w:color="auto"/>
        <w:right w:val="none" w:sz="0" w:space="0" w:color="auto"/>
      </w:divBdr>
    </w:div>
    <w:div w:id="1765808728">
      <w:bodyDiv w:val="1"/>
      <w:marLeft w:val="0"/>
      <w:marRight w:val="0"/>
      <w:marTop w:val="0"/>
      <w:marBottom w:val="0"/>
      <w:divBdr>
        <w:top w:val="none" w:sz="0" w:space="0" w:color="auto"/>
        <w:left w:val="none" w:sz="0" w:space="0" w:color="auto"/>
        <w:bottom w:val="none" w:sz="0" w:space="0" w:color="auto"/>
        <w:right w:val="none" w:sz="0" w:space="0" w:color="auto"/>
      </w:divBdr>
    </w:div>
    <w:div w:id="1835681161">
      <w:bodyDiv w:val="1"/>
      <w:marLeft w:val="0"/>
      <w:marRight w:val="0"/>
      <w:marTop w:val="0"/>
      <w:marBottom w:val="0"/>
      <w:divBdr>
        <w:top w:val="none" w:sz="0" w:space="0" w:color="auto"/>
        <w:left w:val="none" w:sz="0" w:space="0" w:color="auto"/>
        <w:bottom w:val="none" w:sz="0" w:space="0" w:color="auto"/>
        <w:right w:val="none" w:sz="0" w:space="0" w:color="auto"/>
      </w:divBdr>
    </w:div>
    <w:div w:id="1867139400">
      <w:bodyDiv w:val="1"/>
      <w:marLeft w:val="0"/>
      <w:marRight w:val="0"/>
      <w:marTop w:val="0"/>
      <w:marBottom w:val="0"/>
      <w:divBdr>
        <w:top w:val="none" w:sz="0" w:space="0" w:color="auto"/>
        <w:left w:val="none" w:sz="0" w:space="0" w:color="auto"/>
        <w:bottom w:val="none" w:sz="0" w:space="0" w:color="auto"/>
        <w:right w:val="none" w:sz="0" w:space="0" w:color="auto"/>
      </w:divBdr>
    </w:div>
    <w:div w:id="1870684023">
      <w:bodyDiv w:val="1"/>
      <w:marLeft w:val="0"/>
      <w:marRight w:val="0"/>
      <w:marTop w:val="0"/>
      <w:marBottom w:val="0"/>
      <w:divBdr>
        <w:top w:val="none" w:sz="0" w:space="0" w:color="auto"/>
        <w:left w:val="none" w:sz="0" w:space="0" w:color="auto"/>
        <w:bottom w:val="none" w:sz="0" w:space="0" w:color="auto"/>
        <w:right w:val="none" w:sz="0" w:space="0" w:color="auto"/>
      </w:divBdr>
    </w:div>
    <w:div w:id="1910185040">
      <w:bodyDiv w:val="1"/>
      <w:marLeft w:val="0"/>
      <w:marRight w:val="0"/>
      <w:marTop w:val="0"/>
      <w:marBottom w:val="0"/>
      <w:divBdr>
        <w:top w:val="none" w:sz="0" w:space="0" w:color="auto"/>
        <w:left w:val="none" w:sz="0" w:space="0" w:color="auto"/>
        <w:bottom w:val="none" w:sz="0" w:space="0" w:color="auto"/>
        <w:right w:val="none" w:sz="0" w:space="0" w:color="auto"/>
      </w:divBdr>
    </w:div>
    <w:div w:id="1933932147">
      <w:bodyDiv w:val="1"/>
      <w:marLeft w:val="0"/>
      <w:marRight w:val="0"/>
      <w:marTop w:val="0"/>
      <w:marBottom w:val="0"/>
      <w:divBdr>
        <w:top w:val="none" w:sz="0" w:space="0" w:color="auto"/>
        <w:left w:val="none" w:sz="0" w:space="0" w:color="auto"/>
        <w:bottom w:val="none" w:sz="0" w:space="0" w:color="auto"/>
        <w:right w:val="none" w:sz="0" w:space="0" w:color="auto"/>
      </w:divBdr>
    </w:div>
    <w:div w:id="1982152232">
      <w:bodyDiv w:val="1"/>
      <w:marLeft w:val="0"/>
      <w:marRight w:val="0"/>
      <w:marTop w:val="0"/>
      <w:marBottom w:val="0"/>
      <w:divBdr>
        <w:top w:val="none" w:sz="0" w:space="0" w:color="auto"/>
        <w:left w:val="none" w:sz="0" w:space="0" w:color="auto"/>
        <w:bottom w:val="none" w:sz="0" w:space="0" w:color="auto"/>
        <w:right w:val="none" w:sz="0" w:space="0" w:color="auto"/>
      </w:divBdr>
    </w:div>
    <w:div w:id="2025395179">
      <w:bodyDiv w:val="1"/>
      <w:marLeft w:val="0"/>
      <w:marRight w:val="0"/>
      <w:marTop w:val="0"/>
      <w:marBottom w:val="0"/>
      <w:divBdr>
        <w:top w:val="none" w:sz="0" w:space="0" w:color="auto"/>
        <w:left w:val="none" w:sz="0" w:space="0" w:color="auto"/>
        <w:bottom w:val="none" w:sz="0" w:space="0" w:color="auto"/>
        <w:right w:val="none" w:sz="0" w:space="0" w:color="auto"/>
      </w:divBdr>
    </w:div>
    <w:div w:id="2065450225">
      <w:bodyDiv w:val="1"/>
      <w:marLeft w:val="0"/>
      <w:marRight w:val="0"/>
      <w:marTop w:val="0"/>
      <w:marBottom w:val="0"/>
      <w:divBdr>
        <w:top w:val="none" w:sz="0" w:space="0" w:color="auto"/>
        <w:left w:val="none" w:sz="0" w:space="0" w:color="auto"/>
        <w:bottom w:val="none" w:sz="0" w:space="0" w:color="auto"/>
        <w:right w:val="none" w:sz="0" w:space="0" w:color="auto"/>
      </w:divBdr>
    </w:div>
    <w:div w:id="2100905570">
      <w:bodyDiv w:val="1"/>
      <w:marLeft w:val="0"/>
      <w:marRight w:val="0"/>
      <w:marTop w:val="0"/>
      <w:marBottom w:val="0"/>
      <w:divBdr>
        <w:top w:val="none" w:sz="0" w:space="0" w:color="auto"/>
        <w:left w:val="none" w:sz="0" w:space="0" w:color="auto"/>
        <w:bottom w:val="none" w:sz="0" w:space="0" w:color="auto"/>
        <w:right w:val="none" w:sz="0" w:space="0" w:color="auto"/>
      </w:divBdr>
    </w:div>
    <w:div w:id="211007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styles" Target="styles.xml"/><Relationship Id="rId21" Type="http://schemas.openxmlformats.org/officeDocument/2006/relationships/hyperlink" Target="https://thesource.cvshealth.com/nuxeo/thesource/" TargetMode="Externa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eader" Target="header1.xm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21015-C85F-43CB-A19A-F7A362B97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2807</Words>
  <Characters>16000</Characters>
  <Application>Microsoft Office Word</Application>
  <DocSecurity>0</DocSecurity>
  <Lines>133</Lines>
  <Paragraphs>37</Paragraphs>
  <ScaleCrop>false</ScaleCrop>
  <Company/>
  <LinksUpToDate>false</LinksUpToDate>
  <CharactersWithSpaces>18770</CharactersWithSpaces>
  <SharedDoc>false</SharedDoc>
  <HLinks>
    <vt:vector size="114" baseType="variant">
      <vt:variant>
        <vt:i4>262192</vt:i4>
      </vt:variant>
      <vt:variant>
        <vt:i4>63</vt:i4>
      </vt:variant>
      <vt:variant>
        <vt:i4>0</vt:i4>
      </vt:variant>
      <vt:variant>
        <vt:i4>5</vt:i4>
      </vt:variant>
      <vt:variant>
        <vt:lpwstr/>
      </vt:variant>
      <vt:variant>
        <vt:lpwstr>_top</vt:lpwstr>
      </vt:variant>
      <vt:variant>
        <vt:i4>1704014</vt:i4>
      </vt:variant>
      <vt:variant>
        <vt:i4>60</vt:i4>
      </vt:variant>
      <vt:variant>
        <vt:i4>0</vt:i4>
      </vt:variant>
      <vt:variant>
        <vt:i4>5</vt:i4>
      </vt:variant>
      <vt:variant>
        <vt:lpwstr>https://thesource.cvshealth.com/nuxeo/thesource/</vt:lpwstr>
      </vt:variant>
      <vt:variant>
        <vt:lpwstr>!/view?docid=c954b131-7884-494c-b4bb-dfc12fdc846f</vt:lpwstr>
      </vt:variant>
      <vt:variant>
        <vt:i4>5046294</vt:i4>
      </vt:variant>
      <vt:variant>
        <vt:i4>57</vt:i4>
      </vt:variant>
      <vt:variant>
        <vt:i4>0</vt:i4>
      </vt:variant>
      <vt:variant>
        <vt:i4>5</vt:i4>
      </vt:variant>
      <vt:variant>
        <vt:lpwstr>https://thesource.cvshealth.com/nuxeo/thesource/</vt:lpwstr>
      </vt:variant>
      <vt:variant>
        <vt:lpwstr>!/view?docid=62aa67ac-8298-4fa1-b1ba-fda383d15b4c</vt:lpwstr>
      </vt:variant>
      <vt:variant>
        <vt:i4>4259858</vt:i4>
      </vt:variant>
      <vt:variant>
        <vt:i4>54</vt:i4>
      </vt:variant>
      <vt:variant>
        <vt:i4>0</vt:i4>
      </vt:variant>
      <vt:variant>
        <vt:i4>5</vt:i4>
      </vt:variant>
      <vt:variant>
        <vt:lpwstr>https://thesource.cvshealth.com/nuxeo/thesource/</vt:lpwstr>
      </vt:variant>
      <vt:variant>
        <vt:lpwstr>!/view?docid=b777e546-43ed-498e-8cff-e13a0db07607</vt:lpwstr>
      </vt:variant>
      <vt:variant>
        <vt:i4>4784200</vt:i4>
      </vt:variant>
      <vt:variant>
        <vt:i4>51</vt:i4>
      </vt:variant>
      <vt:variant>
        <vt:i4>0</vt:i4>
      </vt:variant>
      <vt:variant>
        <vt:i4>5</vt:i4>
      </vt:variant>
      <vt:variant>
        <vt:lpwstr>https://thesource.cvshealth.com/nuxeo/thesource/</vt:lpwstr>
      </vt:variant>
      <vt:variant>
        <vt:lpwstr>!/view?docid=1b8b0e74-8bac-49e2-afc1-584c881bc839</vt:lpwstr>
      </vt:variant>
      <vt:variant>
        <vt:i4>4456466</vt:i4>
      </vt:variant>
      <vt:variant>
        <vt:i4>48</vt:i4>
      </vt:variant>
      <vt:variant>
        <vt:i4>0</vt:i4>
      </vt:variant>
      <vt:variant>
        <vt:i4>5</vt:i4>
      </vt:variant>
      <vt:variant>
        <vt:lpwstr>https://thesource.cvshealth.com/nuxeo/thesource/</vt:lpwstr>
      </vt:variant>
      <vt:variant>
        <vt:lpwstr>!/view?docid=31584917-8577-49fc-986a-3a8e789bda71</vt:lpwstr>
      </vt:variant>
      <vt:variant>
        <vt:i4>1179718</vt:i4>
      </vt:variant>
      <vt:variant>
        <vt:i4>42</vt:i4>
      </vt:variant>
      <vt:variant>
        <vt:i4>0</vt:i4>
      </vt:variant>
      <vt:variant>
        <vt:i4>5</vt:i4>
      </vt:variant>
      <vt:variant>
        <vt:lpwstr>https://thesource.cvshealth.com/nuxeo/thesource/</vt:lpwstr>
      </vt:variant>
      <vt:variant>
        <vt:lpwstr>!/view?docid=22f353ee-e739-4f78-be33-b64916337260</vt:lpwstr>
      </vt:variant>
      <vt:variant>
        <vt:i4>262192</vt:i4>
      </vt:variant>
      <vt:variant>
        <vt:i4>39</vt:i4>
      </vt:variant>
      <vt:variant>
        <vt:i4>0</vt:i4>
      </vt:variant>
      <vt:variant>
        <vt:i4>5</vt:i4>
      </vt:variant>
      <vt:variant>
        <vt:lpwstr/>
      </vt:variant>
      <vt:variant>
        <vt:lpwstr>_top</vt:lpwstr>
      </vt:variant>
      <vt:variant>
        <vt:i4>1704014</vt:i4>
      </vt:variant>
      <vt:variant>
        <vt:i4>36</vt:i4>
      </vt:variant>
      <vt:variant>
        <vt:i4>0</vt:i4>
      </vt:variant>
      <vt:variant>
        <vt:i4>5</vt:i4>
      </vt:variant>
      <vt:variant>
        <vt:lpwstr>https://thesource.cvshealth.com/nuxeo/thesource/</vt:lpwstr>
      </vt:variant>
      <vt:variant>
        <vt:lpwstr>!/view?docid=c954b131-7884-494c-b4bb-dfc12fdc846f</vt:lpwstr>
      </vt:variant>
      <vt:variant>
        <vt:i4>5046294</vt:i4>
      </vt:variant>
      <vt:variant>
        <vt:i4>33</vt:i4>
      </vt:variant>
      <vt:variant>
        <vt:i4>0</vt:i4>
      </vt:variant>
      <vt:variant>
        <vt:i4>5</vt:i4>
      </vt:variant>
      <vt:variant>
        <vt:lpwstr>https://thesource.cvshealth.com/nuxeo/thesource/</vt:lpwstr>
      </vt:variant>
      <vt:variant>
        <vt:lpwstr>!/view?docid=62aa67ac-8298-4fa1-b1ba-fda383d15b4c</vt:lpwstr>
      </vt:variant>
      <vt:variant>
        <vt:i4>4259858</vt:i4>
      </vt:variant>
      <vt:variant>
        <vt:i4>30</vt:i4>
      </vt:variant>
      <vt:variant>
        <vt:i4>0</vt:i4>
      </vt:variant>
      <vt:variant>
        <vt:i4>5</vt:i4>
      </vt:variant>
      <vt:variant>
        <vt:lpwstr>https://thesource.cvshealth.com/nuxeo/thesource/</vt:lpwstr>
      </vt:variant>
      <vt:variant>
        <vt:lpwstr>!/view?docid=b777e546-43ed-498e-8cff-e13a0db07607</vt:lpwstr>
      </vt:variant>
      <vt:variant>
        <vt:i4>4784200</vt:i4>
      </vt:variant>
      <vt:variant>
        <vt:i4>27</vt:i4>
      </vt:variant>
      <vt:variant>
        <vt:i4>0</vt:i4>
      </vt:variant>
      <vt:variant>
        <vt:i4>5</vt:i4>
      </vt:variant>
      <vt:variant>
        <vt:lpwstr>https://thesource.cvshealth.com/nuxeo/thesource/</vt:lpwstr>
      </vt:variant>
      <vt:variant>
        <vt:lpwstr>!/view?docid=1b8b0e74-8bac-49e2-afc1-584c881bc839</vt:lpwstr>
      </vt:variant>
      <vt:variant>
        <vt:i4>4456466</vt:i4>
      </vt:variant>
      <vt:variant>
        <vt:i4>24</vt:i4>
      </vt:variant>
      <vt:variant>
        <vt:i4>0</vt:i4>
      </vt:variant>
      <vt:variant>
        <vt:i4>5</vt:i4>
      </vt:variant>
      <vt:variant>
        <vt:lpwstr>https://thesource.cvshealth.com/nuxeo/thesource/</vt:lpwstr>
      </vt:variant>
      <vt:variant>
        <vt:lpwstr>!/view?docid=31584917-8577-49fc-986a-3a8e789bda71</vt:lpwstr>
      </vt:variant>
      <vt:variant>
        <vt:i4>1179718</vt:i4>
      </vt:variant>
      <vt:variant>
        <vt:i4>21</vt:i4>
      </vt:variant>
      <vt:variant>
        <vt:i4>0</vt:i4>
      </vt:variant>
      <vt:variant>
        <vt:i4>5</vt:i4>
      </vt:variant>
      <vt:variant>
        <vt:lpwstr>https://thesource.cvshealth.com/nuxeo/thesource/</vt:lpwstr>
      </vt:variant>
      <vt:variant>
        <vt:lpwstr>!/view?docid=22f353ee-e739-4f78-be33-b64916337260</vt:lpwstr>
      </vt:variant>
      <vt:variant>
        <vt:i4>1179718</vt:i4>
      </vt:variant>
      <vt:variant>
        <vt:i4>18</vt:i4>
      </vt:variant>
      <vt:variant>
        <vt:i4>0</vt:i4>
      </vt:variant>
      <vt:variant>
        <vt:i4>5</vt:i4>
      </vt:variant>
      <vt:variant>
        <vt:lpwstr>https://thesource.cvshealth.com/nuxeo/thesource/</vt:lpwstr>
      </vt:variant>
      <vt:variant>
        <vt:lpwstr>!/view?docid=22f353ee-e739-4f78-be33-b64916337260</vt:lpwstr>
      </vt:variant>
      <vt:variant>
        <vt:i4>1179718</vt:i4>
      </vt:variant>
      <vt:variant>
        <vt:i4>15</vt:i4>
      </vt:variant>
      <vt:variant>
        <vt:i4>0</vt:i4>
      </vt:variant>
      <vt:variant>
        <vt:i4>5</vt:i4>
      </vt:variant>
      <vt:variant>
        <vt:lpwstr>https://thesource.cvshealth.com/nuxeo/thesource/</vt:lpwstr>
      </vt:variant>
      <vt:variant>
        <vt:lpwstr>!/view?docid=22f353ee-e739-4f78-be33-b64916337260</vt:lpwstr>
      </vt:variant>
      <vt:variant>
        <vt:i4>1179718</vt:i4>
      </vt:variant>
      <vt:variant>
        <vt:i4>9</vt:i4>
      </vt:variant>
      <vt:variant>
        <vt:i4>0</vt:i4>
      </vt:variant>
      <vt:variant>
        <vt:i4>5</vt:i4>
      </vt:variant>
      <vt:variant>
        <vt:lpwstr>https://thesource.cvshealth.com/nuxeo/thesource/</vt:lpwstr>
      </vt:variant>
      <vt:variant>
        <vt:lpwstr>!/view?docid=22f353ee-e739-4f78-be33-b64916337260</vt:lpwstr>
      </vt:variant>
      <vt:variant>
        <vt:i4>1835071</vt:i4>
      </vt:variant>
      <vt:variant>
        <vt:i4>5</vt:i4>
      </vt:variant>
      <vt:variant>
        <vt:i4>0</vt:i4>
      </vt:variant>
      <vt:variant>
        <vt:i4>5</vt:i4>
      </vt:variant>
      <vt:variant>
        <vt:lpwstr/>
      </vt:variant>
      <vt:variant>
        <vt:lpwstr>_Toc116900832</vt:lpwstr>
      </vt:variant>
      <vt:variant>
        <vt:i4>1835071</vt:i4>
      </vt:variant>
      <vt:variant>
        <vt:i4>2</vt:i4>
      </vt:variant>
      <vt:variant>
        <vt:i4>0</vt:i4>
      </vt:variant>
      <vt:variant>
        <vt:i4>5</vt:i4>
      </vt:variant>
      <vt:variant>
        <vt:lpwstr/>
      </vt:variant>
      <vt:variant>
        <vt:lpwstr>_Toc116900831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2025-04-15T18:18:00Z</dcterms:created>
  <dcterms:modified xsi:type="dcterms:W3CDTF">2025-04-15T18:18:00Z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2023-12-07T17:39:21Z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2c32ca22-f318-4938-a500-d3bbfaefb3a0</vt:lpwstr>
  </property>
  <property fmtid="{D5CDD505-2E9C-101B-9397-08002B2CF9AE}" pid="8" name="MSIP_Label_1ecdf243-b9b0-4f63-8694-76742e4201b7_ContentBits">
    <vt:lpwstr>0</vt:lpwstr>
  </property>
</Properties>
</file>