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203B" w14:textId="2F79D365" w:rsidR="00255C6B" w:rsidRDefault="00296BFC" w:rsidP="00727795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7"/>
      <w:bookmarkEnd w:id="0"/>
      <w:r w:rsidRPr="00296BFC">
        <w:rPr>
          <w:rFonts w:ascii="Verdana" w:hAnsi="Verdana"/>
          <w:color w:val="000000"/>
          <w:sz w:val="36"/>
          <w:szCs w:val="36"/>
        </w:rPr>
        <w:t xml:space="preserve">Compass </w:t>
      </w:r>
      <w:r w:rsidR="00B11077">
        <w:rPr>
          <w:rFonts w:ascii="Verdana" w:hAnsi="Verdana"/>
          <w:color w:val="000000"/>
          <w:sz w:val="36"/>
          <w:szCs w:val="36"/>
        </w:rPr>
        <w:t xml:space="preserve">Med D </w:t>
      </w:r>
      <w:r w:rsidR="004F57D6">
        <w:rPr>
          <w:rFonts w:ascii="Verdana" w:hAnsi="Verdana"/>
          <w:color w:val="000000"/>
          <w:sz w:val="36"/>
          <w:szCs w:val="36"/>
        </w:rPr>
        <w:t>-</w:t>
      </w:r>
      <w:r w:rsidR="008402D6">
        <w:rPr>
          <w:rFonts w:ascii="Verdana" w:hAnsi="Verdana"/>
          <w:color w:val="000000"/>
          <w:sz w:val="36"/>
          <w:szCs w:val="36"/>
        </w:rPr>
        <w:t xml:space="preserve"> Tiering Exceptions</w:t>
      </w:r>
      <w:r w:rsidR="00351FF4">
        <w:rPr>
          <w:rFonts w:ascii="Verdana" w:hAnsi="Verdana"/>
          <w:color w:val="000000"/>
          <w:sz w:val="36"/>
          <w:szCs w:val="36"/>
        </w:rPr>
        <w:t xml:space="preserve">   </w:t>
      </w:r>
    </w:p>
    <w:bookmarkEnd w:id="1"/>
    <w:p w14:paraId="3A3A1F99" w14:textId="77777777" w:rsidR="00082437" w:rsidRDefault="00082437" w:rsidP="00272D28">
      <w:pPr>
        <w:pStyle w:val="TOC1"/>
      </w:pPr>
    </w:p>
    <w:p w14:paraId="4AC6380B" w14:textId="1CAF71E7" w:rsidR="004A4FF6" w:rsidRDefault="0008243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202437696" w:history="1">
        <w:r w:rsidR="004A4FF6" w:rsidRPr="002F1179">
          <w:rPr>
            <w:rStyle w:val="Hyperlink"/>
            <w:rFonts w:ascii="Verdana" w:hAnsi="Verdana"/>
            <w:noProof/>
          </w:rPr>
          <w:t>Eligibility</w:t>
        </w:r>
      </w:hyperlink>
    </w:p>
    <w:p w14:paraId="3160ED44" w14:textId="5C681B65" w:rsidR="004A4FF6" w:rsidRDefault="004A4FF6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437697" w:history="1">
        <w:r w:rsidRPr="002F1179">
          <w:rPr>
            <w:rStyle w:val="Hyperlink"/>
            <w:rFonts w:ascii="Verdana" w:hAnsi="Verdana"/>
            <w:noProof/>
          </w:rPr>
          <w:t>Creating a request for a Tiering Exception</w:t>
        </w:r>
      </w:hyperlink>
    </w:p>
    <w:p w14:paraId="6E7B196D" w14:textId="2F3F79F4" w:rsidR="004A4FF6" w:rsidRDefault="004A4FF6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437698" w:history="1">
        <w:r w:rsidRPr="002F1179">
          <w:rPr>
            <w:rStyle w:val="Hyperlink"/>
            <w:rFonts w:ascii="Verdana" w:hAnsi="Verdana"/>
            <w:noProof/>
          </w:rPr>
          <w:t>Identifying a Tiering Exception Status in Compass</w:t>
        </w:r>
      </w:hyperlink>
    </w:p>
    <w:p w14:paraId="038B4EA2" w14:textId="0A566D43" w:rsidR="004A4FF6" w:rsidRDefault="004A4FF6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437699" w:history="1">
        <w:r w:rsidRPr="002F1179">
          <w:rPr>
            <w:rStyle w:val="Hyperlink"/>
            <w:rFonts w:ascii="Verdana" w:hAnsi="Verdana"/>
            <w:noProof/>
          </w:rPr>
          <w:t>Previously Paid Claim before Exception</w:t>
        </w:r>
      </w:hyperlink>
    </w:p>
    <w:p w14:paraId="12543CD9" w14:textId="10A0AF4F" w:rsidR="004A4FF6" w:rsidRDefault="004A4FF6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437700" w:history="1">
        <w:r w:rsidRPr="002F1179">
          <w:rPr>
            <w:rStyle w:val="Hyperlink"/>
            <w:rFonts w:ascii="Verdana" w:hAnsi="Verdana"/>
            <w:noProof/>
          </w:rPr>
          <w:t>Related Documents</w:t>
        </w:r>
      </w:hyperlink>
    </w:p>
    <w:p w14:paraId="6409CD8F" w14:textId="44AF19D0" w:rsidR="00530040" w:rsidRDefault="00082437" w:rsidP="00B607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2893051" w14:textId="77777777" w:rsidR="00097594" w:rsidRDefault="00097594" w:rsidP="00B607E1">
      <w:pPr>
        <w:spacing w:before="120" w:after="120"/>
        <w:rPr>
          <w:rFonts w:ascii="Verdana" w:hAnsi="Verdana"/>
        </w:rPr>
      </w:pPr>
    </w:p>
    <w:p w14:paraId="671FE487" w14:textId="6FAF9C30" w:rsidR="00514985" w:rsidRDefault="00D20CF6" w:rsidP="00B607E1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D20CF6">
        <w:rPr>
          <w:rFonts w:ascii="Verdana" w:hAnsi="Verdana"/>
          <w:b/>
        </w:rPr>
        <w:t>Description</w:t>
      </w:r>
      <w:r w:rsidRPr="00CD12FA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</w:t>
      </w:r>
      <w:r w:rsidR="00AC7697">
        <w:rPr>
          <w:rFonts w:ascii="Verdana" w:hAnsi="Verdana"/>
        </w:rPr>
        <w:t xml:space="preserve">Use for </w:t>
      </w:r>
      <w:r w:rsidR="00AC7697" w:rsidRPr="00AC7697">
        <w:rPr>
          <w:rFonts w:ascii="Verdana" w:hAnsi="Verdana"/>
          <w:b/>
          <w:bCs/>
        </w:rPr>
        <w:t>Tiering Exceptions</w:t>
      </w:r>
      <w:r w:rsidR="00AC7697">
        <w:rPr>
          <w:rFonts w:ascii="Verdana" w:hAnsi="Verdana"/>
        </w:rPr>
        <w:t xml:space="preserve"> which is </w:t>
      </w:r>
      <w:r w:rsidRPr="008402D6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ED54A9">
        <w:rPr>
          <w:rFonts w:ascii="Verdana" w:hAnsi="Verdana"/>
        </w:rPr>
        <w:t xml:space="preserve">beneficiary’s </w:t>
      </w:r>
      <w:r>
        <w:rPr>
          <w:rFonts w:ascii="Verdana" w:hAnsi="Verdana"/>
        </w:rPr>
        <w:t>request to pay a</w:t>
      </w:r>
      <w:r w:rsidRPr="008402D6">
        <w:rPr>
          <w:rFonts w:ascii="Verdana" w:hAnsi="Verdana"/>
        </w:rPr>
        <w:t xml:space="preserve"> lower </w:t>
      </w:r>
      <w:r>
        <w:rPr>
          <w:rFonts w:ascii="Verdana" w:hAnsi="Verdana"/>
        </w:rPr>
        <w:t>cost share for a covered medication.</w:t>
      </w:r>
    </w:p>
    <w:p w14:paraId="29B2955F" w14:textId="77777777" w:rsidR="00EE0F9A" w:rsidRDefault="00EE0F9A" w:rsidP="00B607E1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2C194044" w14:textId="77777777" w:rsidTr="00097594">
        <w:tc>
          <w:tcPr>
            <w:tcW w:w="5000" w:type="pct"/>
            <w:shd w:val="clear" w:color="auto" w:fill="C0C0C0"/>
          </w:tcPr>
          <w:p w14:paraId="01015B53" w14:textId="77777777" w:rsidR="00AD7AB4" w:rsidRPr="00D32D37" w:rsidRDefault="00C06D80" w:rsidP="00B607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202437696"/>
            <w:r>
              <w:rPr>
                <w:rFonts w:ascii="Verdana" w:hAnsi="Verdana"/>
                <w:i w:val="0"/>
                <w:iCs w:val="0"/>
              </w:rPr>
              <w:t>Eligibility</w:t>
            </w:r>
            <w:bookmarkEnd w:id="3"/>
          </w:p>
        </w:tc>
      </w:tr>
    </w:tbl>
    <w:p w14:paraId="5FC3449F" w14:textId="3F07CDC1" w:rsidR="00CE59FD" w:rsidRDefault="00D20CF6" w:rsidP="00B607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Certain criteria must be met for </w:t>
      </w:r>
      <w:r w:rsidR="0019553A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6A77E7" w:rsidRPr="006A77E7">
        <w:rPr>
          <w:rFonts w:ascii="Verdana" w:hAnsi="Verdana"/>
          <w:b/>
        </w:rPr>
        <w:t>Tiering Exception</w:t>
      </w:r>
      <w:r>
        <w:rPr>
          <w:rFonts w:ascii="Verdana" w:hAnsi="Verdana"/>
        </w:rPr>
        <w:t xml:space="preserve"> to be approved</w:t>
      </w:r>
      <w:r w:rsidR="0019553A">
        <w:rPr>
          <w:rFonts w:ascii="Verdana" w:hAnsi="Verdana"/>
        </w:rPr>
        <w:t xml:space="preserve"> as they</w:t>
      </w:r>
      <w:r w:rsidR="00CE59FD">
        <w:rPr>
          <w:rFonts w:ascii="Verdana" w:hAnsi="Verdana"/>
        </w:rPr>
        <w:t xml:space="preserve"> are not allowed for all drugs. A </w:t>
      </w:r>
      <w:r w:rsidR="004810E1">
        <w:rPr>
          <w:rFonts w:ascii="Verdana" w:hAnsi="Verdana"/>
        </w:rPr>
        <w:t>beneficiary</w:t>
      </w:r>
      <w:r w:rsidR="00CE59FD">
        <w:rPr>
          <w:rFonts w:ascii="Verdana" w:hAnsi="Verdana"/>
        </w:rPr>
        <w:t xml:space="preserve"> </w:t>
      </w:r>
      <w:r w:rsidR="0019553A">
        <w:rPr>
          <w:rFonts w:ascii="Verdana" w:hAnsi="Verdana"/>
        </w:rPr>
        <w:t>can</w:t>
      </w:r>
      <w:r w:rsidR="00CE59FD">
        <w:rPr>
          <w:rFonts w:ascii="Verdana" w:hAnsi="Verdana"/>
        </w:rPr>
        <w:t xml:space="preserve"> request an exception regardless of the drug being eligible. </w:t>
      </w:r>
    </w:p>
    <w:p w14:paraId="7C5E0528" w14:textId="77777777" w:rsidR="00074DCF" w:rsidRDefault="00074DCF" w:rsidP="00B607E1">
      <w:pPr>
        <w:spacing w:before="120" w:after="120"/>
        <w:rPr>
          <w:rFonts w:ascii="Verdana" w:hAnsi="Verdana"/>
        </w:rPr>
      </w:pPr>
    </w:p>
    <w:p w14:paraId="71CF12C6" w14:textId="5BCF24F7" w:rsidR="00074DCF" w:rsidRDefault="00074DCF" w:rsidP="00074DCF">
      <w:pPr>
        <w:spacing w:before="120" w:after="120"/>
        <w:rPr>
          <w:rFonts w:ascii="Verdana" w:hAnsi="Verdana"/>
        </w:rPr>
      </w:pPr>
      <w:r w:rsidRPr="00074DCF">
        <w:rPr>
          <w:rFonts w:ascii="Verdana" w:hAnsi="Verdana"/>
        </w:rPr>
        <w:t>Who can file a</w:t>
      </w:r>
      <w:r>
        <w:rPr>
          <w:rFonts w:ascii="Verdana" w:hAnsi="Verdana"/>
        </w:rPr>
        <w:t xml:space="preserve"> </w:t>
      </w:r>
      <w:r w:rsidRPr="00B214EF">
        <w:rPr>
          <w:rFonts w:ascii="Verdana" w:hAnsi="Verdana"/>
          <w:b/>
          <w:bCs/>
        </w:rPr>
        <w:t>Tiering Exception</w:t>
      </w:r>
      <w:r w:rsidRPr="00074DCF">
        <w:rPr>
          <w:rFonts w:ascii="Verdana" w:hAnsi="Verdana"/>
        </w:rPr>
        <w:t>?</w:t>
      </w:r>
    </w:p>
    <w:p w14:paraId="47076D56" w14:textId="2576A211" w:rsidR="009D4ED7" w:rsidRPr="00074DCF" w:rsidRDefault="00131395" w:rsidP="00074DC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bookmarkStart w:id="4" w:name="_Toc176879988"/>
      <w:r w:rsidRPr="00964858">
        <w:rPr>
          <w:rFonts w:ascii="Verdana" w:hAnsi="Verdana"/>
        </w:rPr>
        <w:t>Authorized Persons Who Can Start or Check the Status of a Coverage Determination or Redetermination</w:t>
      </w:r>
      <w:bookmarkEnd w:id="4"/>
      <w:r>
        <w:rPr>
          <w:rFonts w:ascii="Verdana" w:hAnsi="Verdana"/>
        </w:rPr>
        <w:t xml:space="preserve"> section of </w:t>
      </w:r>
      <w:hyperlink r:id="rId11" w:anchor="!/view?docid=a23bc09d-37f7-4105-ba57-d4e9d7f512ff" w:history="1">
        <w:r w:rsidRPr="003E3801">
          <w:rPr>
            <w:rStyle w:val="Hyperlink"/>
            <w:rFonts w:ascii="Verdana" w:hAnsi="Verdana"/>
          </w:rPr>
          <w:t>Compass MED D - CCR - Coverage Determinations and Redeterminations (Appeals) (064997)</w:t>
        </w:r>
      </w:hyperlink>
      <w:r>
        <w:rPr>
          <w:rFonts w:ascii="Verdana" w:hAnsi="Verdana"/>
        </w:rPr>
        <w:t>.</w:t>
      </w:r>
    </w:p>
    <w:p w14:paraId="612C7DE2" w14:textId="77777777" w:rsidR="005B0088" w:rsidRDefault="005B0088" w:rsidP="00B607E1">
      <w:pPr>
        <w:spacing w:before="120" w:after="120"/>
        <w:rPr>
          <w:rFonts w:ascii="Verdana" w:hAnsi="Verdana"/>
        </w:rPr>
      </w:pPr>
    </w:p>
    <w:p w14:paraId="02E641D7" w14:textId="5CBDD9EB" w:rsidR="00CE59FD" w:rsidRPr="008402D6" w:rsidRDefault="00CE59FD" w:rsidP="00B607E1">
      <w:pPr>
        <w:spacing w:before="120" w:after="120"/>
        <w:rPr>
          <w:rFonts w:ascii="Verdana" w:hAnsi="Verdana"/>
        </w:rPr>
      </w:pPr>
      <w:r w:rsidRPr="008402D6">
        <w:rPr>
          <w:rFonts w:ascii="Verdana" w:hAnsi="Verdana"/>
        </w:rPr>
        <w:t xml:space="preserve">To be eligible for a </w:t>
      </w:r>
      <w:r w:rsidR="006A77E7" w:rsidRPr="006A77E7">
        <w:rPr>
          <w:rFonts w:ascii="Verdana" w:hAnsi="Verdana"/>
          <w:b/>
        </w:rPr>
        <w:t>Tiering Exception</w:t>
      </w:r>
      <w:r w:rsidRPr="008402D6">
        <w:rPr>
          <w:rFonts w:ascii="Verdana" w:hAnsi="Verdana"/>
        </w:rPr>
        <w:t xml:space="preserve">, </w:t>
      </w:r>
      <w:r w:rsidR="004757E0">
        <w:rPr>
          <w:rFonts w:ascii="Verdana" w:hAnsi="Verdana"/>
        </w:rPr>
        <w:t xml:space="preserve"> </w:t>
      </w:r>
      <w:r w:rsidRPr="008402D6">
        <w:rPr>
          <w:rFonts w:ascii="Verdana" w:hAnsi="Verdana"/>
        </w:rPr>
        <w:t xml:space="preserve">the following items </w:t>
      </w:r>
      <w:r w:rsidR="008A67ED">
        <w:rPr>
          <w:rFonts w:ascii="Verdana" w:hAnsi="Verdana"/>
        </w:rPr>
        <w:t>may need to</w:t>
      </w:r>
      <w:r w:rsidRPr="008402D6">
        <w:rPr>
          <w:rFonts w:ascii="Verdana" w:hAnsi="Verdana"/>
        </w:rPr>
        <w:t xml:space="preserve"> be met:</w:t>
      </w:r>
    </w:p>
    <w:p w14:paraId="56787673" w14:textId="06FC3F97" w:rsidR="00CE59FD" w:rsidRPr="008402D6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8402D6">
        <w:rPr>
          <w:rFonts w:ascii="Verdana" w:hAnsi="Verdana"/>
        </w:rPr>
        <w:t xml:space="preserve">The requested drug can </w:t>
      </w:r>
      <w:r w:rsidRPr="008402D6">
        <w:rPr>
          <w:rFonts w:ascii="Verdana" w:hAnsi="Verdana"/>
          <w:b/>
          <w:bCs/>
        </w:rPr>
        <w:t>NOT</w:t>
      </w:r>
      <w:r w:rsidRPr="008402D6">
        <w:rPr>
          <w:rFonts w:ascii="Verdana" w:hAnsi="Verdana"/>
        </w:rPr>
        <w:t xml:space="preserve"> be previously approved through a formulary exception</w:t>
      </w:r>
      <w:r w:rsidR="004757E0">
        <w:rPr>
          <w:rFonts w:ascii="Verdana" w:hAnsi="Verdana"/>
        </w:rPr>
        <w:t>.</w:t>
      </w:r>
      <w:r w:rsidRPr="008402D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14:paraId="6664ED19" w14:textId="40883B03" w:rsidR="00CE59FD" w:rsidRPr="008402D6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8402D6">
        <w:rPr>
          <w:rFonts w:ascii="Verdana" w:hAnsi="Verdana"/>
        </w:rPr>
        <w:t>The plan must have a non-preferred tier</w:t>
      </w:r>
      <w:r w:rsidR="004757E0">
        <w:rPr>
          <w:rFonts w:ascii="Verdana" w:hAnsi="Verdana"/>
        </w:rPr>
        <w:t>.</w:t>
      </w:r>
    </w:p>
    <w:p w14:paraId="48E8C853" w14:textId="240D64D6" w:rsidR="00CE59FD" w:rsidRPr="008402D6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8402D6">
        <w:rPr>
          <w:rFonts w:ascii="Verdana" w:hAnsi="Verdana"/>
        </w:rPr>
        <w:t>The requested drug must be on the non-preferred brand tier or the non-preferred generic tier</w:t>
      </w:r>
      <w:r w:rsidR="004757E0">
        <w:rPr>
          <w:rFonts w:ascii="Verdana" w:hAnsi="Verdana"/>
        </w:rPr>
        <w:t>.</w:t>
      </w:r>
      <w:r w:rsidRPr="008402D6">
        <w:rPr>
          <w:rFonts w:ascii="Verdana" w:hAnsi="Verdana"/>
        </w:rPr>
        <w:t xml:space="preserve"> </w:t>
      </w:r>
    </w:p>
    <w:p w14:paraId="2559F5BD" w14:textId="48AB57D1" w:rsidR="00CE59FD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8402D6">
        <w:rPr>
          <w:rFonts w:ascii="Verdana" w:hAnsi="Verdana"/>
        </w:rPr>
        <w:t>If the requested drug is a non-preferred brand</w:t>
      </w:r>
      <w:r w:rsidRPr="004F57D6">
        <w:rPr>
          <w:rFonts w:ascii="Verdana" w:hAnsi="Verdana"/>
        </w:rPr>
        <w:t>,</w:t>
      </w:r>
      <w:r w:rsidRPr="008402D6">
        <w:rPr>
          <w:rFonts w:ascii="Verdana" w:hAnsi="Verdana"/>
        </w:rPr>
        <w:t xml:space="preserve"> there must be a preferred brand in the same class. If the drug requested is a non-preferred generic, there must be a preferred generic in the same class. </w:t>
      </w:r>
    </w:p>
    <w:p w14:paraId="0735287C" w14:textId="245739EE" w:rsidR="00CE59FD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G</w:t>
      </w:r>
      <w:r w:rsidRPr="00901A3C">
        <w:rPr>
          <w:rFonts w:ascii="Verdana" w:hAnsi="Verdana"/>
        </w:rPr>
        <w:t xml:space="preserve">eneric drugs from a higher tier </w:t>
      </w:r>
      <w:r>
        <w:rPr>
          <w:rFonts w:ascii="Verdana" w:hAnsi="Verdana"/>
        </w:rPr>
        <w:t>are</w:t>
      </w:r>
      <w:r w:rsidRPr="00901A3C">
        <w:rPr>
          <w:rFonts w:ascii="Verdana" w:hAnsi="Verdana"/>
        </w:rPr>
        <w:t xml:space="preserve"> eligible for a </w:t>
      </w:r>
      <w:r w:rsidR="006A77E7" w:rsidRPr="006A77E7">
        <w:rPr>
          <w:rFonts w:ascii="Verdana" w:hAnsi="Verdana"/>
          <w:b/>
        </w:rPr>
        <w:t>Tiering Exception</w:t>
      </w:r>
      <w:r w:rsidRPr="00901A3C">
        <w:rPr>
          <w:rFonts w:ascii="Verdana" w:hAnsi="Verdana"/>
        </w:rPr>
        <w:t xml:space="preserve"> to the Preferred Generic tier</w:t>
      </w:r>
      <w:r w:rsidR="004757E0">
        <w:rPr>
          <w:rFonts w:ascii="Verdana" w:hAnsi="Verdana"/>
        </w:rPr>
        <w:t>.</w:t>
      </w:r>
    </w:p>
    <w:p w14:paraId="1D5EC1D7" w14:textId="6477755C" w:rsidR="00CE59FD" w:rsidRDefault="00CE59FD" w:rsidP="00B607E1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B</w:t>
      </w:r>
      <w:r w:rsidRPr="00901A3C">
        <w:rPr>
          <w:rFonts w:ascii="Verdana" w:hAnsi="Verdana"/>
        </w:rPr>
        <w:t xml:space="preserve">rand drugs will be eligible for a </w:t>
      </w:r>
      <w:r w:rsidR="006A77E7" w:rsidRPr="006A77E7">
        <w:rPr>
          <w:rFonts w:ascii="Verdana" w:hAnsi="Verdana"/>
          <w:b/>
        </w:rPr>
        <w:t>Tiering Exception</w:t>
      </w:r>
      <w:r w:rsidRPr="00901A3C">
        <w:rPr>
          <w:rFonts w:ascii="Verdana" w:hAnsi="Verdana"/>
        </w:rPr>
        <w:t xml:space="preserve"> to the Preferred Brand Tier.</w:t>
      </w:r>
    </w:p>
    <w:p w14:paraId="573F0FB3" w14:textId="77777777" w:rsidR="00CE59FD" w:rsidRDefault="00CE59FD" w:rsidP="00B607E1">
      <w:pPr>
        <w:spacing w:before="120" w:after="120"/>
        <w:rPr>
          <w:rFonts w:ascii="Verdana" w:hAnsi="Verdana"/>
        </w:rPr>
      </w:pPr>
    </w:p>
    <w:p w14:paraId="294A2184" w14:textId="7A5DE742" w:rsidR="00CE59FD" w:rsidRDefault="00CE59FD" w:rsidP="00B607E1">
      <w:pPr>
        <w:spacing w:before="120" w:after="120"/>
        <w:rPr>
          <w:rFonts w:ascii="Verdana" w:hAnsi="Verdana"/>
        </w:rPr>
      </w:pPr>
      <w:r w:rsidRPr="00901A3C">
        <w:rPr>
          <w:rFonts w:ascii="Verdana" w:hAnsi="Verdana"/>
          <w:b/>
        </w:rPr>
        <w:t>Exceptions to this policy</w:t>
      </w:r>
      <w:r w:rsidRPr="00CE36CD">
        <w:rPr>
          <w:rFonts w:ascii="Verdana" w:hAnsi="Verdana"/>
          <w:b/>
          <w:bCs/>
        </w:rPr>
        <w:t>:</w:t>
      </w:r>
      <w:r w:rsidRPr="00901A3C">
        <w:rPr>
          <w:rFonts w:ascii="Verdana" w:hAnsi="Verdana"/>
        </w:rPr>
        <w:t xml:space="preserve"> </w:t>
      </w:r>
      <w:r w:rsidR="00473D25">
        <w:rPr>
          <w:rFonts w:ascii="Verdana" w:hAnsi="Verdana"/>
        </w:rPr>
        <w:t>B</w:t>
      </w:r>
      <w:r w:rsidRPr="00901A3C">
        <w:rPr>
          <w:rFonts w:ascii="Verdana" w:hAnsi="Verdana"/>
        </w:rPr>
        <w:t xml:space="preserve">rand and generic drugs residing on the Specialty tier; </w:t>
      </w:r>
      <w:proofErr w:type="gramStart"/>
      <w:r w:rsidRPr="00901A3C">
        <w:rPr>
          <w:rFonts w:ascii="Verdana" w:hAnsi="Verdana"/>
        </w:rPr>
        <w:t>and,</w:t>
      </w:r>
      <w:proofErr w:type="gramEnd"/>
      <w:r w:rsidRPr="00901A3C">
        <w:rPr>
          <w:rFonts w:ascii="Verdana" w:hAnsi="Verdana"/>
        </w:rPr>
        <w:t xml:space="preserve"> drugs for which a formulary exception has been granted</w:t>
      </w:r>
      <w:r>
        <w:rPr>
          <w:rFonts w:ascii="Verdana" w:hAnsi="Verdana"/>
        </w:rPr>
        <w:t xml:space="preserve">. </w:t>
      </w:r>
      <w:r w:rsidRPr="00901A3C">
        <w:rPr>
          <w:rFonts w:ascii="Verdana" w:hAnsi="Verdana"/>
        </w:rPr>
        <w:t xml:space="preserve">These two </w:t>
      </w:r>
      <w:r>
        <w:rPr>
          <w:rFonts w:ascii="Verdana" w:hAnsi="Verdana"/>
        </w:rPr>
        <w:t>exceptions</w:t>
      </w:r>
      <w:r w:rsidRPr="00901A3C">
        <w:rPr>
          <w:rFonts w:ascii="Verdana" w:hAnsi="Verdana"/>
        </w:rPr>
        <w:t xml:space="preserve"> are excluded from a tiering exception by way of CMS guidance.</w:t>
      </w:r>
      <w:r>
        <w:rPr>
          <w:rFonts w:ascii="Verdana" w:hAnsi="Verdana"/>
        </w:rPr>
        <w:t xml:space="preserve"> If a member </w:t>
      </w:r>
      <w:r w:rsidR="0019553A">
        <w:rPr>
          <w:rFonts w:ascii="Verdana" w:hAnsi="Verdana"/>
        </w:rPr>
        <w:t>persists,</w:t>
      </w:r>
      <w:r>
        <w:rPr>
          <w:rFonts w:ascii="Verdana" w:hAnsi="Verdana"/>
        </w:rPr>
        <w:t xml:space="preserve"> they want to request a</w:t>
      </w:r>
      <w:r w:rsidR="006A77E7">
        <w:rPr>
          <w:rFonts w:ascii="Verdana" w:hAnsi="Verdana"/>
        </w:rPr>
        <w:t xml:space="preserve"> </w:t>
      </w:r>
      <w:r w:rsidR="006A77E7" w:rsidRPr="006A77E7">
        <w:rPr>
          <w:rFonts w:ascii="Verdana" w:hAnsi="Verdana"/>
          <w:b/>
        </w:rPr>
        <w:t>Tiering Exception</w:t>
      </w:r>
      <w:r>
        <w:rPr>
          <w:rFonts w:ascii="Verdana" w:hAnsi="Verdana"/>
        </w:rPr>
        <w:t>, we must initiate and review.</w:t>
      </w:r>
    </w:p>
    <w:p w14:paraId="1BF4967A" w14:textId="77777777" w:rsidR="00CE59FD" w:rsidRDefault="00CE59FD" w:rsidP="00B607E1">
      <w:pPr>
        <w:spacing w:before="120" w:after="120"/>
        <w:rPr>
          <w:rFonts w:ascii="Verdana" w:hAnsi="Verdana"/>
        </w:rPr>
      </w:pPr>
    </w:p>
    <w:p w14:paraId="113D91C7" w14:textId="461CFF7D" w:rsidR="0019553A" w:rsidRDefault="0019553A" w:rsidP="00B607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An approved </w:t>
      </w:r>
      <w:r w:rsidRPr="006A77E7">
        <w:rPr>
          <w:rFonts w:ascii="Verdana" w:hAnsi="Verdana"/>
          <w:b/>
        </w:rPr>
        <w:t>Tiering Exception</w:t>
      </w:r>
      <w:r>
        <w:rPr>
          <w:rFonts w:ascii="Verdana" w:hAnsi="Verdana"/>
        </w:rPr>
        <w:t xml:space="preserve"> is applicable </w:t>
      </w:r>
      <w:r w:rsidR="005A0BCF">
        <w:rPr>
          <w:rFonts w:ascii="Verdana" w:hAnsi="Verdana"/>
        </w:rPr>
        <w:t>to the Initial Coverage Limit (ICL)</w:t>
      </w:r>
      <w:r>
        <w:rPr>
          <w:rFonts w:ascii="Verdana" w:hAnsi="Verdana"/>
        </w:rPr>
        <w:t xml:space="preserve"> phase except the </w:t>
      </w:r>
      <w:r w:rsidR="005A0BCF">
        <w:rPr>
          <w:rFonts w:ascii="Verdana" w:hAnsi="Verdana"/>
        </w:rPr>
        <w:t xml:space="preserve">deductible &amp; </w:t>
      </w:r>
      <w:r>
        <w:rPr>
          <w:rFonts w:ascii="Verdana" w:hAnsi="Verdana"/>
        </w:rPr>
        <w:t>catastrophic phase</w:t>
      </w:r>
      <w:r w:rsidR="005A0BCF">
        <w:rPr>
          <w:rFonts w:ascii="Verdana" w:hAnsi="Verdana"/>
        </w:rPr>
        <w:t>s</w:t>
      </w:r>
      <w:r>
        <w:rPr>
          <w:rFonts w:ascii="Verdana" w:hAnsi="Verdana"/>
        </w:rPr>
        <w:t xml:space="preserve">. </w:t>
      </w:r>
    </w:p>
    <w:p w14:paraId="46103D79" w14:textId="77777777" w:rsidR="0019553A" w:rsidRDefault="0019553A" w:rsidP="00B607E1">
      <w:pPr>
        <w:spacing w:before="120" w:after="120"/>
        <w:rPr>
          <w:rFonts w:ascii="Verdana" w:hAnsi="Verdana"/>
        </w:rPr>
      </w:pPr>
    </w:p>
    <w:p w14:paraId="78131F66" w14:textId="5B4171D1" w:rsidR="0019553A" w:rsidRPr="00CE59FD" w:rsidRDefault="0019553A" w:rsidP="00B607E1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1505A458" wp14:editId="147E7A12">
            <wp:extent cx="238125" cy="209550"/>
            <wp:effectExtent l="0" t="0" r="9525" b="0"/>
            <wp:docPr id="7" name="Picture 7" descr="Icon%20-%20Important%20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%20-%20Important%20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AF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Pr="00066AEB">
        <w:rPr>
          <w:rFonts w:ascii="Verdana" w:hAnsi="Verdana"/>
          <w:b/>
        </w:rPr>
        <w:t>N</w:t>
      </w:r>
      <w:r w:rsidR="00663BE4">
        <w:rPr>
          <w:rFonts w:ascii="Verdana" w:hAnsi="Verdana"/>
          <w:b/>
        </w:rPr>
        <w:t>otes</w:t>
      </w:r>
      <w:r w:rsidRPr="00CE36CD">
        <w:rPr>
          <w:rFonts w:ascii="Verdana" w:hAnsi="Verdana"/>
          <w:b/>
          <w:bCs/>
        </w:rPr>
        <w:t>:</w:t>
      </w:r>
    </w:p>
    <w:p w14:paraId="43B0811A" w14:textId="7F7DB57A" w:rsidR="007D518A" w:rsidRPr="00372612" w:rsidRDefault="007D518A" w:rsidP="007D518A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a </w:t>
      </w:r>
      <w:r w:rsidR="004810E1">
        <w:rPr>
          <w:rFonts w:ascii="Verdana" w:hAnsi="Verdana"/>
          <w:sz w:val="24"/>
          <w:szCs w:val="24"/>
        </w:rPr>
        <w:t>beneficiary</w:t>
      </w:r>
      <w:r>
        <w:rPr>
          <w:rFonts w:ascii="Verdana" w:hAnsi="Verdana"/>
          <w:sz w:val="24"/>
          <w:szCs w:val="24"/>
        </w:rPr>
        <w:t xml:space="preserve"> needs </w:t>
      </w:r>
      <w:proofErr w:type="gramStart"/>
      <w:r>
        <w:rPr>
          <w:rFonts w:ascii="Verdana" w:hAnsi="Verdana"/>
          <w:sz w:val="24"/>
          <w:szCs w:val="24"/>
        </w:rPr>
        <w:t>a medication</w:t>
      </w:r>
      <w:proofErr w:type="gramEnd"/>
      <w:r>
        <w:rPr>
          <w:rFonts w:ascii="Verdana" w:hAnsi="Verdana"/>
          <w:sz w:val="24"/>
          <w:szCs w:val="24"/>
        </w:rPr>
        <w:t xml:space="preserve"> and is complaining about the cost</w:t>
      </w:r>
      <w:r w:rsidR="00663727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this is considered a potential </w:t>
      </w:r>
      <w:r>
        <w:rPr>
          <w:rFonts w:ascii="Verdana" w:hAnsi="Verdana"/>
          <w:b/>
          <w:sz w:val="24"/>
          <w:szCs w:val="24"/>
        </w:rPr>
        <w:t>Tiering Exception</w:t>
      </w:r>
      <w:r>
        <w:rPr>
          <w:rFonts w:ascii="Verdana" w:hAnsi="Verdana"/>
          <w:sz w:val="24"/>
          <w:szCs w:val="24"/>
        </w:rPr>
        <w:t>.</w:t>
      </w:r>
    </w:p>
    <w:p w14:paraId="10A88119" w14:textId="0AC69366" w:rsidR="0019553A" w:rsidRPr="006A77E7" w:rsidRDefault="0019553A" w:rsidP="00B607E1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4"/>
          <w:szCs w:val="24"/>
        </w:rPr>
      </w:pPr>
      <w:r w:rsidRPr="006A77E7">
        <w:rPr>
          <w:rFonts w:ascii="Verdana" w:hAnsi="Verdana"/>
          <w:sz w:val="24"/>
          <w:szCs w:val="24"/>
        </w:rPr>
        <w:t xml:space="preserve">If a </w:t>
      </w:r>
      <w:r w:rsidR="004810E1">
        <w:rPr>
          <w:rFonts w:ascii="Verdana" w:hAnsi="Verdana"/>
          <w:sz w:val="24"/>
          <w:szCs w:val="24"/>
        </w:rPr>
        <w:t>beneficiary</w:t>
      </w:r>
      <w:r w:rsidRPr="006A77E7">
        <w:rPr>
          <w:rFonts w:ascii="Verdana" w:hAnsi="Verdana"/>
          <w:sz w:val="24"/>
          <w:szCs w:val="24"/>
        </w:rPr>
        <w:t xml:space="preserve"> cannot afford a medication, refer to </w:t>
      </w:r>
      <w:hyperlink r:id="rId13" w:anchor="!/view?docid=b3dbfb44-1c9e-47a6-b8f4-6010f553731b" w:history="1">
        <w:r w:rsidR="00402BF9">
          <w:rPr>
            <w:rStyle w:val="Hyperlink"/>
            <w:rFonts w:ascii="Verdana" w:hAnsi="Verdana"/>
            <w:sz w:val="24"/>
            <w:szCs w:val="24"/>
          </w:rPr>
          <w:t xml:space="preserve">Compass – Viewing and Running Test Claims for Alternative Rx(s) (056849) </w:t>
        </w:r>
      </w:hyperlink>
      <w:r w:rsidRPr="006A77E7">
        <w:rPr>
          <w:rFonts w:ascii="Verdana" w:hAnsi="Verdana"/>
          <w:sz w:val="24"/>
          <w:szCs w:val="24"/>
        </w:rPr>
        <w:t xml:space="preserve"> to find potential lower cost alternatives. If the </w:t>
      </w:r>
      <w:r w:rsidR="004810E1">
        <w:rPr>
          <w:rFonts w:ascii="Verdana" w:hAnsi="Verdana"/>
          <w:sz w:val="24"/>
          <w:szCs w:val="24"/>
        </w:rPr>
        <w:t>beneficiary</w:t>
      </w:r>
      <w:r w:rsidRPr="006A77E7">
        <w:rPr>
          <w:rFonts w:ascii="Verdana" w:hAnsi="Verdana"/>
          <w:sz w:val="24"/>
          <w:szCs w:val="24"/>
        </w:rPr>
        <w:t xml:space="preserve"> states they are not able to take the alternative and need the medication being discussed, they are requesting a lower cost and a </w:t>
      </w:r>
      <w:r w:rsidRPr="006A77E7">
        <w:rPr>
          <w:rFonts w:ascii="Verdana" w:hAnsi="Verdana"/>
          <w:b/>
          <w:sz w:val="24"/>
          <w:szCs w:val="24"/>
        </w:rPr>
        <w:t>Tiering Exception</w:t>
      </w:r>
      <w:r w:rsidRPr="006A77E7">
        <w:rPr>
          <w:rFonts w:ascii="Verdana" w:hAnsi="Verdana"/>
          <w:sz w:val="24"/>
          <w:szCs w:val="24"/>
        </w:rPr>
        <w:t xml:space="preserve"> should be initiated.</w:t>
      </w:r>
    </w:p>
    <w:p w14:paraId="7A93AE75" w14:textId="2B0B8EFB" w:rsidR="0019553A" w:rsidRPr="006A77E7" w:rsidRDefault="0019553A" w:rsidP="00B607E1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4"/>
          <w:szCs w:val="24"/>
        </w:rPr>
      </w:pPr>
      <w:r w:rsidRPr="006A77E7">
        <w:rPr>
          <w:rFonts w:ascii="Verdana" w:hAnsi="Verdana"/>
          <w:sz w:val="24"/>
          <w:szCs w:val="24"/>
        </w:rPr>
        <w:t xml:space="preserve">CCRs </w:t>
      </w:r>
      <w:r w:rsidRPr="006A77E7">
        <w:rPr>
          <w:rFonts w:ascii="Verdana" w:hAnsi="Verdana"/>
          <w:b/>
          <w:sz w:val="24"/>
          <w:szCs w:val="24"/>
        </w:rPr>
        <w:t>must</w:t>
      </w:r>
      <w:r w:rsidRPr="006A77E7">
        <w:rPr>
          <w:rFonts w:ascii="Verdana" w:hAnsi="Verdana"/>
          <w:sz w:val="24"/>
          <w:szCs w:val="24"/>
        </w:rPr>
        <w:t xml:space="preserve"> run a test claim every time an override is entered into </w:t>
      </w:r>
      <w:r w:rsidR="00855AE5">
        <w:rPr>
          <w:rFonts w:ascii="Verdana" w:hAnsi="Verdana"/>
          <w:sz w:val="24"/>
          <w:szCs w:val="24"/>
        </w:rPr>
        <w:t>Compass</w:t>
      </w:r>
      <w:r w:rsidRPr="006A77E7">
        <w:rPr>
          <w:rFonts w:ascii="Verdana" w:hAnsi="Verdana"/>
          <w:sz w:val="24"/>
          <w:szCs w:val="24"/>
        </w:rPr>
        <w:t>.</w:t>
      </w:r>
    </w:p>
    <w:p w14:paraId="0E98A502" w14:textId="77777777" w:rsidR="0019553A" w:rsidRPr="006A77E7" w:rsidRDefault="0019553A" w:rsidP="00B607E1">
      <w:pPr>
        <w:pStyle w:val="ListParagraph"/>
        <w:numPr>
          <w:ilvl w:val="1"/>
          <w:numId w:val="6"/>
        </w:numPr>
        <w:spacing w:before="120" w:after="120"/>
        <w:rPr>
          <w:rFonts w:ascii="Verdana" w:hAnsi="Verdana"/>
          <w:sz w:val="24"/>
          <w:szCs w:val="24"/>
        </w:rPr>
      </w:pPr>
      <w:r w:rsidRPr="006A77E7">
        <w:rPr>
          <w:rFonts w:ascii="Verdana" w:hAnsi="Verdana"/>
          <w:sz w:val="24"/>
          <w:szCs w:val="24"/>
        </w:rPr>
        <w:t xml:space="preserve">In situations where an override is being entered while speaking with a pharmacy representative, staff </w:t>
      </w:r>
      <w:r w:rsidRPr="006A77E7">
        <w:rPr>
          <w:rFonts w:ascii="Verdana" w:hAnsi="Verdana"/>
          <w:b/>
          <w:sz w:val="24"/>
          <w:szCs w:val="24"/>
        </w:rPr>
        <w:t>must</w:t>
      </w:r>
      <w:r w:rsidRPr="006A77E7">
        <w:rPr>
          <w:rFonts w:ascii="Verdana" w:hAnsi="Verdana"/>
          <w:sz w:val="24"/>
          <w:szCs w:val="24"/>
        </w:rPr>
        <w:t xml:space="preserve"> run a successful test claim </w:t>
      </w:r>
      <w:r w:rsidRPr="006A77E7">
        <w:rPr>
          <w:rFonts w:ascii="Verdana" w:hAnsi="Verdana"/>
          <w:b/>
          <w:sz w:val="24"/>
          <w:szCs w:val="24"/>
        </w:rPr>
        <w:t>prior</w:t>
      </w:r>
      <w:r w:rsidRPr="006A77E7">
        <w:rPr>
          <w:rFonts w:ascii="Verdana" w:hAnsi="Verdana"/>
          <w:sz w:val="24"/>
          <w:szCs w:val="24"/>
        </w:rPr>
        <w:t xml:space="preserve"> to advising the pharmacy to process the claim.</w:t>
      </w:r>
    </w:p>
    <w:p w14:paraId="5F2EFD97" w14:textId="77777777" w:rsidR="004A4FF6" w:rsidRDefault="004A4FF6" w:rsidP="00B607E1">
      <w:pPr>
        <w:spacing w:before="120" w:after="120"/>
        <w:jc w:val="right"/>
        <w:rPr>
          <w:rFonts w:ascii="Verdana" w:hAnsi="Verdana"/>
        </w:rPr>
      </w:pPr>
    </w:p>
    <w:p w14:paraId="2241097E" w14:textId="77777777" w:rsidR="00CE59FD" w:rsidRDefault="00A15728" w:rsidP="00B607E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A4F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E59FD" w:rsidRPr="00EC75BC" w14:paraId="476243E7" w14:textId="77777777" w:rsidTr="00210D7E">
        <w:tc>
          <w:tcPr>
            <w:tcW w:w="5000" w:type="pct"/>
            <w:shd w:val="clear" w:color="auto" w:fill="C0C0C0"/>
          </w:tcPr>
          <w:p w14:paraId="3415E796" w14:textId="277D6DBA" w:rsidR="00CE59FD" w:rsidRPr="00EC75BC" w:rsidRDefault="00253D83" w:rsidP="00B607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202437697"/>
            <w:r>
              <w:rPr>
                <w:rFonts w:ascii="Verdana" w:hAnsi="Verdana"/>
                <w:i w:val="0"/>
                <w:iCs w:val="0"/>
              </w:rPr>
              <w:t xml:space="preserve">Creating </w:t>
            </w:r>
            <w:r w:rsidR="00CE59FD">
              <w:rPr>
                <w:rFonts w:ascii="Verdana" w:hAnsi="Verdana"/>
                <w:i w:val="0"/>
                <w:iCs w:val="0"/>
              </w:rPr>
              <w:t>a request for a Tiering Exception</w:t>
            </w:r>
            <w:bookmarkEnd w:id="5"/>
            <w:r w:rsidR="00CE59F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FD3C9AA" w14:textId="7F1167A6" w:rsidR="00D20CF6" w:rsidRPr="0052738A" w:rsidRDefault="00D20CF6" w:rsidP="00B607E1">
      <w:pPr>
        <w:pStyle w:val="NormalWeb"/>
        <w:spacing w:before="120" w:beforeAutospacing="0" w:after="120" w:afterAutospacing="0"/>
        <w:rPr>
          <w:b/>
          <w:bCs/>
          <w:color w:val="000000"/>
          <w:sz w:val="27"/>
          <w:szCs w:val="27"/>
        </w:rPr>
      </w:pPr>
      <w:r w:rsidRPr="0052738A">
        <w:rPr>
          <w:rFonts w:ascii="Verdana" w:hAnsi="Verdana"/>
          <w:b/>
          <w:bCs/>
          <w:noProof/>
        </w:rPr>
        <w:drawing>
          <wp:inline distT="0" distB="0" distL="0" distR="0" wp14:anchorId="531DBD8F" wp14:editId="36FDF98E">
            <wp:extent cx="238760" cy="214630"/>
            <wp:effectExtent l="0" t="0" r="8890" b="0"/>
            <wp:docPr id="6" name="Picture 6" descr="Icon_-_Important_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_-_Important_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38A">
        <w:rPr>
          <w:rFonts w:ascii="Verdana" w:hAnsi="Verdana"/>
          <w:b/>
          <w:bCs/>
        </w:rPr>
        <w:t xml:space="preserve">  </w:t>
      </w:r>
      <w:r w:rsidR="000F6168" w:rsidRPr="0052738A">
        <w:rPr>
          <w:rFonts w:ascii="Verdana" w:hAnsi="Verdana"/>
          <w:b/>
          <w:bCs/>
        </w:rPr>
        <w:t xml:space="preserve">If a </w:t>
      </w:r>
      <w:r w:rsidR="004810E1">
        <w:rPr>
          <w:rFonts w:ascii="Verdana" w:hAnsi="Verdana"/>
          <w:b/>
          <w:bCs/>
        </w:rPr>
        <w:t>beneficiary</w:t>
      </w:r>
      <w:r w:rsidR="000F6168" w:rsidRPr="0052738A">
        <w:rPr>
          <w:rFonts w:ascii="Verdana" w:hAnsi="Verdana"/>
          <w:b/>
          <w:bCs/>
        </w:rPr>
        <w:t xml:space="preserve"> has a non-formulary </w:t>
      </w:r>
      <w:r w:rsidR="000F6168" w:rsidRPr="000F6168">
        <w:rPr>
          <w:rFonts w:ascii="Verdana" w:hAnsi="Verdana"/>
          <w:b/>
          <w:bCs/>
        </w:rPr>
        <w:t>exception,</w:t>
      </w:r>
      <w:r w:rsidR="000F6168" w:rsidRPr="0052738A">
        <w:rPr>
          <w:rFonts w:ascii="Verdana" w:hAnsi="Verdana"/>
          <w:b/>
          <w:bCs/>
        </w:rPr>
        <w:t xml:space="preserve"> then a tiering exception cannot be requested. </w:t>
      </w:r>
    </w:p>
    <w:p w14:paraId="1AEC42F2" w14:textId="77777777" w:rsidR="00D20CF6" w:rsidRDefault="00D20CF6" w:rsidP="00B607E1">
      <w:pPr>
        <w:spacing w:before="120" w:after="120"/>
        <w:rPr>
          <w:rFonts w:ascii="Verdana" w:hAnsi="Verdana"/>
        </w:rPr>
      </w:pPr>
    </w:p>
    <w:p w14:paraId="0FA03360" w14:textId="77777777" w:rsidR="00CE59FD" w:rsidRDefault="00CE59FD" w:rsidP="00B607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Follow the process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235"/>
        <w:gridCol w:w="8891"/>
      </w:tblGrid>
      <w:tr w:rsidR="007C5BF0" w:rsidRPr="002C1286" w14:paraId="1855AA70" w14:textId="77777777" w:rsidTr="007C5BF0">
        <w:tc>
          <w:tcPr>
            <w:tcW w:w="308" w:type="pct"/>
            <w:shd w:val="clear" w:color="auto" w:fill="D9D9D9" w:themeFill="background1" w:themeFillShade="D9"/>
          </w:tcPr>
          <w:p w14:paraId="54BD02FD" w14:textId="0771B193" w:rsidR="007C5BF0" w:rsidRPr="007C5BF0" w:rsidRDefault="007C5BF0" w:rsidP="007C5BF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72288A7C" w14:textId="52AF0444" w:rsidR="007C5BF0" w:rsidRPr="007C5BF0" w:rsidRDefault="007C5BF0" w:rsidP="007C5BF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7C5BF0" w:rsidRPr="002C1286" w14:paraId="0FFD9EDF" w14:textId="77777777" w:rsidTr="007C5BF0">
        <w:tc>
          <w:tcPr>
            <w:tcW w:w="308" w:type="pct"/>
            <w:vMerge w:val="restart"/>
          </w:tcPr>
          <w:p w14:paraId="10E04D7E" w14:textId="236A695D" w:rsidR="007C5BF0" w:rsidRPr="007C5BF0" w:rsidRDefault="007C5BF0" w:rsidP="007C5BF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92" w:type="pct"/>
            <w:gridSpan w:val="2"/>
          </w:tcPr>
          <w:p w14:paraId="0FDF9902" w14:textId="59C242F7" w:rsidR="007C5BF0" w:rsidRPr="002C1286" w:rsidRDefault="007C5BF0" w:rsidP="00B607E1">
            <w:pPr>
              <w:spacing w:before="120" w:after="120"/>
              <w:rPr>
                <w:rFonts w:ascii="Verdana" w:hAnsi="Verdana"/>
              </w:rPr>
            </w:pPr>
            <w:r w:rsidRPr="00436F20">
              <w:rPr>
                <w:rFonts w:ascii="Verdana" w:hAnsi="Verdana"/>
              </w:rPr>
              <w:t xml:space="preserve">Determine </w:t>
            </w:r>
            <w:r>
              <w:rPr>
                <w:rFonts w:ascii="Verdana" w:hAnsi="Verdana"/>
              </w:rPr>
              <w:t xml:space="preserve">if the beneficiary has previously requested a </w:t>
            </w:r>
            <w:r w:rsidRPr="006A77E7">
              <w:rPr>
                <w:rFonts w:ascii="Verdana" w:hAnsi="Verdana"/>
                <w:b/>
              </w:rPr>
              <w:t>Tiering Exception</w:t>
            </w:r>
            <w:r>
              <w:rPr>
                <w:rFonts w:ascii="Verdana" w:hAnsi="Verdana"/>
              </w:rPr>
              <w:t xml:space="preserve"> for the drug in question:</w:t>
            </w:r>
          </w:p>
        </w:tc>
      </w:tr>
      <w:tr w:rsidR="007C5BF0" w:rsidRPr="001F59DB" w14:paraId="56022FC6" w14:textId="77777777" w:rsidTr="007C5BF0">
        <w:tc>
          <w:tcPr>
            <w:tcW w:w="308" w:type="pct"/>
            <w:vMerge/>
            <w:shd w:val="clear" w:color="auto" w:fill="D9D9D9"/>
          </w:tcPr>
          <w:p w14:paraId="35C8AF48" w14:textId="77777777" w:rsidR="007C5BF0" w:rsidRPr="00244411" w:rsidRDefault="007C5BF0" w:rsidP="007C5BF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254" w:type="pct"/>
            <w:shd w:val="clear" w:color="auto" w:fill="D9D9D9"/>
          </w:tcPr>
          <w:p w14:paraId="0FC48CE2" w14:textId="28368214" w:rsidR="007C5BF0" w:rsidRPr="00244411" w:rsidRDefault="007C5BF0" w:rsidP="00B607E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bookmarkStart w:id="6" w:name="_Hlk107469896"/>
            <w:r w:rsidRPr="00244411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438" w:type="pct"/>
            <w:shd w:val="clear" w:color="auto" w:fill="D9D9D9"/>
          </w:tcPr>
          <w:p w14:paraId="025D729A" w14:textId="77777777" w:rsidR="007C5BF0" w:rsidRPr="001F59DB" w:rsidRDefault="007C5BF0" w:rsidP="00B607E1">
            <w:pPr>
              <w:spacing w:before="120" w:after="120"/>
              <w:jc w:val="center"/>
              <w:rPr>
                <w:rFonts w:ascii="Verdana" w:hAnsi="Verdana"/>
              </w:rPr>
            </w:pPr>
            <w:r w:rsidRPr="00436F2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7C5BF0" w:rsidRPr="002C1286" w14:paraId="6E7BA653" w14:textId="77777777" w:rsidTr="007C5BF0">
        <w:tc>
          <w:tcPr>
            <w:tcW w:w="308" w:type="pct"/>
            <w:vMerge/>
          </w:tcPr>
          <w:p w14:paraId="0256079E" w14:textId="77777777" w:rsidR="007C5BF0" w:rsidRDefault="007C5BF0" w:rsidP="007C5BF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254" w:type="pct"/>
          </w:tcPr>
          <w:p w14:paraId="2CEF90C1" w14:textId="00446411" w:rsidR="007C5BF0" w:rsidRPr="002C1286" w:rsidRDefault="007C5BF0" w:rsidP="00B607E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</w:t>
            </w:r>
            <w:r w:rsidRPr="008F0590">
              <w:rPr>
                <w:rFonts w:ascii="Verdana" w:hAnsi="Verdana"/>
              </w:rPr>
              <w:t xml:space="preserve"> drug </w:t>
            </w:r>
            <w:r>
              <w:rPr>
                <w:rFonts w:ascii="Verdana" w:hAnsi="Verdana"/>
              </w:rPr>
              <w:t>was not reviewed</w:t>
            </w:r>
            <w:r w:rsidRPr="008F0590">
              <w:rPr>
                <w:rFonts w:ascii="Verdana" w:hAnsi="Verdana"/>
              </w:rPr>
              <w:t xml:space="preserve"> for a Tiering Exception</w:t>
            </w:r>
          </w:p>
        </w:tc>
        <w:tc>
          <w:tcPr>
            <w:tcW w:w="3438" w:type="pct"/>
          </w:tcPr>
          <w:p w14:paraId="3CE77F73" w14:textId="0C8FDAB8" w:rsidR="007C5BF0" w:rsidRPr="00474B54" w:rsidRDefault="007C5BF0" w:rsidP="006E7935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474B54">
              <w:rPr>
                <w:rFonts w:ascii="Verdana" w:hAnsi="Verdana"/>
                <w:sz w:val="24"/>
                <w:szCs w:val="24"/>
              </w:rPr>
              <w:t xml:space="preserve">Discuss with the </w:t>
            </w: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474B54">
              <w:rPr>
                <w:rFonts w:ascii="Verdana" w:hAnsi="Verdana"/>
                <w:sz w:val="24"/>
                <w:szCs w:val="24"/>
              </w:rPr>
              <w:t xml:space="preserve"> for them to speak to their prescribing physician. Their physician will be required to submit a clinical statement to support the exception request. </w:t>
            </w:r>
          </w:p>
          <w:p w14:paraId="7D911413" w14:textId="4BA988C7" w:rsidR="007C5BF0" w:rsidRPr="00474B54" w:rsidRDefault="007C5BF0" w:rsidP="006E7935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Style w:val="Hyperlink"/>
                <w:rFonts w:ascii="Verdana" w:hAnsi="Verdana"/>
                <w:color w:val="000000"/>
                <w:sz w:val="24"/>
                <w:szCs w:val="24"/>
                <w:u w:val="none"/>
              </w:rPr>
            </w:pPr>
            <w:r w:rsidRPr="00C209EE">
              <w:rPr>
                <w:rFonts w:ascii="Verdana" w:eastAsia="Times New Roman" w:hAnsi="Verdana"/>
                <w:sz w:val="24"/>
                <w:szCs w:val="24"/>
              </w:rPr>
              <w:t>Initiate a C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overage </w:t>
            </w:r>
            <w:r w:rsidRPr="00C209EE">
              <w:rPr>
                <w:rFonts w:ascii="Verdana" w:eastAsia="Times New Roman" w:hAnsi="Verdana"/>
                <w:sz w:val="24"/>
                <w:szCs w:val="24"/>
              </w:rPr>
              <w:t>D</w:t>
            </w:r>
            <w:r>
              <w:rPr>
                <w:rFonts w:ascii="Verdana" w:eastAsia="Times New Roman" w:hAnsi="Verdana"/>
                <w:sz w:val="24"/>
                <w:szCs w:val="24"/>
              </w:rPr>
              <w:t>etermination (CD)</w:t>
            </w:r>
            <w:r w:rsidRPr="00C209EE">
              <w:rPr>
                <w:rFonts w:ascii="Verdana" w:eastAsia="Times New Roman" w:hAnsi="Verdana"/>
                <w:sz w:val="24"/>
                <w:szCs w:val="24"/>
              </w:rPr>
              <w:t xml:space="preserve"> From Test Claim Result</w:t>
            </w:r>
            <w:r w:rsidRPr="00D86339">
              <w:rPr>
                <w:rFonts w:ascii="Verdana" w:hAnsi="Verdana"/>
                <w:sz w:val="24"/>
                <w:szCs w:val="24"/>
              </w:rPr>
              <w:t>:  Standard Coverage Determination</w:t>
            </w:r>
            <w:r w:rsidRPr="00D86339">
              <w:rPr>
                <w:rFonts w:ascii="Verdana" w:eastAsia="Times New Roman" w:hAnsi="Verdana"/>
                <w:sz w:val="24"/>
                <w:szCs w:val="24"/>
              </w:rPr>
              <w:t xml:space="preserve">.  </w:t>
            </w:r>
            <w:r w:rsidRPr="007249D9">
              <w:rPr>
                <w:rFonts w:ascii="Verdana" w:eastAsia="Times New Roman" w:hAnsi="Verdana"/>
                <w:sz w:val="24"/>
                <w:szCs w:val="24"/>
              </w:rPr>
              <w:t xml:space="preserve">Refer to </w:t>
            </w:r>
            <w:hyperlink r:id="rId14" w:anchor="!/view?docid=a23bc09d-37f7-4105-ba57-d4e9d7f512ff" w:history="1"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>Compass MED D - CCR - Coverage Determinations and Redeterminations (Appeals) (064997)</w:t>
              </w:r>
            </w:hyperlink>
            <w:r w:rsidRPr="007249D9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1BC268C" w14:textId="41F115C8" w:rsidR="007C5BF0" w:rsidRPr="001973BA" w:rsidRDefault="007C5BF0" w:rsidP="00B607E1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FF"/>
                <w:sz w:val="24"/>
                <w:szCs w:val="24"/>
                <w:u w:val="single"/>
              </w:rPr>
            </w:pPr>
            <w:r w:rsidRPr="001973BA">
              <w:rPr>
                <w:rFonts w:ascii="Verdana" w:hAnsi="Verdana"/>
                <w:sz w:val="24"/>
                <w:szCs w:val="24"/>
              </w:rPr>
              <w:t xml:space="preserve">Determine if the </w:t>
            </w: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1973BA">
              <w:rPr>
                <w:rFonts w:ascii="Verdana" w:hAnsi="Verdana"/>
                <w:sz w:val="24"/>
                <w:szCs w:val="24"/>
              </w:rPr>
              <w:t xml:space="preserve"> has an open order for their medication. </w:t>
            </w:r>
          </w:p>
          <w:p w14:paraId="6A1F9642" w14:textId="58DD6B2D" w:rsidR="007C5BF0" w:rsidRPr="00F56553" w:rsidRDefault="007C5BF0" w:rsidP="00B607E1">
            <w:pPr>
              <w:pStyle w:val="ListParagraph"/>
              <w:numPr>
                <w:ilvl w:val="1"/>
                <w:numId w:val="7"/>
              </w:num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  <w:u w:val="single"/>
              </w:rPr>
            </w:pPr>
            <w:r w:rsidRPr="00442A05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so, ask the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beneficiary</w:t>
            </w:r>
            <w:r w:rsidRPr="00442A05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if they would like to place that order on-hold until a determination </w:t>
            </w: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has been made on the </w:t>
            </w:r>
            <w:r w:rsidRPr="00F56553">
              <w:rPr>
                <w:rFonts w:ascii="Verdana" w:hAnsi="Verdana"/>
                <w:b/>
                <w:sz w:val="24"/>
                <w:szCs w:val="24"/>
              </w:rPr>
              <w:t>Tiering Exception</w:t>
            </w: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.  </w:t>
            </w:r>
          </w:p>
          <w:p w14:paraId="58D4542B" w14:textId="703214B9" w:rsidR="007C5BF0" w:rsidRPr="00F56553" w:rsidRDefault="007C5BF0" w:rsidP="00B607E1">
            <w:pPr>
              <w:pStyle w:val="ListParagraph"/>
              <w:numPr>
                <w:ilvl w:val="2"/>
                <w:numId w:val="8"/>
              </w:numPr>
              <w:spacing w:before="120" w:after="120"/>
              <w:rPr>
                <w:rFonts w:ascii="Verdana" w:hAnsi="Verdana"/>
                <w:color w:val="000000" w:themeColor="text1"/>
                <w:sz w:val="24"/>
                <w:szCs w:val="24"/>
                <w:u w:val="single"/>
              </w:rPr>
            </w:pP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the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beneficiary</w:t>
            </w: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would like to place the medication on hold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:</w:t>
            </w: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  <w:p w14:paraId="64ADC891" w14:textId="77777777" w:rsidR="007C5BF0" w:rsidRPr="00F56553" w:rsidRDefault="007C5BF0" w:rsidP="00B607E1">
            <w:pPr>
              <w:pStyle w:val="ListParagraph"/>
              <w:spacing w:before="120" w:after="120"/>
              <w:ind w:left="2880"/>
              <w:rPr>
                <w:rFonts w:ascii="Verdana" w:hAnsi="Verdana"/>
                <w:color w:val="000000" w:themeColor="text1"/>
                <w:sz w:val="24"/>
                <w:szCs w:val="24"/>
                <w:u w:val="single"/>
              </w:rPr>
            </w:pPr>
            <w:r w:rsidRPr="00F5655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1. Place the order on Indefinite Hold.  </w:t>
            </w:r>
          </w:p>
          <w:p w14:paraId="79F43F6F" w14:textId="503D289C" w:rsidR="007C5BF0" w:rsidRPr="00B66D2C" w:rsidRDefault="007C5BF0" w:rsidP="00B607E1">
            <w:pPr>
              <w:pStyle w:val="ListParagraph"/>
              <w:spacing w:before="120" w:after="120"/>
              <w:ind w:left="2880"/>
              <w:rPr>
                <w:rStyle w:val="Hyperlink"/>
                <w:rFonts w:ascii="Verdana" w:hAnsi="Verdana"/>
                <w:sz w:val="24"/>
                <w:szCs w:val="24"/>
              </w:rPr>
            </w:pPr>
            <w:r w:rsidRPr="00B66D2C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2. Educate the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beneficiary</w:t>
            </w:r>
            <w:r w:rsidRPr="00B66D2C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that they will have to call back once the </w:t>
            </w:r>
            <w:r w:rsidRPr="00CE36CD">
              <w:rPr>
                <w:rFonts w:ascii="Verdana" w:hAnsi="Verdana"/>
                <w:b/>
                <w:sz w:val="24"/>
                <w:szCs w:val="24"/>
              </w:rPr>
              <w:t>Tiering Exception</w:t>
            </w:r>
            <w:r w:rsidRPr="00B66D2C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is approved so we can release their medication. </w:t>
            </w:r>
            <w:r w:rsidRPr="00B66D2C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5" w:anchor="!/view?docid=46478c4b-48ae-4502-b66c-222e1ca37ce3" w:history="1"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>Compass - Placing/Releasing a Prescription (Rx) in Process on Hold/From Hold (056362)</w:t>
              </w:r>
            </w:hyperlink>
          </w:p>
          <w:p w14:paraId="2A328095" w14:textId="77777777" w:rsidR="007C5BF0" w:rsidRPr="002C1286" w:rsidRDefault="007C5BF0" w:rsidP="00B607E1">
            <w:pPr>
              <w:pStyle w:val="ListParagraph"/>
              <w:spacing w:before="120" w:after="120"/>
              <w:ind w:left="2880"/>
              <w:rPr>
                <w:rFonts w:ascii="Verdana" w:hAnsi="Verdana"/>
              </w:rPr>
            </w:pPr>
          </w:p>
        </w:tc>
      </w:tr>
      <w:tr w:rsidR="007C5BF0" w:rsidRPr="002C1286" w14:paraId="6D364E87" w14:textId="77777777" w:rsidTr="007C5BF0">
        <w:tc>
          <w:tcPr>
            <w:tcW w:w="308" w:type="pct"/>
            <w:vMerge/>
          </w:tcPr>
          <w:p w14:paraId="4A26B3B2" w14:textId="77777777" w:rsidR="007C5BF0" w:rsidRPr="00244411" w:rsidRDefault="007C5BF0" w:rsidP="007C5BF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bookmarkEnd w:id="6"/>
        <w:tc>
          <w:tcPr>
            <w:tcW w:w="1254" w:type="pct"/>
          </w:tcPr>
          <w:p w14:paraId="18A8A1F6" w14:textId="3CA5A1D7" w:rsidR="007C5BF0" w:rsidRPr="002C1286" w:rsidRDefault="007C5BF0" w:rsidP="00B607E1">
            <w:pPr>
              <w:spacing w:before="120" w:after="120"/>
              <w:rPr>
                <w:rFonts w:ascii="Verdana" w:hAnsi="Verdana"/>
              </w:rPr>
            </w:pPr>
            <w:r w:rsidRPr="00244411">
              <w:rPr>
                <w:rFonts w:ascii="Verdana" w:hAnsi="Verdana"/>
              </w:rPr>
              <w:t>The drug was reviewed for a Tiering Exception</w:t>
            </w:r>
          </w:p>
        </w:tc>
        <w:tc>
          <w:tcPr>
            <w:tcW w:w="3438" w:type="pct"/>
          </w:tcPr>
          <w:p w14:paraId="185A0BBF" w14:textId="5D5F7E50" w:rsidR="007C5BF0" w:rsidRPr="008E108E" w:rsidRDefault="007C5BF0" w:rsidP="00B607E1">
            <w:pPr>
              <w:spacing w:before="120" w:after="120"/>
              <w:rPr>
                <w:rStyle w:val="Hyperlink"/>
                <w:rFonts w:ascii="Verdana" w:hAnsi="Verdana"/>
              </w:rPr>
            </w:pPr>
            <w:r w:rsidRPr="008E108E">
              <w:rPr>
                <w:rFonts w:ascii="Verdana" w:hAnsi="Verdana"/>
              </w:rPr>
              <w:t xml:space="preserve">If a </w:t>
            </w:r>
            <w:r w:rsidRPr="008E108E">
              <w:rPr>
                <w:rFonts w:ascii="Verdana" w:hAnsi="Verdana"/>
                <w:b/>
              </w:rPr>
              <w:t>Tiering Exception</w:t>
            </w:r>
            <w:r w:rsidRPr="008E108E">
              <w:rPr>
                <w:rFonts w:ascii="Verdana" w:hAnsi="Verdana"/>
              </w:rPr>
              <w:t xml:space="preserve"> has been denied, determine if an appeal </w:t>
            </w:r>
            <w:bookmarkStart w:id="7" w:name="OLE_LINK7"/>
            <w:r w:rsidRPr="008E108E">
              <w:rPr>
                <w:rFonts w:ascii="Verdana" w:hAnsi="Verdana"/>
              </w:rPr>
              <w:t>(redetermination)</w:t>
            </w:r>
            <w:bookmarkEnd w:id="7"/>
            <w:r w:rsidRPr="008E108E">
              <w:rPr>
                <w:rFonts w:ascii="Verdana" w:hAnsi="Verdana"/>
              </w:rPr>
              <w:t xml:space="preserve"> has been initiated. Refer to</w:t>
            </w:r>
            <w:r w:rsidRPr="00CE36CD">
              <w:rPr>
                <w:rFonts w:ascii="Verdana" w:hAnsi="Verdana"/>
              </w:rPr>
              <w:t xml:space="preserve"> </w:t>
            </w:r>
            <w:hyperlink r:id="rId16" w:anchor="!/view?docid=a23bc09d-37f7-4105-ba57-d4e9d7f512ff" w:history="1">
              <w:r w:rsidRPr="003E3801">
                <w:rPr>
                  <w:rStyle w:val="Hyperlink"/>
                  <w:rFonts w:ascii="Verdana" w:hAnsi="Verdana"/>
                </w:rPr>
                <w:t>Compass MED D - CCR - Coverage Determinations and Redeterminations (Appeals) (064997)</w:t>
              </w:r>
            </w:hyperlink>
            <w:r w:rsidRPr="008E108E">
              <w:rPr>
                <w:rStyle w:val="Hyperlink"/>
                <w:rFonts w:ascii="Verdana" w:hAnsi="Verdana"/>
                <w:u w:val="none"/>
              </w:rPr>
              <w:t>.</w:t>
            </w:r>
          </w:p>
          <w:p w14:paraId="51816CC3" w14:textId="77777777" w:rsidR="007C5BF0" w:rsidRPr="002C1286" w:rsidRDefault="007C5BF0" w:rsidP="00B607E1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576F7B24" w14:textId="77777777" w:rsidR="00B11077" w:rsidRDefault="00B11077" w:rsidP="00B607E1">
      <w:pPr>
        <w:spacing w:before="120" w:after="120"/>
        <w:jc w:val="right"/>
        <w:rPr>
          <w:rFonts w:ascii="Verdana" w:hAnsi="Verdana"/>
        </w:rPr>
      </w:pPr>
    </w:p>
    <w:p w14:paraId="6AD3F5B5" w14:textId="77777777" w:rsidR="00B11077" w:rsidRDefault="00A15728" w:rsidP="00B607E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A4F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11077" w:rsidRPr="00EC75BC" w14:paraId="12D0DE2B" w14:textId="77777777" w:rsidTr="00E57290">
        <w:tc>
          <w:tcPr>
            <w:tcW w:w="5000" w:type="pct"/>
            <w:shd w:val="clear" w:color="auto" w:fill="C0C0C0"/>
          </w:tcPr>
          <w:p w14:paraId="60861497" w14:textId="2AD04678" w:rsidR="00B11077" w:rsidRPr="00EC75BC" w:rsidRDefault="00B11077" w:rsidP="00B607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202437698"/>
            <w:r>
              <w:rPr>
                <w:rFonts w:ascii="Verdana" w:hAnsi="Verdana"/>
                <w:i w:val="0"/>
                <w:iCs w:val="0"/>
              </w:rPr>
              <w:t>Identifying a Tiering Exception Status in</w:t>
            </w:r>
            <w:r w:rsidR="007C2516">
              <w:rPr>
                <w:rFonts w:ascii="Verdana" w:hAnsi="Verdana"/>
                <w:i w:val="0"/>
                <w:iCs w:val="0"/>
              </w:rPr>
              <w:t xml:space="preserve"> </w:t>
            </w:r>
            <w:r w:rsidR="007C2516" w:rsidRPr="00895BBD">
              <w:rPr>
                <w:rFonts w:ascii="Verdana" w:hAnsi="Verdana"/>
                <w:i w:val="0"/>
                <w:iCs w:val="0"/>
              </w:rPr>
              <w:t>Compass</w:t>
            </w:r>
            <w:bookmarkEnd w:id="8"/>
            <w:r w:rsidRPr="007C251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1E7CE04" w14:textId="77777777" w:rsidR="00B11077" w:rsidRPr="00EC75BC" w:rsidRDefault="00B11077" w:rsidP="00B607E1">
      <w:pPr>
        <w:tabs>
          <w:tab w:val="left" w:pos="10440"/>
        </w:tabs>
        <w:spacing w:before="120" w:after="120"/>
        <w:rPr>
          <w:rFonts w:ascii="Verdana" w:hAnsi="Verdana"/>
        </w:rPr>
      </w:pPr>
      <w:r w:rsidRPr="00EC75BC">
        <w:rPr>
          <w:rFonts w:ascii="Verdana" w:hAnsi="Verdana"/>
        </w:rPr>
        <w:t xml:space="preserve">Perform the steps below: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352"/>
        <w:gridCol w:w="7983"/>
      </w:tblGrid>
      <w:tr w:rsidR="00C77882" w:rsidRPr="00EC75BC" w14:paraId="389DD2DE" w14:textId="77777777" w:rsidTr="00A90205">
        <w:tc>
          <w:tcPr>
            <w:tcW w:w="228" w:type="pct"/>
            <w:shd w:val="clear" w:color="auto" w:fill="D9D9D9"/>
          </w:tcPr>
          <w:p w14:paraId="64D76AB5" w14:textId="77777777" w:rsidR="00B11077" w:rsidRPr="00EC75BC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C75BC">
              <w:rPr>
                <w:rFonts w:ascii="Verdana" w:hAnsi="Verdana"/>
                <w:b/>
              </w:rPr>
              <w:t>Step</w:t>
            </w:r>
          </w:p>
        </w:tc>
        <w:tc>
          <w:tcPr>
            <w:tcW w:w="4772" w:type="pct"/>
            <w:gridSpan w:val="2"/>
            <w:shd w:val="clear" w:color="auto" w:fill="D9D9D9"/>
          </w:tcPr>
          <w:p w14:paraId="37259A50" w14:textId="77777777" w:rsidR="00B11077" w:rsidRPr="00EC75BC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C75BC">
              <w:rPr>
                <w:rFonts w:ascii="Verdana" w:hAnsi="Verdana"/>
                <w:b/>
              </w:rPr>
              <w:t>Action</w:t>
            </w:r>
          </w:p>
        </w:tc>
      </w:tr>
      <w:tr w:rsidR="00C77882" w:rsidRPr="00EC75BC" w14:paraId="57414B14" w14:textId="77777777" w:rsidTr="00A90205">
        <w:tc>
          <w:tcPr>
            <w:tcW w:w="228" w:type="pct"/>
          </w:tcPr>
          <w:p w14:paraId="19AF6664" w14:textId="40310788" w:rsidR="00B11077" w:rsidRPr="00C72EE9" w:rsidRDefault="00B11077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  <w:gridSpan w:val="2"/>
            <w:tcBorders>
              <w:bottom w:val="single" w:sz="4" w:space="0" w:color="auto"/>
            </w:tcBorders>
          </w:tcPr>
          <w:p w14:paraId="78F7D8B3" w14:textId="3187EE0F" w:rsidR="00C62CAD" w:rsidRPr="00C62CAD" w:rsidRDefault="00B11077" w:rsidP="00B607E1">
            <w:pPr>
              <w:spacing w:before="120" w:after="120"/>
              <w:rPr>
                <w:rFonts w:ascii="Verdana" w:hAnsi="Verdana"/>
              </w:rPr>
            </w:pPr>
            <w:r w:rsidRPr="002C1286">
              <w:rPr>
                <w:rFonts w:ascii="Verdana" w:hAnsi="Verdana"/>
              </w:rPr>
              <w:t xml:space="preserve">Determine if the caller is checking on </w:t>
            </w:r>
            <w:r w:rsidR="006A77E7">
              <w:rPr>
                <w:rFonts w:ascii="Verdana" w:hAnsi="Verdana"/>
              </w:rPr>
              <w:t xml:space="preserve">a </w:t>
            </w:r>
            <w:r w:rsidR="006A77E7" w:rsidRPr="006A77E7">
              <w:rPr>
                <w:rFonts w:ascii="Verdana" w:hAnsi="Verdana"/>
                <w:b/>
              </w:rPr>
              <w:t>Tiering Exception</w:t>
            </w:r>
            <w:r>
              <w:rPr>
                <w:rFonts w:ascii="Verdana" w:hAnsi="Verdana"/>
              </w:rPr>
              <w:t xml:space="preserve"> Status</w:t>
            </w:r>
            <w:r w:rsidR="00D20CF6">
              <w:rPr>
                <w:rFonts w:ascii="Verdana" w:hAnsi="Verdana"/>
              </w:rPr>
              <w:t>.</w:t>
            </w:r>
          </w:p>
        </w:tc>
      </w:tr>
      <w:tr w:rsidR="00C77882" w:rsidRPr="00EC75BC" w14:paraId="6D204528" w14:textId="77777777" w:rsidTr="00A90205"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571" w14:textId="6628A439" w:rsidR="00677C2D" w:rsidRPr="00C72EE9" w:rsidRDefault="00677C2D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EE8E" w14:textId="707D071E" w:rsidR="00677C2D" w:rsidRDefault="0000613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From the </w:t>
            </w:r>
            <w:r w:rsidRPr="00895BBD">
              <w:rPr>
                <w:rFonts w:ascii="Verdana" w:hAnsi="Verdana" w:cs="Arial"/>
                <w:b/>
                <w:bCs/>
              </w:rPr>
              <w:t>Claims Landing Page</w:t>
            </w:r>
            <w:r>
              <w:rPr>
                <w:rFonts w:ascii="Verdana" w:hAnsi="Verdana" w:cs="Arial"/>
              </w:rPr>
              <w:t>, a</w:t>
            </w:r>
            <w:r w:rsidR="00677C2D">
              <w:rPr>
                <w:rFonts w:ascii="Verdana" w:hAnsi="Verdana" w:cs="Arial"/>
              </w:rPr>
              <w:t>ccess the</w:t>
            </w:r>
            <w:r>
              <w:rPr>
                <w:rFonts w:ascii="Verdana" w:hAnsi="Verdana" w:cs="Arial"/>
              </w:rPr>
              <w:t xml:space="preserve"> </w:t>
            </w:r>
            <w:r w:rsidRPr="00895BBD">
              <w:rPr>
                <w:rFonts w:ascii="Verdana" w:hAnsi="Verdana" w:cs="Arial"/>
                <w:b/>
                <w:bCs/>
              </w:rPr>
              <w:t>Override/PA History</w:t>
            </w:r>
            <w:r>
              <w:rPr>
                <w:rFonts w:ascii="Verdana" w:hAnsi="Verdana" w:cs="Arial"/>
              </w:rPr>
              <w:t xml:space="preserve"> hyperlink in the </w:t>
            </w:r>
            <w:r w:rsidRPr="00895BBD">
              <w:rPr>
                <w:rFonts w:ascii="Verdana" w:hAnsi="Verdana" w:cs="Arial"/>
                <w:b/>
                <w:bCs/>
              </w:rPr>
              <w:t>Quick Actions</w:t>
            </w:r>
            <w:r>
              <w:rPr>
                <w:rFonts w:ascii="Verdana" w:hAnsi="Verdana" w:cs="Arial"/>
              </w:rPr>
              <w:t xml:space="preserve"> panel</w:t>
            </w:r>
            <w:r w:rsidR="00677C2D">
              <w:rPr>
                <w:rFonts w:ascii="Verdana" w:hAnsi="Verdana" w:cs="Arial"/>
              </w:rPr>
              <w:t xml:space="preserve">. </w:t>
            </w:r>
          </w:p>
          <w:p w14:paraId="3BF98CDB" w14:textId="77777777" w:rsidR="00006137" w:rsidRDefault="0000613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</w:p>
          <w:p w14:paraId="352F89CA" w14:textId="7AFA75FB" w:rsidR="00677C2D" w:rsidRDefault="007E5A55" w:rsidP="00B607E1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18A1D" wp14:editId="56F767B8">
                  <wp:extent cx="10373653" cy="766749"/>
                  <wp:effectExtent l="19050" t="19050" r="8890" b="146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7715" cy="772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1AE81" w14:textId="0E938CE8" w:rsidR="00677C2D" w:rsidRDefault="00677C2D" w:rsidP="00B607E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77882" w:rsidRPr="00EC75BC" w14:paraId="200F85FA" w14:textId="77777777" w:rsidTr="00A90205"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AF1" w14:textId="77111A3E" w:rsidR="00677C2D" w:rsidRPr="00C72EE9" w:rsidRDefault="00677C2D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53E7" w14:textId="3F66A9A5" w:rsidR="00677C2D" w:rsidRDefault="00677C2D" w:rsidP="00B607E1">
            <w:pPr>
              <w:spacing w:before="120" w:after="120"/>
            </w:pPr>
            <w:r>
              <w:rPr>
                <w:rFonts w:ascii="Verdana" w:hAnsi="Verdana"/>
              </w:rPr>
              <w:t xml:space="preserve">Check the </w:t>
            </w:r>
            <w:r>
              <w:rPr>
                <w:rFonts w:ascii="Verdana" w:hAnsi="Verdana"/>
                <w:b/>
              </w:rPr>
              <w:t xml:space="preserve">Drug </w:t>
            </w:r>
            <w:r w:rsidR="00865754">
              <w:rPr>
                <w:rFonts w:ascii="Verdana" w:hAnsi="Verdana"/>
                <w:b/>
              </w:rPr>
              <w:t>Name</w:t>
            </w:r>
            <w:r>
              <w:rPr>
                <w:rFonts w:ascii="Verdana" w:hAnsi="Verdana"/>
                <w:b/>
              </w:rPr>
              <w:t>/</w:t>
            </w:r>
            <w:r w:rsidR="00865754">
              <w:rPr>
                <w:rFonts w:ascii="Verdana" w:hAnsi="Verdana"/>
                <w:b/>
              </w:rPr>
              <w:t>Drug Type</w:t>
            </w:r>
            <w:r>
              <w:rPr>
                <w:rFonts w:ascii="Verdana" w:hAnsi="Verdana"/>
                <w:b/>
              </w:rPr>
              <w:t>/Description</w:t>
            </w:r>
            <w:r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  <w:b/>
              </w:rPr>
              <w:t>Effective</w:t>
            </w:r>
            <w:r>
              <w:rPr>
                <w:rFonts w:ascii="Verdana" w:hAnsi="Verdana"/>
              </w:rPr>
              <w:t xml:space="preserve">, and </w:t>
            </w:r>
            <w:r>
              <w:rPr>
                <w:rFonts w:ascii="Verdana" w:hAnsi="Verdana"/>
                <w:b/>
              </w:rPr>
              <w:t>Expiration</w:t>
            </w:r>
            <w:r>
              <w:rPr>
                <w:rFonts w:ascii="Verdana" w:hAnsi="Verdana"/>
              </w:rPr>
              <w:t xml:space="preserve"> columns for the GPI of the medication the caller is checking status on.</w:t>
            </w:r>
            <w:r>
              <w:t xml:space="preserve"> </w:t>
            </w:r>
          </w:p>
          <w:p w14:paraId="0AD9ABEE" w14:textId="77777777" w:rsidR="008E108E" w:rsidRDefault="008E108E" w:rsidP="00B607E1">
            <w:pPr>
              <w:spacing w:before="120" w:after="120"/>
            </w:pPr>
          </w:p>
          <w:p w14:paraId="57E58C79" w14:textId="723F68D3" w:rsidR="00677C2D" w:rsidRDefault="00865754" w:rsidP="00B607E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A618932" wp14:editId="1E29A1D9">
                  <wp:extent cx="9827070" cy="2285365"/>
                  <wp:effectExtent l="19050" t="19050" r="22225" b="196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0907" cy="2290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42B618" w14:textId="77777777" w:rsidR="008E108E" w:rsidRDefault="008E108E" w:rsidP="00B607E1">
            <w:pPr>
              <w:spacing w:before="120" w:after="120"/>
              <w:jc w:val="center"/>
            </w:pPr>
          </w:p>
          <w:p w14:paraId="2A65D7AB" w14:textId="7ACD387F" w:rsidR="00677C2D" w:rsidRDefault="00677C2D" w:rsidP="00B607E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If a drug is not listed, or effective/expiration dates are not visible, the </w:t>
            </w:r>
            <w:r w:rsidR="0082117D">
              <w:rPr>
                <w:rFonts w:ascii="Verdana" w:hAnsi="Verdana"/>
              </w:rPr>
              <w:t>Override</w:t>
            </w:r>
            <w:r>
              <w:rPr>
                <w:rFonts w:ascii="Verdana" w:hAnsi="Verdana"/>
              </w:rPr>
              <w:t xml:space="preserve"> may be pending. Proceed to Step 7.</w:t>
            </w:r>
          </w:p>
        </w:tc>
      </w:tr>
      <w:tr w:rsidR="00C77882" w:rsidRPr="00EC75BC" w14:paraId="7FE4EEF1" w14:textId="77777777" w:rsidTr="00A90205">
        <w:tc>
          <w:tcPr>
            <w:tcW w:w="228" w:type="pct"/>
          </w:tcPr>
          <w:p w14:paraId="216762F5" w14:textId="1D5C4007" w:rsidR="00B11077" w:rsidRPr="00C72EE9" w:rsidRDefault="00B11077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  <w:gridSpan w:val="2"/>
          </w:tcPr>
          <w:p w14:paraId="164C1DF5" w14:textId="05A55434" w:rsidR="00B11077" w:rsidRDefault="00A0413E" w:rsidP="00B607E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</w:t>
            </w:r>
            <w:r w:rsidRPr="00895BBD">
              <w:rPr>
                <w:rFonts w:ascii="Verdana" w:hAnsi="Verdana"/>
                <w:b/>
                <w:bCs/>
              </w:rPr>
              <w:t>ID</w:t>
            </w:r>
            <w:r>
              <w:rPr>
                <w:rFonts w:ascii="Verdana" w:hAnsi="Verdana"/>
              </w:rPr>
              <w:t xml:space="preserve"> column, click the </w:t>
            </w:r>
            <w:r w:rsidRPr="00895BBD">
              <w:rPr>
                <w:rFonts w:ascii="Verdana" w:hAnsi="Verdana"/>
                <w:b/>
                <w:bCs/>
              </w:rPr>
              <w:t>ID</w:t>
            </w:r>
            <w:r>
              <w:rPr>
                <w:rFonts w:ascii="Verdana" w:hAnsi="Verdana"/>
              </w:rPr>
              <w:t xml:space="preserve"> hyperlink</w:t>
            </w:r>
            <w:r w:rsidR="00B11077">
              <w:rPr>
                <w:rFonts w:ascii="Verdana" w:hAnsi="Verdana"/>
              </w:rPr>
              <w:t>.</w:t>
            </w:r>
          </w:p>
          <w:p w14:paraId="7A362E7F" w14:textId="77777777" w:rsidR="00C77882" w:rsidRDefault="00C77882" w:rsidP="00B607E1">
            <w:pPr>
              <w:spacing w:before="120" w:after="120"/>
              <w:rPr>
                <w:rFonts w:ascii="Verdana" w:hAnsi="Verdana"/>
              </w:rPr>
            </w:pPr>
          </w:p>
          <w:p w14:paraId="01260864" w14:textId="34A99CC9" w:rsidR="00B11077" w:rsidRDefault="00130E31" w:rsidP="00B607E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4362884" wp14:editId="5B04DA76">
                  <wp:extent cx="11616623" cy="1902285"/>
                  <wp:effectExtent l="19050" t="19050" r="23495" b="222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5555" cy="1910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49055" w14:textId="77777777" w:rsidR="000A115B" w:rsidRDefault="000A115B" w:rsidP="00C77882">
            <w:pPr>
              <w:spacing w:before="120" w:after="120"/>
              <w:rPr>
                <w:rFonts w:ascii="Verdana" w:hAnsi="Verdana"/>
              </w:rPr>
            </w:pPr>
          </w:p>
          <w:p w14:paraId="2B1C8346" w14:textId="46F29F08" w:rsidR="00C77882" w:rsidRPr="006605E5" w:rsidRDefault="00C77882" w:rsidP="00895BBD">
            <w:pPr>
              <w:spacing w:before="120" w:after="120"/>
              <w:rPr>
                <w:rFonts w:ascii="Verdana" w:hAnsi="Verdana"/>
              </w:rPr>
            </w:pPr>
            <w:r w:rsidRPr="00895BBD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The PA details pop up displays</w:t>
            </w:r>
            <w:r w:rsidR="00974C5A">
              <w:rPr>
                <w:rFonts w:ascii="Verdana" w:hAnsi="Verdana"/>
              </w:rPr>
              <w:t>.</w:t>
            </w:r>
          </w:p>
        </w:tc>
      </w:tr>
      <w:tr w:rsidR="00C77882" w:rsidRPr="00EC75BC" w14:paraId="5C3C256A" w14:textId="77777777" w:rsidTr="00A90205">
        <w:tc>
          <w:tcPr>
            <w:tcW w:w="228" w:type="pct"/>
          </w:tcPr>
          <w:p w14:paraId="0CAF8914" w14:textId="59B55A76" w:rsidR="00B11077" w:rsidRPr="00C72EE9" w:rsidRDefault="00B11077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  <w:gridSpan w:val="2"/>
          </w:tcPr>
          <w:p w14:paraId="452A8754" w14:textId="71851780" w:rsidR="00B11077" w:rsidRDefault="00706746" w:rsidP="00B607E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Pr="00895BBD">
              <w:rPr>
                <w:rFonts w:ascii="Verdana" w:hAnsi="Verdana"/>
                <w:b/>
                <w:bCs/>
              </w:rPr>
              <w:t>Notes</w:t>
            </w:r>
            <w:r>
              <w:rPr>
                <w:rFonts w:ascii="Verdana" w:hAnsi="Verdana"/>
              </w:rPr>
              <w:t xml:space="preserve"> field to determine if a Tiering Exception was submitted.</w:t>
            </w:r>
            <w:r w:rsidR="005B2684">
              <w:rPr>
                <w:rFonts w:ascii="Verdana" w:hAnsi="Verdana"/>
              </w:rPr>
              <w:t xml:space="preserve"> (Do not read to caller</w:t>
            </w:r>
            <w:r w:rsidR="008927D9">
              <w:rPr>
                <w:rFonts w:ascii="Verdana" w:hAnsi="Verdana"/>
              </w:rPr>
              <w:t>.</w:t>
            </w:r>
            <w:r w:rsidR="005B2684">
              <w:rPr>
                <w:rFonts w:ascii="Verdana" w:hAnsi="Verdana"/>
              </w:rPr>
              <w:t>)</w:t>
            </w:r>
          </w:p>
          <w:p w14:paraId="78172B03" w14:textId="77777777" w:rsidR="00706746" w:rsidRDefault="00706746" w:rsidP="00B607E1">
            <w:pPr>
              <w:spacing w:before="120" w:after="120"/>
              <w:rPr>
                <w:rFonts w:ascii="Verdana" w:hAnsi="Verdana"/>
                <w:b/>
              </w:rPr>
            </w:pPr>
          </w:p>
          <w:p w14:paraId="5AFF1DFD" w14:textId="23D8D223" w:rsidR="00706746" w:rsidRPr="00895BBD" w:rsidRDefault="00706746" w:rsidP="00B607E1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Tip: </w:t>
            </w:r>
            <w:r w:rsidR="000E2E7D" w:rsidRPr="000E2E7D">
              <w:rPr>
                <w:rFonts w:ascii="Verdana" w:hAnsi="Verdana"/>
                <w:bCs/>
              </w:rPr>
              <w:t>Utilize the keyboard shortcut</w:t>
            </w:r>
            <w:r w:rsidR="000E2E7D">
              <w:rPr>
                <w:rFonts w:ascii="Verdana" w:hAnsi="Verdana"/>
                <w:b/>
              </w:rPr>
              <w:t xml:space="preserve"> </w:t>
            </w:r>
            <w:r w:rsidRPr="000E2E7D">
              <w:rPr>
                <w:rFonts w:ascii="Verdana" w:hAnsi="Verdana"/>
                <w:b/>
              </w:rPr>
              <w:t>C</w:t>
            </w:r>
            <w:r w:rsidR="00DF3810" w:rsidRPr="000E2E7D">
              <w:rPr>
                <w:rFonts w:ascii="Verdana" w:hAnsi="Verdana"/>
                <w:b/>
              </w:rPr>
              <w:t>trl +</w:t>
            </w:r>
            <w:r w:rsidRPr="000E2E7D">
              <w:rPr>
                <w:rFonts w:ascii="Verdana" w:hAnsi="Verdana"/>
                <w:b/>
              </w:rPr>
              <w:t xml:space="preserve"> F</w:t>
            </w:r>
            <w:r w:rsidR="000E2E7D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to look for keywords</w:t>
            </w:r>
            <w:r w:rsidR="000E2E7D">
              <w:rPr>
                <w:rFonts w:ascii="Verdana" w:hAnsi="Verdana"/>
                <w:bCs/>
              </w:rPr>
              <w:t xml:space="preserve"> </w:t>
            </w:r>
            <w:r w:rsidRPr="000E2E7D">
              <w:rPr>
                <w:rFonts w:ascii="Verdana" w:hAnsi="Verdana"/>
                <w:b/>
              </w:rPr>
              <w:t>Tiering</w:t>
            </w:r>
            <w:r>
              <w:rPr>
                <w:rFonts w:ascii="Verdana" w:hAnsi="Verdana"/>
                <w:bCs/>
              </w:rPr>
              <w:t xml:space="preserve"> or </w:t>
            </w:r>
            <w:r w:rsidRPr="000E2E7D">
              <w:rPr>
                <w:rFonts w:ascii="Verdana" w:hAnsi="Verdana"/>
                <w:b/>
              </w:rPr>
              <w:t>Tier</w:t>
            </w:r>
            <w:r w:rsidR="000E2E7D">
              <w:rPr>
                <w:rFonts w:ascii="Verdana" w:hAnsi="Verdana"/>
                <w:bCs/>
              </w:rPr>
              <w:t>.</w:t>
            </w:r>
          </w:p>
          <w:p w14:paraId="2D0A3CF5" w14:textId="77777777" w:rsidR="00706746" w:rsidRDefault="00706746" w:rsidP="00B607E1">
            <w:pPr>
              <w:spacing w:before="120" w:after="120"/>
              <w:rPr>
                <w:rFonts w:ascii="Verdana" w:hAnsi="Verdana"/>
              </w:rPr>
            </w:pPr>
          </w:p>
          <w:p w14:paraId="0B966ACD" w14:textId="07869EE5" w:rsidR="00B11077" w:rsidRDefault="00A90205" w:rsidP="00B607E1">
            <w:pPr>
              <w:spacing w:before="120" w:after="120"/>
              <w:jc w:val="center"/>
              <w:rPr>
                <w:rFonts w:ascii="Verdana" w:hAnsi="Verdana"/>
              </w:rPr>
            </w:pPr>
            <w:r w:rsidRPr="00A90205">
              <w:rPr>
                <w:rFonts w:ascii="Verdana" w:hAnsi="Verdana"/>
                <w:noProof/>
              </w:rPr>
              <w:drawing>
                <wp:inline distT="0" distB="0" distL="0" distR="0" wp14:anchorId="528A60B3" wp14:editId="21ACA4FF">
                  <wp:extent cx="5609524" cy="5942857"/>
                  <wp:effectExtent l="0" t="0" r="0" b="1270"/>
                  <wp:docPr id="85254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544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5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BAF2E" w14:textId="77777777" w:rsidR="00B11077" w:rsidRDefault="00B11077" w:rsidP="00895BBD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77882" w:rsidRPr="00EC75BC" w14:paraId="7FB373EC" w14:textId="77777777" w:rsidTr="00A90205">
        <w:trPr>
          <w:trHeight w:val="50"/>
        </w:trPr>
        <w:tc>
          <w:tcPr>
            <w:tcW w:w="228" w:type="pct"/>
            <w:vMerge w:val="restart"/>
          </w:tcPr>
          <w:p w14:paraId="0A744C12" w14:textId="4088C333" w:rsidR="00B11077" w:rsidRPr="00C72EE9" w:rsidRDefault="00B11077" w:rsidP="00C72EE9">
            <w:pPr>
              <w:pStyle w:val="ListParagraph"/>
              <w:numPr>
                <w:ilvl w:val="0"/>
                <w:numId w:val="22"/>
              </w:num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9" w:name="_Hlk110513359"/>
          </w:p>
        </w:tc>
        <w:tc>
          <w:tcPr>
            <w:tcW w:w="4772" w:type="pct"/>
            <w:gridSpan w:val="2"/>
            <w:vAlign w:val="center"/>
          </w:tcPr>
          <w:p w14:paraId="2A970BFB" w14:textId="77777777" w:rsidR="005B0088" w:rsidRPr="00F35C1D" w:rsidRDefault="00B1107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Determine the status. </w:t>
            </w:r>
          </w:p>
        </w:tc>
      </w:tr>
      <w:tr w:rsidR="00C77882" w:rsidRPr="00EC75BC" w14:paraId="0D09590D" w14:textId="77777777" w:rsidTr="00A90205">
        <w:trPr>
          <w:trHeight w:val="47"/>
        </w:trPr>
        <w:tc>
          <w:tcPr>
            <w:tcW w:w="228" w:type="pct"/>
            <w:vMerge/>
          </w:tcPr>
          <w:p w14:paraId="2273197A" w14:textId="77777777" w:rsidR="00B11077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5" w:type="pct"/>
            <w:shd w:val="clear" w:color="auto" w:fill="D9D9D9"/>
          </w:tcPr>
          <w:p w14:paraId="34A510CC" w14:textId="77777777" w:rsidR="00B11077" w:rsidRPr="00B11077" w:rsidRDefault="006A77E7" w:rsidP="00B607E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the T</w:t>
            </w:r>
            <w:r w:rsidR="00B11077" w:rsidRPr="00B11077">
              <w:rPr>
                <w:rFonts w:ascii="Verdana" w:hAnsi="Verdana"/>
                <w:b/>
                <w:bCs/>
              </w:rPr>
              <w:t xml:space="preserve">iering </w:t>
            </w:r>
            <w:r>
              <w:rPr>
                <w:rFonts w:ascii="Verdana" w:hAnsi="Verdana"/>
                <w:b/>
                <w:bCs/>
              </w:rPr>
              <w:t>E</w:t>
            </w:r>
            <w:r w:rsidR="00B11077" w:rsidRPr="00B11077">
              <w:rPr>
                <w:rFonts w:ascii="Verdana" w:hAnsi="Verdana"/>
                <w:b/>
                <w:bCs/>
              </w:rPr>
              <w:t>xception…</w:t>
            </w:r>
          </w:p>
        </w:tc>
        <w:tc>
          <w:tcPr>
            <w:tcW w:w="3097" w:type="pct"/>
            <w:shd w:val="clear" w:color="auto" w:fill="D9D9D9"/>
          </w:tcPr>
          <w:p w14:paraId="3B8233C8" w14:textId="77777777" w:rsidR="00B11077" w:rsidRPr="00B11077" w:rsidRDefault="005313D8" w:rsidP="00B607E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</w:t>
            </w:r>
            <w:r w:rsidR="00B11077" w:rsidRPr="00B11077">
              <w:rPr>
                <w:rFonts w:ascii="Verdana" w:hAnsi="Verdana"/>
                <w:b/>
                <w:bCs/>
              </w:rPr>
              <w:t>…</w:t>
            </w:r>
          </w:p>
        </w:tc>
      </w:tr>
      <w:tr w:rsidR="00C77882" w:rsidRPr="00EC75BC" w14:paraId="2DA98224" w14:textId="77777777" w:rsidTr="00A90205">
        <w:trPr>
          <w:trHeight w:val="47"/>
        </w:trPr>
        <w:tc>
          <w:tcPr>
            <w:tcW w:w="228" w:type="pct"/>
            <w:vMerge/>
          </w:tcPr>
          <w:p w14:paraId="3AA9EF96" w14:textId="77777777" w:rsidR="00B11077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5" w:type="pct"/>
          </w:tcPr>
          <w:p w14:paraId="2459193F" w14:textId="1BA25C96" w:rsidR="00B11077" w:rsidRPr="00357E8F" w:rsidRDefault="00B1107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 w:rsidRPr="00357E8F">
              <w:rPr>
                <w:rFonts w:ascii="Verdana" w:hAnsi="Verdana" w:cs="Arial"/>
              </w:rPr>
              <w:t xml:space="preserve">Is </w:t>
            </w:r>
            <w:r>
              <w:rPr>
                <w:rFonts w:ascii="Verdana" w:hAnsi="Verdana" w:cs="Arial"/>
              </w:rPr>
              <w:t>NOT</w:t>
            </w:r>
            <w:r w:rsidRPr="00357E8F">
              <w:rPr>
                <w:rFonts w:ascii="Verdana" w:hAnsi="Verdana" w:cs="Arial"/>
              </w:rPr>
              <w:t xml:space="preserve"> found in </w:t>
            </w:r>
            <w:r w:rsidR="00CB2AD1">
              <w:rPr>
                <w:rFonts w:ascii="Verdana" w:hAnsi="Verdana" w:cs="Arial"/>
              </w:rPr>
              <w:t>Compass</w:t>
            </w:r>
          </w:p>
        </w:tc>
        <w:tc>
          <w:tcPr>
            <w:tcW w:w="3097" w:type="pct"/>
          </w:tcPr>
          <w:p w14:paraId="092A51DE" w14:textId="66DE720A" w:rsidR="000A115B" w:rsidRDefault="0038134D" w:rsidP="00B607E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</w:t>
            </w:r>
            <w:r w:rsidR="00B11077" w:rsidRPr="00357E8F">
              <w:rPr>
                <w:rFonts w:ascii="Verdana" w:hAnsi="Verdana"/>
              </w:rPr>
              <w:t xml:space="preserve"> the cal</w:t>
            </w:r>
            <w:r w:rsidR="006A77E7">
              <w:rPr>
                <w:rFonts w:ascii="Verdana" w:hAnsi="Verdana"/>
              </w:rPr>
              <w:t xml:space="preserve">ler </w:t>
            </w:r>
            <w:r>
              <w:rPr>
                <w:rFonts w:ascii="Verdana" w:hAnsi="Verdana"/>
              </w:rPr>
              <w:t xml:space="preserve">that </w:t>
            </w:r>
            <w:r w:rsidR="006A77E7">
              <w:rPr>
                <w:rFonts w:ascii="Verdana" w:hAnsi="Verdana"/>
              </w:rPr>
              <w:t xml:space="preserve">there is no </w:t>
            </w:r>
            <w:r w:rsidR="006A77E7" w:rsidRPr="0038134D">
              <w:rPr>
                <w:rFonts w:ascii="Verdana" w:hAnsi="Verdana"/>
                <w:bCs/>
              </w:rPr>
              <w:t>Tiering Exception</w:t>
            </w:r>
            <w:r w:rsidR="00B11077" w:rsidRPr="00357E8F">
              <w:rPr>
                <w:rFonts w:ascii="Verdana" w:hAnsi="Verdana"/>
              </w:rPr>
              <w:t xml:space="preserve"> on file. Educate the caller on the process for requesting.</w:t>
            </w:r>
          </w:p>
          <w:p w14:paraId="37936C2B" w14:textId="77777777" w:rsidR="005B0088" w:rsidRPr="00357E8F" w:rsidRDefault="005B0088" w:rsidP="00B607E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C77882" w:rsidRPr="00EC75BC" w14:paraId="16A076E4" w14:textId="77777777" w:rsidTr="00A90205">
        <w:trPr>
          <w:trHeight w:val="47"/>
        </w:trPr>
        <w:tc>
          <w:tcPr>
            <w:tcW w:w="228" w:type="pct"/>
            <w:vMerge/>
          </w:tcPr>
          <w:p w14:paraId="5AF274B8" w14:textId="77777777" w:rsidR="00B11077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5" w:type="pct"/>
          </w:tcPr>
          <w:p w14:paraId="2274A84A" w14:textId="77777777" w:rsidR="00B11077" w:rsidRPr="00357E8F" w:rsidRDefault="00B1107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 w:rsidRPr="00357E8F">
              <w:rPr>
                <w:rFonts w:ascii="Verdana" w:hAnsi="Verdana" w:cs="Arial"/>
              </w:rPr>
              <w:t xml:space="preserve">Is in progress </w:t>
            </w:r>
          </w:p>
        </w:tc>
        <w:tc>
          <w:tcPr>
            <w:tcW w:w="3097" w:type="pct"/>
          </w:tcPr>
          <w:p w14:paraId="7068D281" w14:textId="753110D3" w:rsidR="000A115B" w:rsidRDefault="0038134D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Inform</w:t>
            </w:r>
            <w:r w:rsidR="00B11077" w:rsidRPr="00357E8F">
              <w:rPr>
                <w:rFonts w:ascii="Verdana" w:hAnsi="Verdana" w:cs="Arial"/>
              </w:rPr>
              <w:t xml:space="preserve"> the caller</w:t>
            </w:r>
            <w:r>
              <w:rPr>
                <w:rFonts w:ascii="Verdana" w:hAnsi="Verdana" w:cs="Arial"/>
              </w:rPr>
              <w:t xml:space="preserve"> of</w:t>
            </w:r>
            <w:r w:rsidR="00B11077" w:rsidRPr="00357E8F">
              <w:rPr>
                <w:rFonts w:ascii="Verdana" w:hAnsi="Verdana" w:cs="Arial"/>
              </w:rPr>
              <w:t xml:space="preserve"> the </w:t>
            </w:r>
            <w:proofErr w:type="gramStart"/>
            <w:r>
              <w:rPr>
                <w:rFonts w:ascii="Verdana" w:hAnsi="Verdana" w:cs="Arial"/>
              </w:rPr>
              <w:t xml:space="preserve">current </w:t>
            </w:r>
            <w:r w:rsidRPr="00357E8F">
              <w:rPr>
                <w:rFonts w:ascii="Verdana" w:hAnsi="Verdana" w:cs="Arial"/>
              </w:rPr>
              <w:t>status</w:t>
            </w:r>
            <w:proofErr w:type="gramEnd"/>
            <w:r>
              <w:rPr>
                <w:rFonts w:ascii="Verdana" w:hAnsi="Verdana" w:cs="Arial"/>
              </w:rPr>
              <w:t xml:space="preserve"> of the Tiering Exception</w:t>
            </w:r>
            <w:r w:rsidR="00B11077" w:rsidRPr="00357E8F">
              <w:rPr>
                <w:rFonts w:ascii="Verdana" w:hAnsi="Verdana" w:cs="Arial"/>
              </w:rPr>
              <w:t>.</w:t>
            </w:r>
          </w:p>
          <w:p w14:paraId="0060A4D7" w14:textId="77777777" w:rsidR="005B0088" w:rsidRPr="00357E8F" w:rsidRDefault="005B0088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</w:p>
        </w:tc>
      </w:tr>
      <w:tr w:rsidR="00C77882" w:rsidRPr="00EC75BC" w14:paraId="46AC6E1A" w14:textId="77777777" w:rsidTr="00A90205">
        <w:trPr>
          <w:trHeight w:val="47"/>
        </w:trPr>
        <w:tc>
          <w:tcPr>
            <w:tcW w:w="228" w:type="pct"/>
            <w:vMerge/>
          </w:tcPr>
          <w:p w14:paraId="24FDD7CE" w14:textId="77777777" w:rsidR="00B11077" w:rsidRDefault="00B11077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5" w:type="pct"/>
          </w:tcPr>
          <w:p w14:paraId="394CCCEA" w14:textId="77777777" w:rsidR="00B11077" w:rsidRPr="00357E8F" w:rsidRDefault="00B11077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 w:rsidRPr="00357E8F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s</w:t>
            </w:r>
            <w:r w:rsidRPr="00357E8F">
              <w:rPr>
                <w:rFonts w:ascii="Verdana" w:hAnsi="Verdana" w:cs="Arial"/>
              </w:rPr>
              <w:t xml:space="preserve"> approved or denied</w:t>
            </w:r>
          </w:p>
        </w:tc>
        <w:tc>
          <w:tcPr>
            <w:tcW w:w="3097" w:type="pct"/>
          </w:tcPr>
          <w:p w14:paraId="525DF936" w14:textId="6AE1A382" w:rsidR="00B11077" w:rsidRPr="00357E8F" w:rsidRDefault="0038134D" w:rsidP="00B607E1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Inform</w:t>
            </w:r>
            <w:r w:rsidR="00B11077" w:rsidRPr="00357E8F">
              <w:rPr>
                <w:rFonts w:ascii="Verdana" w:hAnsi="Verdana" w:cs="Arial"/>
              </w:rPr>
              <w:t xml:space="preserve"> the caller of the approval or denial and next steps. </w:t>
            </w:r>
          </w:p>
          <w:p w14:paraId="7A2E5C0A" w14:textId="77777777" w:rsidR="005B0088" w:rsidRDefault="005B0088" w:rsidP="00B607E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5F8DDA27" w14:textId="77777777" w:rsidR="00B11077" w:rsidRDefault="00B11077" w:rsidP="00B607E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357E8F">
              <w:rPr>
                <w:rFonts w:ascii="Verdana" w:hAnsi="Verdana"/>
                <w:b/>
                <w:bCs/>
              </w:rPr>
              <w:t>Examples:</w:t>
            </w:r>
            <w:r w:rsidRPr="00357E8F">
              <w:rPr>
                <w:rFonts w:ascii="Verdana" w:hAnsi="Verdana"/>
              </w:rPr>
              <w:t xml:space="preserve"> </w:t>
            </w:r>
          </w:p>
          <w:p w14:paraId="5FF6E102" w14:textId="77777777" w:rsidR="00B11077" w:rsidRDefault="00B11077" w:rsidP="00B607E1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357E8F">
              <w:rPr>
                <w:rFonts w:ascii="Verdana" w:hAnsi="Verdana"/>
                <w:b/>
                <w:bCs/>
              </w:rPr>
              <w:t>Approved:</w:t>
            </w:r>
            <w:r w:rsidR="0019553A">
              <w:rPr>
                <w:rFonts w:ascii="Verdana" w:hAnsi="Verdana"/>
                <w:b/>
                <w:bCs/>
              </w:rPr>
              <w:t xml:space="preserve">  </w:t>
            </w:r>
            <w:r w:rsidR="0019553A">
              <w:rPr>
                <w:rFonts w:ascii="Verdana" w:hAnsi="Verdana"/>
                <w:noProof/>
              </w:rPr>
              <w:drawing>
                <wp:inline distT="0" distB="0" distL="0" distR="0" wp14:anchorId="10C81598" wp14:editId="66F1183F">
                  <wp:extent cx="238158" cy="21910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bb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553A">
              <w:rPr>
                <w:rFonts w:ascii="Verdana" w:hAnsi="Verdana"/>
                <w:b/>
                <w:bCs/>
              </w:rPr>
              <w:t xml:space="preserve">  </w:t>
            </w:r>
            <w:r w:rsidRPr="00357E8F">
              <w:rPr>
                <w:rFonts w:ascii="Verdana" w:hAnsi="Verdana"/>
              </w:rPr>
              <w:t xml:space="preserve">The </w:t>
            </w:r>
            <w:r w:rsidRPr="0038134D">
              <w:rPr>
                <w:rFonts w:ascii="Verdana" w:hAnsi="Verdana"/>
              </w:rPr>
              <w:t>Tiering Exception</w:t>
            </w:r>
            <w:r w:rsidRPr="00357E8F">
              <w:rPr>
                <w:rFonts w:ascii="Verdana" w:hAnsi="Verdana"/>
              </w:rPr>
              <w:t xml:space="preserve"> for </w:t>
            </w:r>
            <w:r w:rsidR="0019553A">
              <w:rPr>
                <w:rFonts w:ascii="Verdana" w:hAnsi="Verdana"/>
              </w:rPr>
              <w:t>&lt;</w:t>
            </w:r>
            <w:r w:rsidRPr="00357E8F">
              <w:rPr>
                <w:rFonts w:ascii="Verdana" w:hAnsi="Verdana"/>
              </w:rPr>
              <w:t>medication name</w:t>
            </w:r>
            <w:r w:rsidR="0019553A">
              <w:rPr>
                <w:rFonts w:ascii="Verdana" w:hAnsi="Verdana"/>
              </w:rPr>
              <w:t>&gt;</w:t>
            </w:r>
            <w:r w:rsidRPr="00357E8F">
              <w:rPr>
                <w:rFonts w:ascii="Verdana" w:hAnsi="Verdana"/>
              </w:rPr>
              <w:t xml:space="preserve"> has been approved fo</w:t>
            </w:r>
            <w:r>
              <w:rPr>
                <w:rFonts w:ascii="Verdana" w:hAnsi="Verdana"/>
              </w:rPr>
              <w:t xml:space="preserve">r </w:t>
            </w:r>
            <w:r w:rsidR="0019553A">
              <w:rPr>
                <w:rFonts w:ascii="Verdana" w:hAnsi="Verdana"/>
              </w:rPr>
              <w:t>&lt;</w:t>
            </w:r>
            <w:r>
              <w:rPr>
                <w:rFonts w:ascii="Verdana" w:hAnsi="Verdana"/>
              </w:rPr>
              <w:t>provide number of months</w:t>
            </w:r>
            <w:r w:rsidR="0019553A">
              <w:rPr>
                <w:rFonts w:ascii="Verdana" w:hAnsi="Verdana"/>
              </w:rPr>
              <w:t>&gt;</w:t>
            </w:r>
            <w:r>
              <w:rPr>
                <w:rFonts w:ascii="Verdana" w:hAnsi="Verdana"/>
              </w:rPr>
              <w:t xml:space="preserve">. </w:t>
            </w:r>
          </w:p>
          <w:p w14:paraId="1D22F793" w14:textId="77777777" w:rsidR="005B0088" w:rsidRDefault="005B0088" w:rsidP="00B607E1">
            <w:pPr>
              <w:autoSpaceDE w:val="0"/>
              <w:autoSpaceDN w:val="0"/>
              <w:adjustRightInd w:val="0"/>
              <w:spacing w:before="120" w:after="120"/>
              <w:ind w:left="720"/>
              <w:rPr>
                <w:rFonts w:ascii="Verdana" w:hAnsi="Verdana"/>
              </w:rPr>
            </w:pPr>
          </w:p>
          <w:p w14:paraId="69F080EE" w14:textId="2DFD69DB" w:rsidR="00742260" w:rsidRDefault="00B11077" w:rsidP="00B607E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357E8F">
              <w:rPr>
                <w:rFonts w:ascii="Verdana" w:hAnsi="Verdana"/>
                <w:b/>
                <w:bCs/>
              </w:rPr>
              <w:t>Denied:</w:t>
            </w:r>
            <w:r w:rsidR="0019553A">
              <w:rPr>
                <w:rFonts w:ascii="Verdana" w:hAnsi="Verdana"/>
                <w:b/>
                <w:bCs/>
              </w:rPr>
              <w:t xml:space="preserve">  </w:t>
            </w:r>
            <w:r w:rsidR="0019553A">
              <w:rPr>
                <w:rFonts w:ascii="Verdana" w:hAnsi="Verdana"/>
                <w:noProof/>
              </w:rPr>
              <w:drawing>
                <wp:inline distT="0" distB="0" distL="0" distR="0" wp14:anchorId="4A3C1349" wp14:editId="7DBCAEA8">
                  <wp:extent cx="238158" cy="21910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bb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553A">
              <w:rPr>
                <w:rFonts w:ascii="Verdana" w:hAnsi="Verdana"/>
                <w:b/>
                <w:bCs/>
              </w:rPr>
              <w:t xml:space="preserve">  </w:t>
            </w:r>
            <w:r w:rsidRPr="00357E8F">
              <w:rPr>
                <w:rFonts w:ascii="Verdana" w:hAnsi="Verdana"/>
              </w:rPr>
              <w:t xml:space="preserve">I understand that obtaining the medication is important. The </w:t>
            </w:r>
            <w:r w:rsidRPr="0038134D">
              <w:rPr>
                <w:rFonts w:ascii="Verdana" w:hAnsi="Verdana"/>
              </w:rPr>
              <w:t>Tiering Exception</w:t>
            </w:r>
            <w:r w:rsidRPr="00357E8F">
              <w:rPr>
                <w:rFonts w:ascii="Verdana" w:hAnsi="Verdana"/>
              </w:rPr>
              <w:t xml:space="preserve"> has been denied. Please follow up with the prescriber for an explanation. </w:t>
            </w:r>
            <w:r w:rsidR="004810E1">
              <w:rPr>
                <w:rFonts w:ascii="Verdana" w:hAnsi="Verdana"/>
              </w:rPr>
              <w:t>Beneficiarie</w:t>
            </w:r>
            <w:r w:rsidR="00742260">
              <w:rPr>
                <w:rFonts w:ascii="Verdana" w:hAnsi="Verdana"/>
              </w:rPr>
              <w:t>s may</w:t>
            </w:r>
            <w:r w:rsidRPr="00357E8F">
              <w:rPr>
                <w:rFonts w:ascii="Verdana" w:hAnsi="Verdana"/>
              </w:rPr>
              <w:t xml:space="preserve"> choose to pay out of pocket for the medication or discuss alternative medications with their prescriber. If you’d like, I’ll be happy to search for potentially cost-saving alternatives.</w:t>
            </w:r>
            <w:r w:rsidR="00C62CAD">
              <w:rPr>
                <w:rFonts w:ascii="Verdana" w:hAnsi="Verdana"/>
              </w:rPr>
              <w:t xml:space="preserve"> </w:t>
            </w:r>
          </w:p>
          <w:p w14:paraId="0DA929C8" w14:textId="1F6DBE8D" w:rsidR="005B0088" w:rsidRPr="008879EA" w:rsidRDefault="00C62CAD" w:rsidP="00CE36CD">
            <w:pPr>
              <w:numPr>
                <w:ilvl w:val="1"/>
                <w:numId w:val="1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8879EA">
              <w:rPr>
                <w:rFonts w:ascii="Verdana" w:hAnsi="Verdana"/>
              </w:rPr>
              <w:t xml:space="preserve">Create a </w:t>
            </w:r>
            <w:r w:rsidR="00157D31" w:rsidRPr="008879EA">
              <w:rPr>
                <w:rFonts w:ascii="Verdana" w:hAnsi="Verdana"/>
              </w:rPr>
              <w:t>Support</w:t>
            </w:r>
            <w:r w:rsidRPr="008879EA">
              <w:rPr>
                <w:rFonts w:ascii="Verdana" w:hAnsi="Verdana"/>
              </w:rPr>
              <w:t xml:space="preserve"> Task</w:t>
            </w:r>
            <w:r w:rsidR="00CB0679">
              <w:rPr>
                <w:rFonts w:ascii="Verdana" w:hAnsi="Verdana"/>
              </w:rPr>
              <w:t xml:space="preserve"> for </w:t>
            </w:r>
            <w:proofErr w:type="spellStart"/>
            <w:r w:rsidR="00CB0679">
              <w:rPr>
                <w:rFonts w:ascii="Verdana" w:hAnsi="Verdana"/>
              </w:rPr>
              <w:t>CD&amp;A</w:t>
            </w:r>
            <w:proofErr w:type="spellEnd"/>
            <w:r w:rsidR="0061661C">
              <w:rPr>
                <w:rFonts w:ascii="Verdana" w:hAnsi="Verdana"/>
              </w:rPr>
              <w:t>;</w:t>
            </w:r>
            <w:r w:rsidRPr="008879EA">
              <w:rPr>
                <w:rFonts w:ascii="Verdana" w:hAnsi="Verdana"/>
              </w:rPr>
              <w:t xml:space="preserve"> refer to</w:t>
            </w:r>
            <w:r w:rsidR="00CB0679">
              <w:rPr>
                <w:rFonts w:ascii="Verdana" w:hAnsi="Verdana"/>
              </w:rPr>
              <w:t xml:space="preserve"> </w:t>
            </w:r>
            <w:hyperlink r:id="rId22" w:anchor="!/view?docid=a23bc09d-37f7-4105-ba57-d4e9d7f512ff" w:history="1">
              <w:r w:rsidR="0061661C" w:rsidRPr="00972EFF">
                <w:rPr>
                  <w:rStyle w:val="Hyperlink"/>
                  <w:rFonts w:ascii="Verdana" w:hAnsi="Verdana"/>
                </w:rPr>
                <w:t>Compass MED D - CCR - Coverage Determinations and Redeterminations (Appeals) (064997)</w:t>
              </w:r>
            </w:hyperlink>
            <w:r w:rsidR="00B150AB">
              <w:rPr>
                <w:rFonts w:ascii="Verdana" w:hAnsi="Verdana"/>
              </w:rPr>
              <w:t>.</w:t>
            </w:r>
            <w:r w:rsidR="004810E1">
              <w:rPr>
                <w:rFonts w:ascii="Verdana" w:hAnsi="Verdana"/>
              </w:rPr>
              <w:t>Beneficiarie</w:t>
            </w:r>
            <w:r w:rsidR="00B11077" w:rsidRPr="008879EA">
              <w:rPr>
                <w:rFonts w:ascii="Verdana" w:hAnsi="Verdana"/>
              </w:rPr>
              <w:t>s have the right to request an appeal</w:t>
            </w:r>
            <w:r w:rsidR="000E66AE" w:rsidRPr="008879EA">
              <w:rPr>
                <w:rFonts w:ascii="Verdana" w:hAnsi="Verdana"/>
              </w:rPr>
              <w:t xml:space="preserve"> (redetermination)</w:t>
            </w:r>
            <w:r w:rsidR="00B11077" w:rsidRPr="008879EA">
              <w:rPr>
                <w:rFonts w:ascii="Verdana" w:hAnsi="Verdana"/>
              </w:rPr>
              <w:t>, also referred to as a redetermination, if they have</w:t>
            </w:r>
            <w:r w:rsidR="006A77E7" w:rsidRPr="008879EA">
              <w:rPr>
                <w:rFonts w:ascii="Verdana" w:hAnsi="Verdana"/>
              </w:rPr>
              <w:t xml:space="preserve"> been denied a </w:t>
            </w:r>
            <w:r w:rsidR="006A77E7" w:rsidRPr="008879EA">
              <w:rPr>
                <w:rFonts w:ascii="Verdana" w:hAnsi="Verdana"/>
                <w:b/>
              </w:rPr>
              <w:t>Tiering Exception</w:t>
            </w:r>
            <w:r w:rsidR="00B11077" w:rsidRPr="008879EA">
              <w:rPr>
                <w:rFonts w:ascii="Verdana" w:hAnsi="Verdana"/>
              </w:rPr>
              <w:t>. Refer to</w:t>
            </w:r>
            <w:r w:rsidR="00395E2F">
              <w:rPr>
                <w:rFonts w:ascii="Verdana" w:hAnsi="Verdana"/>
              </w:rPr>
              <w:t xml:space="preserve"> </w:t>
            </w:r>
            <w:hyperlink r:id="rId23" w:anchor="!/view?docid=a23bc09d-37f7-4105-ba57-d4e9d7f512ff" w:history="1">
              <w:r w:rsidR="00B150AB" w:rsidRPr="00972EFF">
                <w:rPr>
                  <w:rStyle w:val="Hyperlink"/>
                  <w:rFonts w:ascii="Verdana" w:hAnsi="Verdana"/>
                </w:rPr>
                <w:t>Compass MED D - CCR - Coverage Determinations and Redeterminations (Appeals) (064997)</w:t>
              </w:r>
            </w:hyperlink>
            <w:r w:rsidR="004555CD" w:rsidRPr="008879EA">
              <w:rPr>
                <w:rFonts w:ascii="Verdana" w:hAnsi="Verdana"/>
              </w:rPr>
              <w:t>.</w:t>
            </w:r>
          </w:p>
          <w:p w14:paraId="3BF52580" w14:textId="03CDEA7B" w:rsidR="00C62CAD" w:rsidRPr="00727795" w:rsidRDefault="00C62CAD" w:rsidP="00B607E1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40"/>
              <w:rPr>
                <w:rFonts w:ascii="Verdana" w:hAnsi="Verdana"/>
              </w:rPr>
            </w:pPr>
          </w:p>
        </w:tc>
      </w:tr>
    </w:tbl>
    <w:p w14:paraId="016202AF" w14:textId="77777777" w:rsidR="00BF5078" w:rsidRDefault="00BF5078" w:rsidP="00B607E1">
      <w:pPr>
        <w:spacing w:before="120" w:after="120"/>
        <w:rPr>
          <w:rFonts w:ascii="Verdana" w:hAnsi="Verdana"/>
        </w:rPr>
      </w:pPr>
      <w:bookmarkStart w:id="10" w:name="_Identifying_a_Tiering"/>
      <w:bookmarkEnd w:id="9"/>
      <w:bookmarkEnd w:id="10"/>
    </w:p>
    <w:p w14:paraId="280DA5DA" w14:textId="77777777" w:rsidR="00130505" w:rsidRDefault="00A15728" w:rsidP="00B607E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A4F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30505" w:rsidRPr="00BF74E9" w14:paraId="5C2DBC55" w14:textId="77777777" w:rsidTr="00323644">
        <w:tc>
          <w:tcPr>
            <w:tcW w:w="5000" w:type="pct"/>
            <w:shd w:val="clear" w:color="auto" w:fill="C0C0C0"/>
          </w:tcPr>
          <w:p w14:paraId="2EA07177" w14:textId="77777777" w:rsidR="00130505" w:rsidRPr="00D32D37" w:rsidRDefault="00130505" w:rsidP="00B607E1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202437699"/>
            <w:r>
              <w:rPr>
                <w:rFonts w:ascii="Verdana" w:hAnsi="Verdana"/>
                <w:i w:val="0"/>
                <w:iCs w:val="0"/>
              </w:rPr>
              <w:t>Previously Paid Claim before Exception</w:t>
            </w:r>
            <w:bookmarkEnd w:id="11"/>
          </w:p>
        </w:tc>
      </w:tr>
    </w:tbl>
    <w:p w14:paraId="619EDFC2" w14:textId="48BC42AF" w:rsidR="00130505" w:rsidRDefault="00323644" w:rsidP="00B607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F</w:t>
      </w:r>
      <w:r w:rsidRPr="00C21EC3">
        <w:rPr>
          <w:rFonts w:ascii="Verdana" w:hAnsi="Verdana"/>
        </w:rPr>
        <w:t xml:space="preserve">or </w:t>
      </w:r>
      <w:r w:rsidR="004810E1">
        <w:rPr>
          <w:rFonts w:ascii="Verdana" w:hAnsi="Verdana"/>
        </w:rPr>
        <w:t>beneficiarie</w:t>
      </w:r>
      <w:r w:rsidRPr="00C21EC3">
        <w:rPr>
          <w:rFonts w:ascii="Verdana" w:hAnsi="Verdana"/>
        </w:rPr>
        <w:t xml:space="preserve">s sending in the information </w:t>
      </w:r>
      <w:proofErr w:type="gramStart"/>
      <w:r w:rsidRPr="00C21EC3">
        <w:rPr>
          <w:rFonts w:ascii="Verdana" w:hAnsi="Verdana"/>
        </w:rPr>
        <w:t>of</w:t>
      </w:r>
      <w:proofErr w:type="gramEnd"/>
      <w:r w:rsidRPr="00C21EC3">
        <w:rPr>
          <w:rFonts w:ascii="Verdana" w:hAnsi="Verdana"/>
        </w:rPr>
        <w:t xml:space="preserve"> previously paid claims that were </w:t>
      </w:r>
      <w:r>
        <w:rPr>
          <w:rFonts w:ascii="Verdana" w:hAnsi="Verdana"/>
        </w:rPr>
        <w:t xml:space="preserve">purchased prior to an approved </w:t>
      </w:r>
      <w:r w:rsidRPr="00C21EC3">
        <w:rPr>
          <w:rFonts w:ascii="Verdana" w:hAnsi="Verdana"/>
        </w:rPr>
        <w:t xml:space="preserve">exception </w:t>
      </w:r>
      <w:r>
        <w:rPr>
          <w:rFonts w:ascii="Verdana" w:hAnsi="Verdana"/>
        </w:rPr>
        <w:t xml:space="preserve">being </w:t>
      </w:r>
      <w:r w:rsidRPr="00C21EC3">
        <w:rPr>
          <w:rFonts w:ascii="Verdana" w:hAnsi="Verdana"/>
        </w:rPr>
        <w:t>in place</w:t>
      </w:r>
      <w:r>
        <w:rPr>
          <w:rFonts w:ascii="Verdana" w:hAnsi="Verdana"/>
        </w:rPr>
        <w:t>, 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130505" w:rsidRPr="0012424F" w14:paraId="63A5D43D" w14:textId="77777777" w:rsidTr="00CE36CD">
        <w:tc>
          <w:tcPr>
            <w:tcW w:w="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FAF397" w14:textId="77777777" w:rsidR="00130505" w:rsidRPr="0012424F" w:rsidRDefault="00130505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2424F">
              <w:rPr>
                <w:rFonts w:ascii="Verdana" w:hAnsi="Verdana"/>
                <w:b/>
              </w:rPr>
              <w:t>Step</w:t>
            </w:r>
          </w:p>
        </w:tc>
        <w:tc>
          <w:tcPr>
            <w:tcW w:w="4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5FA0BB" w14:textId="77777777" w:rsidR="00130505" w:rsidRPr="0012424F" w:rsidRDefault="00130505" w:rsidP="00B607E1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 w:cs="Arial"/>
                <w:b/>
              </w:rPr>
            </w:pPr>
            <w:r w:rsidRPr="0012424F">
              <w:rPr>
                <w:rFonts w:ascii="Verdana" w:hAnsi="Verdana" w:cs="Arial"/>
                <w:b/>
              </w:rPr>
              <w:t>Action</w:t>
            </w:r>
          </w:p>
        </w:tc>
      </w:tr>
      <w:tr w:rsidR="00130505" w:rsidRPr="00F35C1D" w14:paraId="143DE4AA" w14:textId="77777777" w:rsidTr="00642E11">
        <w:tc>
          <w:tcPr>
            <w:tcW w:w="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0BBD" w14:textId="77777777" w:rsidR="00130505" w:rsidRPr="00FB5FA7" w:rsidRDefault="00D20CF6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9D71" w14:textId="166A2F9B" w:rsidR="00530040" w:rsidRDefault="00130505" w:rsidP="00F74F74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bCs/>
                <w:color w:val="333333"/>
              </w:rPr>
            </w:pPr>
            <w:r w:rsidRPr="00CE36CD">
              <w:rPr>
                <w:rFonts w:ascii="Verdana" w:hAnsi="Verdana"/>
                <w:bCs/>
              </w:rPr>
              <w:t xml:space="preserve">Send the </w:t>
            </w:r>
            <w:r w:rsidR="004810E1" w:rsidRPr="00CE36CD">
              <w:rPr>
                <w:rFonts w:ascii="Verdana" w:hAnsi="Verdana"/>
                <w:bCs/>
              </w:rPr>
              <w:t>beneficiary</w:t>
            </w:r>
            <w:r w:rsidRPr="00CE36CD">
              <w:rPr>
                <w:rFonts w:ascii="Verdana" w:hAnsi="Verdana"/>
                <w:bCs/>
              </w:rPr>
              <w:t xml:space="preserve"> the Rx Claim Form</w:t>
            </w:r>
            <w:r w:rsidR="00F74F74" w:rsidRPr="00CE36CD">
              <w:rPr>
                <w:rFonts w:ascii="Verdana" w:hAnsi="Verdana"/>
                <w:bCs/>
              </w:rPr>
              <w:t>;</w:t>
            </w:r>
            <w:r w:rsidRPr="00CE36CD">
              <w:rPr>
                <w:rFonts w:ascii="Verdana" w:hAnsi="Verdana"/>
                <w:bCs/>
              </w:rPr>
              <w:t xml:space="preserve"> refer </w:t>
            </w:r>
            <w:r w:rsidR="00742260" w:rsidRPr="00CE36CD">
              <w:rPr>
                <w:rFonts w:ascii="Verdana" w:hAnsi="Verdana"/>
                <w:bCs/>
              </w:rPr>
              <w:t>to</w:t>
            </w:r>
            <w:r w:rsidR="00F74F74" w:rsidRPr="00CE36CD">
              <w:rPr>
                <w:rFonts w:ascii="Verdana" w:hAnsi="Verdana"/>
                <w:bCs/>
              </w:rPr>
              <w:t xml:space="preserve"> </w:t>
            </w:r>
            <w:hyperlink r:id="rId24" w:anchor="!/view?docid=59458286-c3a2-4924-9f92-7a55cb5defb9" w:history="1">
              <w:r w:rsidR="00F74F74" w:rsidRPr="00F74F74">
                <w:rPr>
                  <w:rStyle w:val="Hyperlink"/>
                  <w:rFonts w:ascii="Verdana" w:hAnsi="Verdana"/>
                  <w:bCs/>
                </w:rPr>
                <w:t>Compass MED D - Researching and Submitting Paper Claims (061799)</w:t>
              </w:r>
            </w:hyperlink>
            <w:r w:rsidRPr="003D1601">
              <w:rPr>
                <w:rFonts w:ascii="Verdana" w:hAnsi="Verdana"/>
                <w:bCs/>
                <w:color w:val="333333"/>
              </w:rPr>
              <w:t>.</w:t>
            </w:r>
          </w:p>
          <w:p w14:paraId="4590CFAD" w14:textId="77777777" w:rsidR="006E279F" w:rsidRDefault="006E279F" w:rsidP="006E7935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bCs/>
                <w:color w:val="333333"/>
              </w:rPr>
            </w:pPr>
          </w:p>
          <w:p w14:paraId="0DEB3ADD" w14:textId="02B10A4E" w:rsidR="006E279F" w:rsidRPr="006E279F" w:rsidRDefault="006E279F" w:rsidP="006E7935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bCs/>
                <w:color w:val="333333"/>
              </w:rPr>
            </w:pPr>
            <w:r w:rsidRPr="00CE36CD">
              <w:rPr>
                <w:rFonts w:ascii="Verdana" w:hAnsi="Verdana"/>
                <w:b/>
              </w:rPr>
              <w:t xml:space="preserve">Note: </w:t>
            </w:r>
            <w:r w:rsidRPr="00CE36CD">
              <w:rPr>
                <w:rFonts w:ascii="Verdana" w:hAnsi="Verdana"/>
                <w:bCs/>
              </w:rPr>
              <w:t xml:space="preserve">Inform the </w:t>
            </w:r>
            <w:r w:rsidR="004810E1" w:rsidRPr="00CE36CD">
              <w:rPr>
                <w:rFonts w:ascii="Verdana" w:hAnsi="Verdana"/>
                <w:bCs/>
              </w:rPr>
              <w:t>beneficiary</w:t>
            </w:r>
            <w:r w:rsidRPr="00CE36CD">
              <w:rPr>
                <w:rFonts w:ascii="Verdana" w:hAnsi="Verdana"/>
                <w:bCs/>
              </w:rPr>
              <w:t xml:space="preserve"> that the ETA is 45</w:t>
            </w:r>
            <w:r w:rsidRPr="00CE36CD">
              <w:rPr>
                <w:rFonts w:ascii="Verdana" w:hAnsi="Verdana"/>
                <w:b/>
              </w:rPr>
              <w:t xml:space="preserve"> </w:t>
            </w:r>
            <w:r w:rsidRPr="00CE36CD">
              <w:rPr>
                <w:rFonts w:ascii="Verdana" w:hAnsi="Verdana"/>
                <w:bCs/>
              </w:rPr>
              <w:t>days.</w:t>
            </w:r>
          </w:p>
        </w:tc>
      </w:tr>
      <w:tr w:rsidR="00130505" w:rsidRPr="00F35C1D" w14:paraId="6C34B84A" w14:textId="77777777" w:rsidTr="00642E11">
        <w:tc>
          <w:tcPr>
            <w:tcW w:w="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FF6" w14:textId="77777777" w:rsidR="00130505" w:rsidRPr="00FB5FA7" w:rsidRDefault="00D20CF6" w:rsidP="00B607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D429" w14:textId="60C62847" w:rsidR="00B607E1" w:rsidRDefault="002876C1" w:rsidP="00B607E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bookmarkStart w:id="12" w:name="OLE_LINK5"/>
            <w:r>
              <w:rPr>
                <w:rFonts w:ascii="Verdana" w:hAnsi="Verdana"/>
              </w:rPr>
              <w:t xml:space="preserve">In the case that a </w:t>
            </w:r>
            <w:r w:rsidR="004810E1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received medications via mail order, submit</w:t>
            </w:r>
            <w:r w:rsidR="00B607E1">
              <w:rPr>
                <w:rFonts w:ascii="Verdana" w:hAnsi="Verdana"/>
              </w:rPr>
              <w:t xml:space="preserve"> a </w:t>
            </w:r>
            <w:r w:rsidR="00541DCC">
              <w:rPr>
                <w:rFonts w:ascii="Verdana" w:hAnsi="Verdana"/>
              </w:rPr>
              <w:t>Support</w:t>
            </w:r>
            <w:r w:rsidR="00B607E1">
              <w:rPr>
                <w:rFonts w:ascii="Verdana" w:hAnsi="Verdana"/>
              </w:rPr>
              <w:t xml:space="preserve"> Task to reverse and reprocess</w:t>
            </w:r>
            <w:r>
              <w:rPr>
                <w:rFonts w:ascii="Verdana" w:hAnsi="Verdana"/>
              </w:rPr>
              <w:t xml:space="preserve"> this</w:t>
            </w:r>
            <w:r w:rsidR="00B607E1">
              <w:rPr>
                <w:rFonts w:ascii="Verdana" w:hAnsi="Verdana"/>
              </w:rPr>
              <w:t xml:space="preserve"> claim to reimburse</w:t>
            </w:r>
            <w:r>
              <w:rPr>
                <w:rFonts w:ascii="Verdana" w:hAnsi="Verdana"/>
              </w:rPr>
              <w:t xml:space="preserve"> the</w:t>
            </w:r>
            <w:r w:rsidR="00B607E1">
              <w:rPr>
                <w:rFonts w:ascii="Verdana" w:hAnsi="Verdana"/>
              </w:rPr>
              <w:t xml:space="preserve"> </w:t>
            </w:r>
            <w:r w:rsidR="004810E1">
              <w:rPr>
                <w:rFonts w:ascii="Verdana" w:hAnsi="Verdana"/>
              </w:rPr>
              <w:t>beneficiary</w:t>
            </w:r>
            <w:r w:rsidR="00B607E1">
              <w:rPr>
                <w:rFonts w:ascii="Verdana" w:hAnsi="Verdana"/>
              </w:rPr>
              <w:t>.</w:t>
            </w:r>
            <w:r w:rsidR="00F40B76">
              <w:rPr>
                <w:rFonts w:ascii="Verdana" w:hAnsi="Verdana"/>
              </w:rPr>
              <w:t xml:space="preserve"> Refer to </w:t>
            </w:r>
            <w:r w:rsidR="008C21AC">
              <w:rPr>
                <w:rFonts w:ascii="Verdana" w:hAnsi="Verdana"/>
              </w:rPr>
              <w:t xml:space="preserve"> </w:t>
            </w:r>
            <w:r w:rsidR="00E839D7">
              <w:rPr>
                <w:rFonts w:ascii="Verdana" w:hAnsi="Verdana"/>
              </w:rPr>
              <w:t>as needed.</w:t>
            </w:r>
          </w:p>
          <w:p w14:paraId="6D878C92" w14:textId="77777777" w:rsidR="00B607E1" w:rsidRDefault="00B607E1" w:rsidP="00B607E1">
            <w:pPr>
              <w:pStyle w:val="ListParagraph"/>
              <w:spacing w:before="120" w:after="120" w:line="240" w:lineRule="atLeast"/>
              <w:rPr>
                <w:color w:val="000000"/>
              </w:rPr>
            </w:pPr>
          </w:p>
          <w:p w14:paraId="0428AEB6" w14:textId="47194A61" w:rsidR="00B607E1" w:rsidRDefault="00B607E1" w:rsidP="00B607E1">
            <w:pPr>
              <w:spacing w:before="120" w:after="120" w:line="240" w:lineRule="atLeast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>
              <w:rPr>
                <w:rFonts w:ascii="Verdana" w:hAnsi="Verdana"/>
                <w:color w:val="000000"/>
              </w:rPr>
              <w:t xml:space="preserve">The following details will need </w:t>
            </w:r>
            <w:proofErr w:type="gramStart"/>
            <w:r>
              <w:rPr>
                <w:rFonts w:ascii="Verdana" w:hAnsi="Verdana"/>
                <w:color w:val="000000"/>
              </w:rPr>
              <w:t>populating</w:t>
            </w:r>
            <w:proofErr w:type="gramEnd"/>
            <w:r>
              <w:rPr>
                <w:rFonts w:ascii="Verdana" w:hAnsi="Verdana"/>
                <w:color w:val="000000"/>
              </w:rPr>
              <w:t>:</w:t>
            </w:r>
          </w:p>
          <w:p w14:paraId="27C31E5C" w14:textId="77777777" w:rsidR="00B607E1" w:rsidRDefault="00B607E1" w:rsidP="00B607E1">
            <w:pPr>
              <w:numPr>
                <w:ilvl w:val="0"/>
                <w:numId w:val="16"/>
              </w:numPr>
              <w:spacing w:before="120" w:after="120" w:line="240" w:lineRule="atLeast"/>
              <w:ind w:left="992" w:firstLine="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Order Number</w:t>
            </w:r>
          </w:p>
          <w:p w14:paraId="037089A4" w14:textId="77777777" w:rsidR="00B607E1" w:rsidRDefault="00B607E1" w:rsidP="00B607E1">
            <w:pPr>
              <w:numPr>
                <w:ilvl w:val="0"/>
                <w:numId w:val="16"/>
              </w:numPr>
              <w:spacing w:before="120" w:after="120"/>
              <w:ind w:left="992" w:firstLine="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Prescription Number</w:t>
            </w:r>
          </w:p>
          <w:p w14:paraId="0F5D005E" w14:textId="77777777" w:rsidR="00B607E1" w:rsidRDefault="00B607E1" w:rsidP="00B607E1">
            <w:pPr>
              <w:numPr>
                <w:ilvl w:val="0"/>
                <w:numId w:val="16"/>
              </w:numPr>
              <w:spacing w:before="120" w:after="120"/>
              <w:ind w:left="992" w:firstLine="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Drug name</w:t>
            </w:r>
          </w:p>
          <w:p w14:paraId="7DE3DAEE" w14:textId="18BD2099" w:rsidR="00B607E1" w:rsidRPr="006E279F" w:rsidRDefault="00B607E1" w:rsidP="00B607E1">
            <w:pPr>
              <w:numPr>
                <w:ilvl w:val="0"/>
                <w:numId w:val="16"/>
              </w:numPr>
              <w:spacing w:before="120" w:after="120"/>
              <w:ind w:left="992" w:firstLine="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Fill Date for the prescription in question</w:t>
            </w:r>
          </w:p>
          <w:p w14:paraId="2A984674" w14:textId="57FBEDBD" w:rsidR="006E279F" w:rsidRPr="00CE36CD" w:rsidRDefault="004F3980" w:rsidP="00A62EE0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bookmarkStart w:id="13" w:name="OLE_LINK35"/>
            <w:r w:rsidRPr="00CE36CD">
              <w:rPr>
                <w:rFonts w:ascii="Verdana" w:hAnsi="Verdana"/>
                <w:bCs/>
                <w:sz w:val="24"/>
                <w:szCs w:val="24"/>
              </w:rPr>
              <w:t xml:space="preserve">If there is a balance for the order that is being reversed and reprocessed, the </w:t>
            </w:r>
            <w:r w:rsidR="004810E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Pr="00CE36CD">
              <w:rPr>
                <w:rFonts w:ascii="Verdana" w:hAnsi="Verdana"/>
                <w:bCs/>
                <w:sz w:val="24"/>
                <w:szCs w:val="24"/>
              </w:rPr>
              <w:t xml:space="preserve"> will receive a check to pay off the difference, but </w:t>
            </w:r>
            <w:r w:rsidR="004810E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Pr="00CE36CD">
              <w:rPr>
                <w:rFonts w:ascii="Verdana" w:hAnsi="Verdana"/>
                <w:bCs/>
                <w:sz w:val="24"/>
                <w:szCs w:val="24"/>
              </w:rPr>
              <w:t xml:space="preserve"> is still responsible for paying off their portion of the difference. If there is no balance in transaction history, the </w:t>
            </w:r>
            <w:r w:rsidR="004810E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Pr="00CE36CD">
              <w:rPr>
                <w:rFonts w:ascii="Verdana" w:hAnsi="Verdana"/>
                <w:bCs/>
                <w:sz w:val="24"/>
                <w:szCs w:val="24"/>
              </w:rPr>
              <w:t xml:space="preserve"> will receive </w:t>
            </w:r>
            <w:r w:rsidR="0076157F">
              <w:rPr>
                <w:rFonts w:ascii="Verdana" w:hAnsi="Verdana"/>
                <w:bCs/>
                <w:sz w:val="24"/>
                <w:szCs w:val="24"/>
              </w:rPr>
              <w:t xml:space="preserve">a </w:t>
            </w:r>
            <w:r w:rsidRPr="00CE36CD">
              <w:rPr>
                <w:rFonts w:ascii="Verdana" w:hAnsi="Verdana"/>
                <w:bCs/>
                <w:sz w:val="24"/>
                <w:szCs w:val="24"/>
              </w:rPr>
              <w:t>reimbursement check.</w:t>
            </w:r>
          </w:p>
          <w:bookmarkEnd w:id="12"/>
          <w:bookmarkEnd w:id="13"/>
          <w:p w14:paraId="44402769" w14:textId="024DE4F0" w:rsidR="006B7A98" w:rsidRPr="003D1601" w:rsidRDefault="006B7A98" w:rsidP="006E7935">
            <w:pPr>
              <w:pStyle w:val="NormalWeb"/>
              <w:spacing w:before="120" w:beforeAutospacing="0" w:after="120" w:afterAutospacing="0"/>
              <w:rPr>
                <w:rFonts w:ascii="Verdana" w:hAnsi="Verdana" w:cs="Arial"/>
              </w:rPr>
            </w:pPr>
          </w:p>
        </w:tc>
      </w:tr>
    </w:tbl>
    <w:p w14:paraId="357A03CF" w14:textId="77777777" w:rsidR="006B7A98" w:rsidRPr="00EB1F94" w:rsidRDefault="006B7A98" w:rsidP="00B607E1">
      <w:pPr>
        <w:spacing w:before="120" w:after="120"/>
        <w:rPr>
          <w:rFonts w:ascii="Verdana" w:hAnsi="Verdana"/>
        </w:rPr>
      </w:pPr>
    </w:p>
    <w:p w14:paraId="748D3DAC" w14:textId="77777777" w:rsidR="004D4057" w:rsidRDefault="004D4057" w:rsidP="00B607E1">
      <w:pPr>
        <w:spacing w:before="120" w:after="120"/>
        <w:jc w:val="right"/>
        <w:rPr>
          <w:rStyle w:val="Hyperlink"/>
          <w:rFonts w:ascii="Verdana" w:hAnsi="Verdana"/>
        </w:rPr>
      </w:pPr>
    </w:p>
    <w:p w14:paraId="6983F0CF" w14:textId="77777777" w:rsidR="00677CDD" w:rsidRPr="005D7976" w:rsidRDefault="00A15728" w:rsidP="00B607E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A4F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77CDD" w:rsidRPr="005D7976" w14:paraId="50D6A229" w14:textId="77777777" w:rsidTr="005C00C7">
        <w:tc>
          <w:tcPr>
            <w:tcW w:w="5000" w:type="pct"/>
            <w:shd w:val="clear" w:color="auto" w:fill="C0C0C0"/>
          </w:tcPr>
          <w:p w14:paraId="05BA22D3" w14:textId="77777777" w:rsidR="00677CDD" w:rsidRPr="005D7976" w:rsidRDefault="00677CDD" w:rsidP="00B607E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9940889"/>
            <w:bookmarkStart w:id="15" w:name="_Toc202437700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  <w:bookmarkEnd w:id="15"/>
          </w:p>
        </w:tc>
      </w:tr>
    </w:tbl>
    <w:p w14:paraId="5517F0DC" w14:textId="04C5BCB9" w:rsidR="00677CDD" w:rsidRDefault="00677CDD" w:rsidP="00B607E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</w:t>
      </w:r>
      <w:r w:rsidR="00797184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 xml:space="preserve">: </w:t>
      </w:r>
      <w:hyperlink r:id="rId25" w:history="1">
        <w:r w:rsidRPr="00FD1F06">
          <w:rPr>
            <w:rStyle w:val="Hyperlink"/>
            <w:rFonts w:ascii="Verdana" w:hAnsi="Verdana"/>
          </w:rPr>
          <w:t>CALL-0011</w:t>
        </w:r>
      </w:hyperlink>
    </w:p>
    <w:p w14:paraId="212F7806" w14:textId="77777777" w:rsidR="004A4FF6" w:rsidRPr="004A4FF6" w:rsidRDefault="00677CDD" w:rsidP="004A4FF6">
      <w:pPr>
        <w:spacing w:before="120" w:after="120"/>
        <w:rPr>
          <w:rFonts w:ascii="Verdana" w:hAnsi="Verdana"/>
        </w:rPr>
      </w:pPr>
      <w:r w:rsidRPr="004A4FF6">
        <w:rPr>
          <w:rFonts w:ascii="Verdana" w:hAnsi="Verdana"/>
          <w:b/>
        </w:rPr>
        <w:t xml:space="preserve">Abbreviations/Definitions: </w:t>
      </w:r>
      <w:r w:rsidR="004A4FF6" w:rsidRPr="004A4FF6">
        <w:rPr>
          <w:rFonts w:ascii="Verdana" w:hAnsi="Verdana"/>
          <w:b/>
          <w:bCs/>
        </w:rPr>
        <w:t> </w:t>
      </w:r>
      <w:hyperlink r:id="rId26" w:anchor="!/view?docid=c1f1028b-e42c-4b4f-a4cf-cc0b42c91606" w:tgtFrame="_blank" w:history="1">
        <w:r w:rsidR="004A4FF6" w:rsidRPr="004A4FF6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351C4849" w14:textId="77777777" w:rsidR="004A4FF6" w:rsidRPr="004A4FF6" w:rsidRDefault="004A4FF6" w:rsidP="004A4FF6">
      <w:pPr>
        <w:spacing w:before="120" w:after="120"/>
      </w:pPr>
      <w:r w:rsidRPr="004A4FF6">
        <w:t> </w:t>
      </w:r>
    </w:p>
    <w:p w14:paraId="12800C54" w14:textId="190DE4A6" w:rsidR="00F45940" w:rsidRPr="0046698B" w:rsidRDefault="00F45940" w:rsidP="00B607E1">
      <w:pPr>
        <w:spacing w:before="120" w:after="120"/>
        <w:rPr>
          <w:rFonts w:ascii="Verdana" w:hAnsi="Verdana"/>
        </w:rPr>
      </w:pPr>
    </w:p>
    <w:p w14:paraId="5565B547" w14:textId="0949EACF" w:rsidR="007A403E" w:rsidRPr="004A4FF6" w:rsidRDefault="007A403E" w:rsidP="00B607E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A4FF6">
          <w:rPr>
            <w:rStyle w:val="Hyperlink"/>
            <w:rFonts w:ascii="Verdana" w:hAnsi="Verdana"/>
          </w:rPr>
          <w:t>Top of the Document</w:t>
        </w:r>
      </w:hyperlink>
    </w:p>
    <w:p w14:paraId="39E83890" w14:textId="4174AC07" w:rsidR="00710E68" w:rsidRPr="00C247CB" w:rsidRDefault="00710E68" w:rsidP="006E7935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CCEC900" w14:textId="77777777" w:rsidR="00710E68" w:rsidRPr="00C247CB" w:rsidRDefault="00710E68" w:rsidP="006E7935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401D2ED" w14:textId="77777777" w:rsidR="005A64DA" w:rsidRPr="00C247CB" w:rsidRDefault="005A64DA" w:rsidP="006E7935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1969B" w14:textId="77777777" w:rsidR="009730AD" w:rsidRDefault="009730AD">
      <w:r>
        <w:separator/>
      </w:r>
    </w:p>
  </w:endnote>
  <w:endnote w:type="continuationSeparator" w:id="0">
    <w:p w14:paraId="2E7EAEB3" w14:textId="77777777" w:rsidR="009730AD" w:rsidRDefault="009730AD">
      <w:r>
        <w:continuationSeparator/>
      </w:r>
    </w:p>
  </w:endnote>
  <w:endnote w:type="continuationNotice" w:id="1">
    <w:p w14:paraId="32B9569A" w14:textId="77777777" w:rsidR="009730AD" w:rsidRDefault="00973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0A5B4" w14:textId="77777777" w:rsidR="005564FA" w:rsidRPr="00C32D18" w:rsidRDefault="005564FA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48B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5734D" w14:textId="77777777" w:rsidR="005564FA" w:rsidRPr="00CD2229" w:rsidRDefault="005564F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4B53" w14:textId="77777777" w:rsidR="009730AD" w:rsidRDefault="009730AD">
      <w:r>
        <w:separator/>
      </w:r>
    </w:p>
  </w:footnote>
  <w:footnote w:type="continuationSeparator" w:id="0">
    <w:p w14:paraId="1A2968FC" w14:textId="77777777" w:rsidR="009730AD" w:rsidRDefault="009730AD">
      <w:r>
        <w:continuationSeparator/>
      </w:r>
    </w:p>
  </w:footnote>
  <w:footnote w:type="continuationNotice" w:id="1">
    <w:p w14:paraId="32C427E6" w14:textId="77777777" w:rsidR="009730AD" w:rsidRDefault="00973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75662" w14:textId="77777777" w:rsidR="005564FA" w:rsidRDefault="005564F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78BA"/>
    <w:multiLevelType w:val="hybridMultilevel"/>
    <w:tmpl w:val="FD42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823"/>
    <w:multiLevelType w:val="hybridMultilevel"/>
    <w:tmpl w:val="0368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0E1172"/>
    <w:multiLevelType w:val="hybridMultilevel"/>
    <w:tmpl w:val="9CBC7EFC"/>
    <w:lvl w:ilvl="0" w:tplc="2D4AEB7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color w:val="0D0D0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468A1"/>
    <w:multiLevelType w:val="hybridMultilevel"/>
    <w:tmpl w:val="45760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C55B2"/>
    <w:multiLevelType w:val="hybridMultilevel"/>
    <w:tmpl w:val="FAD2F762"/>
    <w:lvl w:ilvl="0" w:tplc="638EC798">
      <w:start w:val="1"/>
      <w:numFmt w:val="decimal"/>
      <w:lvlText w:val="%1"/>
      <w:lvlJc w:val="center"/>
      <w:pPr>
        <w:ind w:left="360" w:hanging="360"/>
      </w:pPr>
      <w:rPr>
        <w:rFonts w:ascii="Verdana" w:hAnsi="Verdana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92677"/>
    <w:multiLevelType w:val="hybridMultilevel"/>
    <w:tmpl w:val="262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2F4E"/>
    <w:multiLevelType w:val="multilevel"/>
    <w:tmpl w:val="E6F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80E84"/>
    <w:multiLevelType w:val="hybridMultilevel"/>
    <w:tmpl w:val="260C22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72D8B"/>
    <w:multiLevelType w:val="multilevel"/>
    <w:tmpl w:val="B188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8055AB"/>
    <w:multiLevelType w:val="multilevel"/>
    <w:tmpl w:val="8C0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A6DBA"/>
    <w:multiLevelType w:val="hybridMultilevel"/>
    <w:tmpl w:val="69E8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91951"/>
    <w:multiLevelType w:val="hybridMultilevel"/>
    <w:tmpl w:val="0052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E4BE8"/>
    <w:multiLevelType w:val="hybridMultilevel"/>
    <w:tmpl w:val="570E3CE2"/>
    <w:lvl w:ilvl="0" w:tplc="0CCC59DA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color w:val="auto"/>
        <w:u w:v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2332D"/>
    <w:multiLevelType w:val="hybridMultilevel"/>
    <w:tmpl w:val="2A8E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C7FC6"/>
    <w:multiLevelType w:val="hybridMultilevel"/>
    <w:tmpl w:val="3CC4A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414751">
    <w:abstractNumId w:val="2"/>
  </w:num>
  <w:num w:numId="2" w16cid:durableId="1253054007">
    <w:abstractNumId w:val="11"/>
  </w:num>
  <w:num w:numId="3" w16cid:durableId="122890092">
    <w:abstractNumId w:val="6"/>
  </w:num>
  <w:num w:numId="4" w16cid:durableId="665326293">
    <w:abstractNumId w:val="12"/>
  </w:num>
  <w:num w:numId="5" w16cid:durableId="1189566722">
    <w:abstractNumId w:val="15"/>
  </w:num>
  <w:num w:numId="6" w16cid:durableId="195312832">
    <w:abstractNumId w:val="1"/>
  </w:num>
  <w:num w:numId="7" w16cid:durableId="2042853180">
    <w:abstractNumId w:val="13"/>
  </w:num>
  <w:num w:numId="8" w16cid:durableId="586159970">
    <w:abstractNumId w:val="0"/>
  </w:num>
  <w:num w:numId="9" w16cid:durableId="744843293">
    <w:abstractNumId w:val="3"/>
  </w:num>
  <w:num w:numId="10" w16cid:durableId="1816025951">
    <w:abstractNumId w:val="12"/>
  </w:num>
  <w:num w:numId="11" w16cid:durableId="1877809096">
    <w:abstractNumId w:val="6"/>
  </w:num>
  <w:num w:numId="12" w16cid:durableId="171797040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5449826">
    <w:abstractNumId w:val="7"/>
  </w:num>
  <w:num w:numId="14" w16cid:durableId="670565091">
    <w:abstractNumId w:val="10"/>
  </w:num>
  <w:num w:numId="15" w16cid:durableId="1675721471">
    <w:abstractNumId w:val="6"/>
  </w:num>
  <w:num w:numId="16" w16cid:durableId="1223364910">
    <w:abstractNumId w:val="7"/>
  </w:num>
  <w:num w:numId="17" w16cid:durableId="803422805">
    <w:abstractNumId w:val="1"/>
  </w:num>
  <w:num w:numId="18" w16cid:durableId="786508798">
    <w:abstractNumId w:val="14"/>
  </w:num>
  <w:num w:numId="19" w16cid:durableId="679115854">
    <w:abstractNumId w:val="4"/>
  </w:num>
  <w:num w:numId="20" w16cid:durableId="1641693714">
    <w:abstractNumId w:val="9"/>
  </w:num>
  <w:num w:numId="21" w16cid:durableId="1842114942">
    <w:abstractNumId w:val="8"/>
  </w:num>
  <w:num w:numId="22" w16cid:durableId="15618649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FD6"/>
    <w:rsid w:val="00002A9B"/>
    <w:rsid w:val="00006137"/>
    <w:rsid w:val="0000701E"/>
    <w:rsid w:val="00015A2E"/>
    <w:rsid w:val="00022B8B"/>
    <w:rsid w:val="00027FDE"/>
    <w:rsid w:val="000326AE"/>
    <w:rsid w:val="00035BED"/>
    <w:rsid w:val="00061AD2"/>
    <w:rsid w:val="00066AEB"/>
    <w:rsid w:val="00074DCF"/>
    <w:rsid w:val="000768CA"/>
    <w:rsid w:val="00080173"/>
    <w:rsid w:val="00082404"/>
    <w:rsid w:val="00082437"/>
    <w:rsid w:val="0008245A"/>
    <w:rsid w:val="000853D1"/>
    <w:rsid w:val="000863D4"/>
    <w:rsid w:val="0008665F"/>
    <w:rsid w:val="000922A0"/>
    <w:rsid w:val="00095173"/>
    <w:rsid w:val="00095AB5"/>
    <w:rsid w:val="00097594"/>
    <w:rsid w:val="0009798F"/>
    <w:rsid w:val="000A115B"/>
    <w:rsid w:val="000A2FC4"/>
    <w:rsid w:val="000A44F4"/>
    <w:rsid w:val="000A5098"/>
    <w:rsid w:val="000A5625"/>
    <w:rsid w:val="000A6B88"/>
    <w:rsid w:val="000B3C4C"/>
    <w:rsid w:val="000B656F"/>
    <w:rsid w:val="000B72DF"/>
    <w:rsid w:val="000D1870"/>
    <w:rsid w:val="000D4BA2"/>
    <w:rsid w:val="000D4DCA"/>
    <w:rsid w:val="000D4F0E"/>
    <w:rsid w:val="000D588A"/>
    <w:rsid w:val="000D6714"/>
    <w:rsid w:val="000E023C"/>
    <w:rsid w:val="000E2E7D"/>
    <w:rsid w:val="000E66AE"/>
    <w:rsid w:val="000E794C"/>
    <w:rsid w:val="000F005A"/>
    <w:rsid w:val="000F0D1B"/>
    <w:rsid w:val="000F18B1"/>
    <w:rsid w:val="000F2036"/>
    <w:rsid w:val="000F331B"/>
    <w:rsid w:val="000F54AF"/>
    <w:rsid w:val="000F6168"/>
    <w:rsid w:val="000F6405"/>
    <w:rsid w:val="00104CDE"/>
    <w:rsid w:val="0011344B"/>
    <w:rsid w:val="00115944"/>
    <w:rsid w:val="001220C5"/>
    <w:rsid w:val="0012373E"/>
    <w:rsid w:val="001263E2"/>
    <w:rsid w:val="00130505"/>
    <w:rsid w:val="00130E31"/>
    <w:rsid w:val="00131395"/>
    <w:rsid w:val="001360A5"/>
    <w:rsid w:val="0014025E"/>
    <w:rsid w:val="00157D31"/>
    <w:rsid w:val="0016273A"/>
    <w:rsid w:val="0016477F"/>
    <w:rsid w:val="00172357"/>
    <w:rsid w:val="00181B1A"/>
    <w:rsid w:val="0019130B"/>
    <w:rsid w:val="001934B2"/>
    <w:rsid w:val="0019553A"/>
    <w:rsid w:val="001973BA"/>
    <w:rsid w:val="001A4E09"/>
    <w:rsid w:val="001A5256"/>
    <w:rsid w:val="001A5BD2"/>
    <w:rsid w:val="001B3879"/>
    <w:rsid w:val="001B53AA"/>
    <w:rsid w:val="001C4503"/>
    <w:rsid w:val="001D4562"/>
    <w:rsid w:val="001D5400"/>
    <w:rsid w:val="001D640B"/>
    <w:rsid w:val="001E1504"/>
    <w:rsid w:val="001E7746"/>
    <w:rsid w:val="001F0774"/>
    <w:rsid w:val="001F1218"/>
    <w:rsid w:val="001F38D6"/>
    <w:rsid w:val="001F3C11"/>
    <w:rsid w:val="001F49F0"/>
    <w:rsid w:val="001F4FD0"/>
    <w:rsid w:val="001F5947"/>
    <w:rsid w:val="001F59DB"/>
    <w:rsid w:val="00200726"/>
    <w:rsid w:val="002016B4"/>
    <w:rsid w:val="002055CF"/>
    <w:rsid w:val="00210D7E"/>
    <w:rsid w:val="00220F6D"/>
    <w:rsid w:val="0022196D"/>
    <w:rsid w:val="00233164"/>
    <w:rsid w:val="002368B4"/>
    <w:rsid w:val="00242D1A"/>
    <w:rsid w:val="00243EBB"/>
    <w:rsid w:val="00244411"/>
    <w:rsid w:val="00245BBB"/>
    <w:rsid w:val="0024749F"/>
    <w:rsid w:val="00253D83"/>
    <w:rsid w:val="00255C6B"/>
    <w:rsid w:val="00265D86"/>
    <w:rsid w:val="00265DB1"/>
    <w:rsid w:val="00272D28"/>
    <w:rsid w:val="00273131"/>
    <w:rsid w:val="00274867"/>
    <w:rsid w:val="002750DC"/>
    <w:rsid w:val="002822DA"/>
    <w:rsid w:val="00284256"/>
    <w:rsid w:val="00285D19"/>
    <w:rsid w:val="002876C1"/>
    <w:rsid w:val="00291CE8"/>
    <w:rsid w:val="002946B8"/>
    <w:rsid w:val="00294927"/>
    <w:rsid w:val="00296127"/>
    <w:rsid w:val="00296765"/>
    <w:rsid w:val="00296BFC"/>
    <w:rsid w:val="002A1494"/>
    <w:rsid w:val="002A2B90"/>
    <w:rsid w:val="002B593E"/>
    <w:rsid w:val="002C01CE"/>
    <w:rsid w:val="002C7FDC"/>
    <w:rsid w:val="002D2AD8"/>
    <w:rsid w:val="002D4819"/>
    <w:rsid w:val="002D7576"/>
    <w:rsid w:val="002E2735"/>
    <w:rsid w:val="002E6E58"/>
    <w:rsid w:val="002F12F8"/>
    <w:rsid w:val="002F1F92"/>
    <w:rsid w:val="002F492F"/>
    <w:rsid w:val="002F6F9E"/>
    <w:rsid w:val="0031128A"/>
    <w:rsid w:val="00320103"/>
    <w:rsid w:val="00320CBE"/>
    <w:rsid w:val="00323644"/>
    <w:rsid w:val="0033143E"/>
    <w:rsid w:val="00340DD0"/>
    <w:rsid w:val="0034318F"/>
    <w:rsid w:val="0034552B"/>
    <w:rsid w:val="00345C39"/>
    <w:rsid w:val="00351433"/>
    <w:rsid w:val="00351FF4"/>
    <w:rsid w:val="00357E8F"/>
    <w:rsid w:val="00360F9B"/>
    <w:rsid w:val="003725A1"/>
    <w:rsid w:val="00372612"/>
    <w:rsid w:val="00375D30"/>
    <w:rsid w:val="0038134D"/>
    <w:rsid w:val="00381E95"/>
    <w:rsid w:val="003868A2"/>
    <w:rsid w:val="003873D8"/>
    <w:rsid w:val="00390CED"/>
    <w:rsid w:val="00392A5B"/>
    <w:rsid w:val="00395642"/>
    <w:rsid w:val="00395E2F"/>
    <w:rsid w:val="003A1B8F"/>
    <w:rsid w:val="003A67BF"/>
    <w:rsid w:val="003A6D70"/>
    <w:rsid w:val="003B1562"/>
    <w:rsid w:val="003B1F86"/>
    <w:rsid w:val="003B4B3E"/>
    <w:rsid w:val="003C3639"/>
    <w:rsid w:val="003C4627"/>
    <w:rsid w:val="003C6F64"/>
    <w:rsid w:val="003E3801"/>
    <w:rsid w:val="003E5EA8"/>
    <w:rsid w:val="003E6C1A"/>
    <w:rsid w:val="003F3A4D"/>
    <w:rsid w:val="003F778E"/>
    <w:rsid w:val="00402A44"/>
    <w:rsid w:val="00402BF9"/>
    <w:rsid w:val="0040640A"/>
    <w:rsid w:val="00406DB5"/>
    <w:rsid w:val="0042336D"/>
    <w:rsid w:val="00442A05"/>
    <w:rsid w:val="004555CD"/>
    <w:rsid w:val="00457EAE"/>
    <w:rsid w:val="00462C76"/>
    <w:rsid w:val="0046348C"/>
    <w:rsid w:val="004678DB"/>
    <w:rsid w:val="0047013C"/>
    <w:rsid w:val="00471634"/>
    <w:rsid w:val="00471D8D"/>
    <w:rsid w:val="00473D25"/>
    <w:rsid w:val="00474B54"/>
    <w:rsid w:val="004757E0"/>
    <w:rsid w:val="004768BE"/>
    <w:rsid w:val="00477F73"/>
    <w:rsid w:val="0048048D"/>
    <w:rsid w:val="004810E1"/>
    <w:rsid w:val="0048355A"/>
    <w:rsid w:val="00484781"/>
    <w:rsid w:val="00486108"/>
    <w:rsid w:val="004A4FF6"/>
    <w:rsid w:val="004D014B"/>
    <w:rsid w:val="004D0AF2"/>
    <w:rsid w:val="004D19A5"/>
    <w:rsid w:val="004D3C53"/>
    <w:rsid w:val="004D4057"/>
    <w:rsid w:val="004D494C"/>
    <w:rsid w:val="004E750B"/>
    <w:rsid w:val="004F083B"/>
    <w:rsid w:val="004F3980"/>
    <w:rsid w:val="004F3A13"/>
    <w:rsid w:val="004F57D6"/>
    <w:rsid w:val="004F7F34"/>
    <w:rsid w:val="00505588"/>
    <w:rsid w:val="00512486"/>
    <w:rsid w:val="005137AD"/>
    <w:rsid w:val="00514985"/>
    <w:rsid w:val="00515614"/>
    <w:rsid w:val="0052354E"/>
    <w:rsid w:val="0052465B"/>
    <w:rsid w:val="00524669"/>
    <w:rsid w:val="00524CDD"/>
    <w:rsid w:val="0052738A"/>
    <w:rsid w:val="00530040"/>
    <w:rsid w:val="005313D8"/>
    <w:rsid w:val="00533EE8"/>
    <w:rsid w:val="005358DE"/>
    <w:rsid w:val="00540DAD"/>
    <w:rsid w:val="00541DCC"/>
    <w:rsid w:val="00547C68"/>
    <w:rsid w:val="005564FA"/>
    <w:rsid w:val="00562D57"/>
    <w:rsid w:val="00565A58"/>
    <w:rsid w:val="00577909"/>
    <w:rsid w:val="0058021A"/>
    <w:rsid w:val="00582E85"/>
    <w:rsid w:val="00584DC3"/>
    <w:rsid w:val="00587EE4"/>
    <w:rsid w:val="005910B5"/>
    <w:rsid w:val="005A0BCF"/>
    <w:rsid w:val="005A6118"/>
    <w:rsid w:val="005A64DA"/>
    <w:rsid w:val="005B0088"/>
    <w:rsid w:val="005B2684"/>
    <w:rsid w:val="005B446E"/>
    <w:rsid w:val="005B68A2"/>
    <w:rsid w:val="005C00C7"/>
    <w:rsid w:val="005C1D83"/>
    <w:rsid w:val="005C48FA"/>
    <w:rsid w:val="005D0408"/>
    <w:rsid w:val="005D383F"/>
    <w:rsid w:val="005E650E"/>
    <w:rsid w:val="005E7FE1"/>
    <w:rsid w:val="005F26A9"/>
    <w:rsid w:val="0060026E"/>
    <w:rsid w:val="00600854"/>
    <w:rsid w:val="00602777"/>
    <w:rsid w:val="0060304E"/>
    <w:rsid w:val="0061661C"/>
    <w:rsid w:val="0062079D"/>
    <w:rsid w:val="00622D77"/>
    <w:rsid w:val="00627F34"/>
    <w:rsid w:val="00636B18"/>
    <w:rsid w:val="00637CA1"/>
    <w:rsid w:val="0064058F"/>
    <w:rsid w:val="00640630"/>
    <w:rsid w:val="00642E11"/>
    <w:rsid w:val="006448BC"/>
    <w:rsid w:val="00647ACC"/>
    <w:rsid w:val="00647CDD"/>
    <w:rsid w:val="0065346A"/>
    <w:rsid w:val="00653E56"/>
    <w:rsid w:val="00654E5A"/>
    <w:rsid w:val="00662334"/>
    <w:rsid w:val="00663727"/>
    <w:rsid w:val="00663BE4"/>
    <w:rsid w:val="0066617F"/>
    <w:rsid w:val="00674A16"/>
    <w:rsid w:val="00677C2D"/>
    <w:rsid w:val="00677CDD"/>
    <w:rsid w:val="00681474"/>
    <w:rsid w:val="00681515"/>
    <w:rsid w:val="00683B66"/>
    <w:rsid w:val="00691E10"/>
    <w:rsid w:val="00694A83"/>
    <w:rsid w:val="0069643F"/>
    <w:rsid w:val="006A0481"/>
    <w:rsid w:val="006A77E7"/>
    <w:rsid w:val="006B7A98"/>
    <w:rsid w:val="006C213E"/>
    <w:rsid w:val="006C5A32"/>
    <w:rsid w:val="006C653F"/>
    <w:rsid w:val="006C74F2"/>
    <w:rsid w:val="006C7D2E"/>
    <w:rsid w:val="006D1BE7"/>
    <w:rsid w:val="006D7746"/>
    <w:rsid w:val="006E279F"/>
    <w:rsid w:val="006E7935"/>
    <w:rsid w:val="006F593B"/>
    <w:rsid w:val="006F7DFC"/>
    <w:rsid w:val="00704AF2"/>
    <w:rsid w:val="007054AB"/>
    <w:rsid w:val="00706746"/>
    <w:rsid w:val="0070776C"/>
    <w:rsid w:val="00710E68"/>
    <w:rsid w:val="00714BA0"/>
    <w:rsid w:val="007244C7"/>
    <w:rsid w:val="00724634"/>
    <w:rsid w:val="007249D9"/>
    <w:rsid w:val="00725B82"/>
    <w:rsid w:val="007269B6"/>
    <w:rsid w:val="00726E7A"/>
    <w:rsid w:val="00727795"/>
    <w:rsid w:val="007321E8"/>
    <w:rsid w:val="0073294A"/>
    <w:rsid w:val="00732E52"/>
    <w:rsid w:val="00734AC3"/>
    <w:rsid w:val="00736607"/>
    <w:rsid w:val="00742260"/>
    <w:rsid w:val="00743967"/>
    <w:rsid w:val="00743A37"/>
    <w:rsid w:val="00745DC5"/>
    <w:rsid w:val="00752801"/>
    <w:rsid w:val="0076157F"/>
    <w:rsid w:val="00764445"/>
    <w:rsid w:val="007670F4"/>
    <w:rsid w:val="00772EFC"/>
    <w:rsid w:val="00780C34"/>
    <w:rsid w:val="00785118"/>
    <w:rsid w:val="00785C47"/>
    <w:rsid w:val="00786BEB"/>
    <w:rsid w:val="007926DA"/>
    <w:rsid w:val="00797184"/>
    <w:rsid w:val="00797663"/>
    <w:rsid w:val="007A403E"/>
    <w:rsid w:val="007A5D5A"/>
    <w:rsid w:val="007A75EA"/>
    <w:rsid w:val="007B1527"/>
    <w:rsid w:val="007B696D"/>
    <w:rsid w:val="007C2516"/>
    <w:rsid w:val="007C5BF0"/>
    <w:rsid w:val="007C6F80"/>
    <w:rsid w:val="007C77DD"/>
    <w:rsid w:val="007C7801"/>
    <w:rsid w:val="007D518A"/>
    <w:rsid w:val="007D5B48"/>
    <w:rsid w:val="007D5C94"/>
    <w:rsid w:val="007D75F6"/>
    <w:rsid w:val="007E08C4"/>
    <w:rsid w:val="007E3EA6"/>
    <w:rsid w:val="007E5A55"/>
    <w:rsid w:val="007F04AB"/>
    <w:rsid w:val="007F461A"/>
    <w:rsid w:val="007F583F"/>
    <w:rsid w:val="007F6393"/>
    <w:rsid w:val="007F6FAE"/>
    <w:rsid w:val="00803AE3"/>
    <w:rsid w:val="008042E1"/>
    <w:rsid w:val="00804D63"/>
    <w:rsid w:val="00806B9D"/>
    <w:rsid w:val="00811179"/>
    <w:rsid w:val="00812777"/>
    <w:rsid w:val="0082117D"/>
    <w:rsid w:val="008230FA"/>
    <w:rsid w:val="008235AE"/>
    <w:rsid w:val="00834357"/>
    <w:rsid w:val="00834673"/>
    <w:rsid w:val="00835EAC"/>
    <w:rsid w:val="00837C10"/>
    <w:rsid w:val="008402D6"/>
    <w:rsid w:val="0084129E"/>
    <w:rsid w:val="00843390"/>
    <w:rsid w:val="0084556B"/>
    <w:rsid w:val="00846373"/>
    <w:rsid w:val="00846ECB"/>
    <w:rsid w:val="00854B4E"/>
    <w:rsid w:val="00855AE5"/>
    <w:rsid w:val="00856558"/>
    <w:rsid w:val="008568AE"/>
    <w:rsid w:val="00857979"/>
    <w:rsid w:val="00860590"/>
    <w:rsid w:val="00861316"/>
    <w:rsid w:val="008614E8"/>
    <w:rsid w:val="0086433E"/>
    <w:rsid w:val="00865754"/>
    <w:rsid w:val="00867EDF"/>
    <w:rsid w:val="008734D7"/>
    <w:rsid w:val="00873DDF"/>
    <w:rsid w:val="00875F0D"/>
    <w:rsid w:val="00877414"/>
    <w:rsid w:val="008825E7"/>
    <w:rsid w:val="008879EA"/>
    <w:rsid w:val="00890335"/>
    <w:rsid w:val="00891675"/>
    <w:rsid w:val="008927D9"/>
    <w:rsid w:val="008936BB"/>
    <w:rsid w:val="00895BBD"/>
    <w:rsid w:val="0089674A"/>
    <w:rsid w:val="008A03B7"/>
    <w:rsid w:val="008A03E1"/>
    <w:rsid w:val="008A5508"/>
    <w:rsid w:val="008A633C"/>
    <w:rsid w:val="008A67ED"/>
    <w:rsid w:val="008A6E95"/>
    <w:rsid w:val="008B19B3"/>
    <w:rsid w:val="008B3371"/>
    <w:rsid w:val="008C2197"/>
    <w:rsid w:val="008C21AC"/>
    <w:rsid w:val="008C3493"/>
    <w:rsid w:val="008C5A3E"/>
    <w:rsid w:val="008D11A6"/>
    <w:rsid w:val="008D1F7B"/>
    <w:rsid w:val="008D2041"/>
    <w:rsid w:val="008D2D64"/>
    <w:rsid w:val="008D30CC"/>
    <w:rsid w:val="008D6093"/>
    <w:rsid w:val="008E108E"/>
    <w:rsid w:val="008E21BE"/>
    <w:rsid w:val="008F0590"/>
    <w:rsid w:val="008F305F"/>
    <w:rsid w:val="009001B4"/>
    <w:rsid w:val="00901A3C"/>
    <w:rsid w:val="00902E07"/>
    <w:rsid w:val="009127FC"/>
    <w:rsid w:val="00913776"/>
    <w:rsid w:val="00913B1B"/>
    <w:rsid w:val="00917E7B"/>
    <w:rsid w:val="00920F9A"/>
    <w:rsid w:val="009224D7"/>
    <w:rsid w:val="009250BD"/>
    <w:rsid w:val="00926AED"/>
    <w:rsid w:val="00927861"/>
    <w:rsid w:val="009307D8"/>
    <w:rsid w:val="00930F89"/>
    <w:rsid w:val="00931179"/>
    <w:rsid w:val="0094148C"/>
    <w:rsid w:val="00941D3C"/>
    <w:rsid w:val="00942248"/>
    <w:rsid w:val="00947013"/>
    <w:rsid w:val="00947783"/>
    <w:rsid w:val="00954FE8"/>
    <w:rsid w:val="00960C7D"/>
    <w:rsid w:val="00960F1D"/>
    <w:rsid w:val="00964858"/>
    <w:rsid w:val="00964909"/>
    <w:rsid w:val="0097111C"/>
    <w:rsid w:val="009726E0"/>
    <w:rsid w:val="00972EFF"/>
    <w:rsid w:val="009730AD"/>
    <w:rsid w:val="00974C5A"/>
    <w:rsid w:val="00974FEA"/>
    <w:rsid w:val="00983F89"/>
    <w:rsid w:val="009864F8"/>
    <w:rsid w:val="00990822"/>
    <w:rsid w:val="009A7002"/>
    <w:rsid w:val="009B02E7"/>
    <w:rsid w:val="009C3E51"/>
    <w:rsid w:val="009C4A31"/>
    <w:rsid w:val="009D2E31"/>
    <w:rsid w:val="009D4ED7"/>
    <w:rsid w:val="009D7C03"/>
    <w:rsid w:val="009E00C2"/>
    <w:rsid w:val="009E0A9C"/>
    <w:rsid w:val="009F6FD2"/>
    <w:rsid w:val="009F7259"/>
    <w:rsid w:val="009F78D3"/>
    <w:rsid w:val="00A02093"/>
    <w:rsid w:val="00A0413E"/>
    <w:rsid w:val="00A071D3"/>
    <w:rsid w:val="00A15728"/>
    <w:rsid w:val="00A20B7D"/>
    <w:rsid w:val="00A40C78"/>
    <w:rsid w:val="00A42461"/>
    <w:rsid w:val="00A4680C"/>
    <w:rsid w:val="00A4732A"/>
    <w:rsid w:val="00A505B8"/>
    <w:rsid w:val="00A5475C"/>
    <w:rsid w:val="00A57D26"/>
    <w:rsid w:val="00A62EE0"/>
    <w:rsid w:val="00A6590C"/>
    <w:rsid w:val="00A7166B"/>
    <w:rsid w:val="00A72DEB"/>
    <w:rsid w:val="00A730D6"/>
    <w:rsid w:val="00A756E8"/>
    <w:rsid w:val="00A816B8"/>
    <w:rsid w:val="00A83848"/>
    <w:rsid w:val="00A83BA0"/>
    <w:rsid w:val="00A84B9A"/>
    <w:rsid w:val="00A84F18"/>
    <w:rsid w:val="00A85045"/>
    <w:rsid w:val="00A90205"/>
    <w:rsid w:val="00A9072E"/>
    <w:rsid w:val="00A95738"/>
    <w:rsid w:val="00A97B7D"/>
    <w:rsid w:val="00AA2252"/>
    <w:rsid w:val="00AA4825"/>
    <w:rsid w:val="00AA59DB"/>
    <w:rsid w:val="00AB33E1"/>
    <w:rsid w:val="00AB782E"/>
    <w:rsid w:val="00AC4214"/>
    <w:rsid w:val="00AC6E70"/>
    <w:rsid w:val="00AC7697"/>
    <w:rsid w:val="00AD0DD3"/>
    <w:rsid w:val="00AD1646"/>
    <w:rsid w:val="00AD1B43"/>
    <w:rsid w:val="00AD53C3"/>
    <w:rsid w:val="00AD7AB4"/>
    <w:rsid w:val="00AE40C2"/>
    <w:rsid w:val="00AE41F8"/>
    <w:rsid w:val="00AF038B"/>
    <w:rsid w:val="00AF78FA"/>
    <w:rsid w:val="00B0006E"/>
    <w:rsid w:val="00B03058"/>
    <w:rsid w:val="00B065F3"/>
    <w:rsid w:val="00B078F6"/>
    <w:rsid w:val="00B07A5C"/>
    <w:rsid w:val="00B104BD"/>
    <w:rsid w:val="00B10905"/>
    <w:rsid w:val="00B11077"/>
    <w:rsid w:val="00B150AB"/>
    <w:rsid w:val="00B171FF"/>
    <w:rsid w:val="00B214EF"/>
    <w:rsid w:val="00B26045"/>
    <w:rsid w:val="00B27052"/>
    <w:rsid w:val="00B44C55"/>
    <w:rsid w:val="00B46A95"/>
    <w:rsid w:val="00B5114C"/>
    <w:rsid w:val="00B5123C"/>
    <w:rsid w:val="00B521CC"/>
    <w:rsid w:val="00B53511"/>
    <w:rsid w:val="00B544C2"/>
    <w:rsid w:val="00B5566F"/>
    <w:rsid w:val="00B57871"/>
    <w:rsid w:val="00B607E1"/>
    <w:rsid w:val="00B630A6"/>
    <w:rsid w:val="00B638AE"/>
    <w:rsid w:val="00B662B1"/>
    <w:rsid w:val="00B66D2C"/>
    <w:rsid w:val="00B66F92"/>
    <w:rsid w:val="00B70CC4"/>
    <w:rsid w:val="00B73467"/>
    <w:rsid w:val="00B8491F"/>
    <w:rsid w:val="00B9513D"/>
    <w:rsid w:val="00BB02DE"/>
    <w:rsid w:val="00BB0A9B"/>
    <w:rsid w:val="00BB1DB6"/>
    <w:rsid w:val="00BB371A"/>
    <w:rsid w:val="00BB73F7"/>
    <w:rsid w:val="00BD3738"/>
    <w:rsid w:val="00BD5E06"/>
    <w:rsid w:val="00BD7B25"/>
    <w:rsid w:val="00BE1AFF"/>
    <w:rsid w:val="00BE4387"/>
    <w:rsid w:val="00BE6CF1"/>
    <w:rsid w:val="00BF2360"/>
    <w:rsid w:val="00BF5078"/>
    <w:rsid w:val="00BF74E9"/>
    <w:rsid w:val="00C06D80"/>
    <w:rsid w:val="00C07FA0"/>
    <w:rsid w:val="00C13DE7"/>
    <w:rsid w:val="00C144BA"/>
    <w:rsid w:val="00C174F0"/>
    <w:rsid w:val="00C209EE"/>
    <w:rsid w:val="00C247CB"/>
    <w:rsid w:val="00C26483"/>
    <w:rsid w:val="00C322FA"/>
    <w:rsid w:val="00C32D18"/>
    <w:rsid w:val="00C360BD"/>
    <w:rsid w:val="00C379CC"/>
    <w:rsid w:val="00C476E1"/>
    <w:rsid w:val="00C52316"/>
    <w:rsid w:val="00C52E77"/>
    <w:rsid w:val="00C542B1"/>
    <w:rsid w:val="00C566B3"/>
    <w:rsid w:val="00C62CAD"/>
    <w:rsid w:val="00C65249"/>
    <w:rsid w:val="00C67B32"/>
    <w:rsid w:val="00C72007"/>
    <w:rsid w:val="00C72561"/>
    <w:rsid w:val="00C72EE9"/>
    <w:rsid w:val="00C75C83"/>
    <w:rsid w:val="00C77882"/>
    <w:rsid w:val="00C837BA"/>
    <w:rsid w:val="00C94A28"/>
    <w:rsid w:val="00C95346"/>
    <w:rsid w:val="00CA0E94"/>
    <w:rsid w:val="00CA3461"/>
    <w:rsid w:val="00CA3B23"/>
    <w:rsid w:val="00CA62F6"/>
    <w:rsid w:val="00CA6AF8"/>
    <w:rsid w:val="00CA6D97"/>
    <w:rsid w:val="00CB0679"/>
    <w:rsid w:val="00CB0C1D"/>
    <w:rsid w:val="00CB2AD1"/>
    <w:rsid w:val="00CB2F95"/>
    <w:rsid w:val="00CC081D"/>
    <w:rsid w:val="00CC388A"/>
    <w:rsid w:val="00CC5AA2"/>
    <w:rsid w:val="00CC721A"/>
    <w:rsid w:val="00CD0963"/>
    <w:rsid w:val="00CD12FA"/>
    <w:rsid w:val="00CD5C71"/>
    <w:rsid w:val="00CD799C"/>
    <w:rsid w:val="00CE36CD"/>
    <w:rsid w:val="00CE3D42"/>
    <w:rsid w:val="00CE53E6"/>
    <w:rsid w:val="00CE59FD"/>
    <w:rsid w:val="00CE66B6"/>
    <w:rsid w:val="00CE7C5C"/>
    <w:rsid w:val="00CF1691"/>
    <w:rsid w:val="00CF539A"/>
    <w:rsid w:val="00CF6131"/>
    <w:rsid w:val="00D050C3"/>
    <w:rsid w:val="00D062CF"/>
    <w:rsid w:val="00D06EAA"/>
    <w:rsid w:val="00D13076"/>
    <w:rsid w:val="00D15462"/>
    <w:rsid w:val="00D20CF6"/>
    <w:rsid w:val="00D23A8D"/>
    <w:rsid w:val="00D3651C"/>
    <w:rsid w:val="00D36733"/>
    <w:rsid w:val="00D377AD"/>
    <w:rsid w:val="00D46375"/>
    <w:rsid w:val="00D471B5"/>
    <w:rsid w:val="00D571DB"/>
    <w:rsid w:val="00D6774D"/>
    <w:rsid w:val="00D72612"/>
    <w:rsid w:val="00D75191"/>
    <w:rsid w:val="00D80929"/>
    <w:rsid w:val="00D85254"/>
    <w:rsid w:val="00D86339"/>
    <w:rsid w:val="00D92FCF"/>
    <w:rsid w:val="00D93991"/>
    <w:rsid w:val="00D97952"/>
    <w:rsid w:val="00DA0C7D"/>
    <w:rsid w:val="00DB0587"/>
    <w:rsid w:val="00DB0741"/>
    <w:rsid w:val="00DB762E"/>
    <w:rsid w:val="00DC4FFC"/>
    <w:rsid w:val="00DC649F"/>
    <w:rsid w:val="00DC7006"/>
    <w:rsid w:val="00DD1B14"/>
    <w:rsid w:val="00DD3529"/>
    <w:rsid w:val="00DD6211"/>
    <w:rsid w:val="00DE79F7"/>
    <w:rsid w:val="00DF3810"/>
    <w:rsid w:val="00DF6BE4"/>
    <w:rsid w:val="00E02DC2"/>
    <w:rsid w:val="00E157BC"/>
    <w:rsid w:val="00E2244C"/>
    <w:rsid w:val="00E226DE"/>
    <w:rsid w:val="00E25B3D"/>
    <w:rsid w:val="00E313A3"/>
    <w:rsid w:val="00E334FD"/>
    <w:rsid w:val="00E35256"/>
    <w:rsid w:val="00E369BF"/>
    <w:rsid w:val="00E40A4B"/>
    <w:rsid w:val="00E414EC"/>
    <w:rsid w:val="00E4373F"/>
    <w:rsid w:val="00E46C40"/>
    <w:rsid w:val="00E50E4A"/>
    <w:rsid w:val="00E52967"/>
    <w:rsid w:val="00E52EB7"/>
    <w:rsid w:val="00E57290"/>
    <w:rsid w:val="00E650D0"/>
    <w:rsid w:val="00E738A2"/>
    <w:rsid w:val="00E75C28"/>
    <w:rsid w:val="00E75D8B"/>
    <w:rsid w:val="00E839D7"/>
    <w:rsid w:val="00E85D28"/>
    <w:rsid w:val="00E91F5F"/>
    <w:rsid w:val="00E92DED"/>
    <w:rsid w:val="00E95493"/>
    <w:rsid w:val="00EB12DD"/>
    <w:rsid w:val="00EB153E"/>
    <w:rsid w:val="00EB1F94"/>
    <w:rsid w:val="00EB448F"/>
    <w:rsid w:val="00EB57EB"/>
    <w:rsid w:val="00EC006E"/>
    <w:rsid w:val="00EC1232"/>
    <w:rsid w:val="00EC21B2"/>
    <w:rsid w:val="00ED50CF"/>
    <w:rsid w:val="00ED54A9"/>
    <w:rsid w:val="00EE0F9A"/>
    <w:rsid w:val="00EF1FB7"/>
    <w:rsid w:val="00EF39BC"/>
    <w:rsid w:val="00EF5AA7"/>
    <w:rsid w:val="00EF7B70"/>
    <w:rsid w:val="00F01119"/>
    <w:rsid w:val="00F01EF1"/>
    <w:rsid w:val="00F046D2"/>
    <w:rsid w:val="00F055F3"/>
    <w:rsid w:val="00F05CE7"/>
    <w:rsid w:val="00F07828"/>
    <w:rsid w:val="00F1152F"/>
    <w:rsid w:val="00F116A6"/>
    <w:rsid w:val="00F207B3"/>
    <w:rsid w:val="00F214C0"/>
    <w:rsid w:val="00F26787"/>
    <w:rsid w:val="00F27386"/>
    <w:rsid w:val="00F27D08"/>
    <w:rsid w:val="00F35878"/>
    <w:rsid w:val="00F40258"/>
    <w:rsid w:val="00F40B76"/>
    <w:rsid w:val="00F45940"/>
    <w:rsid w:val="00F5486B"/>
    <w:rsid w:val="00F56553"/>
    <w:rsid w:val="00F62BC4"/>
    <w:rsid w:val="00F63551"/>
    <w:rsid w:val="00F658E0"/>
    <w:rsid w:val="00F74F74"/>
    <w:rsid w:val="00F81783"/>
    <w:rsid w:val="00F838A5"/>
    <w:rsid w:val="00F859B7"/>
    <w:rsid w:val="00F877B4"/>
    <w:rsid w:val="00F939DA"/>
    <w:rsid w:val="00F94234"/>
    <w:rsid w:val="00FA40ED"/>
    <w:rsid w:val="00FA4606"/>
    <w:rsid w:val="00FB0924"/>
    <w:rsid w:val="00FB118A"/>
    <w:rsid w:val="00FB2D67"/>
    <w:rsid w:val="00FB3229"/>
    <w:rsid w:val="00FB3DBC"/>
    <w:rsid w:val="00FB5FA7"/>
    <w:rsid w:val="00FC1C44"/>
    <w:rsid w:val="00FE17D0"/>
    <w:rsid w:val="00FF3984"/>
    <w:rsid w:val="00FF636B"/>
    <w:rsid w:val="2546849B"/>
    <w:rsid w:val="29C95AE2"/>
    <w:rsid w:val="3D349E61"/>
    <w:rsid w:val="46766DE8"/>
    <w:rsid w:val="5CE5789A"/>
    <w:rsid w:val="7254CEFC"/>
    <w:rsid w:val="77D019E8"/>
    <w:rsid w:val="789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5138C"/>
  <w15:docId w15:val="{FC613C18-8E5B-4ACE-AF4A-05B17E2F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link w:val="BodyTextIndent2"/>
    <w:rsid w:val="00AD53C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2D28"/>
    <w:pPr>
      <w:tabs>
        <w:tab w:val="right" w:leader="dot" w:pos="12950"/>
      </w:tabs>
      <w:spacing w:before="120" w:after="120"/>
    </w:pPr>
  </w:style>
  <w:style w:type="character" w:styleId="CommentReference">
    <w:name w:val="annotation reference"/>
    <w:rsid w:val="000D4F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4F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D4F0E"/>
  </w:style>
  <w:style w:type="paragraph" w:styleId="CommentSubject">
    <w:name w:val="annotation subject"/>
    <w:basedOn w:val="CommentText"/>
    <w:next w:val="CommentText"/>
    <w:link w:val="CommentSubjectChar"/>
    <w:rsid w:val="000D4F0E"/>
    <w:rPr>
      <w:b/>
      <w:bCs/>
    </w:rPr>
  </w:style>
  <w:style w:type="character" w:customStyle="1" w:styleId="CommentSubjectChar">
    <w:name w:val="Comment Subject Char"/>
    <w:link w:val="CommentSubject"/>
    <w:rsid w:val="000D4F0E"/>
    <w:rPr>
      <w:b/>
      <w:bCs/>
    </w:rPr>
  </w:style>
  <w:style w:type="paragraph" w:styleId="BalloonText">
    <w:name w:val="Balloon Text"/>
    <w:basedOn w:val="Normal"/>
    <w:link w:val="BalloonTextChar"/>
    <w:rsid w:val="000D4F0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D4F0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F18B1"/>
    <w:rPr>
      <w:sz w:val="24"/>
      <w:szCs w:val="24"/>
    </w:rPr>
  </w:style>
  <w:style w:type="paragraph" w:styleId="TOC2">
    <w:name w:val="toc 2"/>
    <w:basedOn w:val="Normal"/>
    <w:next w:val="Normal"/>
    <w:autoRedefine/>
    <w:rsid w:val="001F59DB"/>
    <w:pPr>
      <w:ind w:left="240"/>
    </w:pPr>
  </w:style>
  <w:style w:type="character" w:customStyle="1" w:styleId="apple-converted-space">
    <w:name w:val="apple-converted-space"/>
    <w:basedOn w:val="DefaultParagraphFont"/>
    <w:rsid w:val="00D050C3"/>
  </w:style>
  <w:style w:type="character" w:styleId="UnresolvedMention">
    <w:name w:val="Unresolved Mention"/>
    <w:basedOn w:val="DefaultParagraphFont"/>
    <w:uiPriority w:val="99"/>
    <w:semiHidden/>
    <w:unhideWhenUsed/>
    <w:rsid w:val="00A1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A3BBE54751744BBECBCBB66053775" ma:contentTypeVersion="4" ma:contentTypeDescription="Create a new document." ma:contentTypeScope="" ma:versionID="4c7d53e222cff9defdffdf2bedfc1f48">
  <xsd:schema xmlns:xsd="http://www.w3.org/2001/XMLSchema" xmlns:xs="http://www.w3.org/2001/XMLSchema" xmlns:p="http://schemas.microsoft.com/office/2006/metadata/properties" xmlns:ns2="125aa975-31f8-405f-8a0d-38f1bcbf5578" targetNamespace="http://schemas.microsoft.com/office/2006/metadata/properties" ma:root="true" ma:fieldsID="f426a39bc4bc0a4097855fcbebcf237e" ns2:_="">
    <xsd:import namespace="125aa975-31f8-405f-8a0d-38f1bcbf55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aa975-31f8-405f-8a0d-38f1bcbf5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E5190AD-F869-4D3E-A56E-D494A8262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F66B2-E5C0-4279-B0C6-15806DF63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aa975-31f8-405f-8a0d-38f1bcbf5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EBE8AF-2FD0-4DEF-B3DD-9E0310FC64D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1207</Words>
  <Characters>7947</Characters>
  <Application>Microsoft Office Word</Application>
  <DocSecurity>0</DocSecurity>
  <Lines>66</Lines>
  <Paragraphs>18</Paragraphs>
  <ScaleCrop>false</ScaleCrop>
  <Company>Caremark RX</Company>
  <LinksUpToDate>false</LinksUpToDate>
  <CharactersWithSpaces>9136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2949170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1638467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!/view?docid=59458286-c3a2-4924-9f92-7a55cb5defb9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1441871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!/view?docid=a23bc09d-37f7-4105-ba57-d4e9d7f512ff</vt:lpwstr>
      </vt:variant>
      <vt:variant>
        <vt:i4>1441871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!/view?docid=a23bc09d-37f7-4105-ba57-d4e9d7f512ff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1703954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!/view?docid=46478c4b-48ae-4502-b66c-222e1ca37ce3</vt:lpwstr>
      </vt:variant>
      <vt:variant>
        <vt:i4>1441871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!/view?docid=a23bc09d-37f7-4105-ba57-d4e9d7f512ff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4259919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!/view?docid=b3dbfb44-1c9e-47a6-b8f4-6010f553731b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_Toc202437700</vt:lpwstr>
      </vt:variant>
      <vt:variant>
        <vt:i4>1900597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_Toc202437699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_Toc202437698</vt:lpwstr>
      </vt:variant>
      <vt:variant>
        <vt:i4>1900597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_Toc202437697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_Toc202437696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2007-01-03T14:56:00Z</cp:lastPrinted>
  <dcterms:created xsi:type="dcterms:W3CDTF">2025-07-14T13:14:00Z</dcterms:created>
  <dcterms:modified xsi:type="dcterms:W3CDTF">2025-07-14T13:14:00Z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2022-01-27T14:30:14Z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64bf1e47-f0bd-4307-9091-55213845f8a1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0x0101001A0A3BBE54751744BBECBCBB66053775</vt:lpwstr>
  </property>
  <property fmtid="{D5CDD505-2E9C-101B-9397-08002B2CF9AE}" pid="10" name="MediaServiceImageTags">
    <vt:lpwstr/>
  </property>
</Properties>
</file>