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5F5D4" w14:textId="1055B11E" w:rsidR="00B94269" w:rsidRDefault="00A56248" w:rsidP="00CA6952">
      <w:pPr>
        <w:pStyle w:val="Heading1"/>
        <w:spacing w:before="120" w:after="120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auto"/>
          <w:sz w:val="36"/>
          <w:szCs w:val="36"/>
        </w:rPr>
        <w:t>PeopleSafe</w:t>
      </w:r>
      <w:proofErr w:type="spellEnd"/>
      <w:r w:rsidR="002F053F">
        <w:rPr>
          <w:rFonts w:ascii="Verdana" w:hAnsi="Verdana"/>
          <w:color w:val="auto"/>
          <w:sz w:val="36"/>
          <w:szCs w:val="36"/>
        </w:rPr>
        <w:t xml:space="preserve"> </w:t>
      </w:r>
      <w:r>
        <w:rPr>
          <w:rFonts w:ascii="Verdana" w:hAnsi="Verdana"/>
          <w:color w:val="auto"/>
          <w:sz w:val="36"/>
          <w:szCs w:val="36"/>
        </w:rPr>
        <w:t xml:space="preserve">- </w:t>
      </w:r>
      <w:r w:rsidR="00392BDC">
        <w:rPr>
          <w:rFonts w:ascii="Verdana" w:hAnsi="Verdana"/>
          <w:color w:val="auto"/>
          <w:sz w:val="36"/>
          <w:szCs w:val="36"/>
        </w:rPr>
        <w:t>Mail Order Calls Regarding Deceased Members</w:t>
      </w:r>
      <w:r w:rsidR="00E04EA1">
        <w:rPr>
          <w:rFonts w:ascii="Verdana" w:hAnsi="Verdana"/>
          <w:color w:val="auto"/>
          <w:sz w:val="36"/>
          <w:szCs w:val="36"/>
        </w:rPr>
        <w:t xml:space="preserve"> </w:t>
      </w:r>
      <w:r w:rsidR="0057598D">
        <w:rPr>
          <w:rFonts w:ascii="Verdana" w:hAnsi="Verdana"/>
          <w:color w:val="auto"/>
          <w:sz w:val="36"/>
          <w:szCs w:val="36"/>
        </w:rPr>
        <w:t xml:space="preserve"> </w:t>
      </w:r>
    </w:p>
    <w:p w14:paraId="0536939D" w14:textId="77777777" w:rsidR="00284140" w:rsidRPr="00284140" w:rsidRDefault="00284140" w:rsidP="00284140">
      <w:pPr>
        <w:pStyle w:val="Heading4"/>
      </w:pPr>
    </w:p>
    <w:bookmarkStart w:id="1" w:name="OLE_LINK9"/>
    <w:p w14:paraId="7ABB976C" w14:textId="1A93E6DD" w:rsidR="00182BFC" w:rsidRPr="00284140" w:rsidRDefault="00D123DA" w:rsidP="00CA6952">
      <w:pPr>
        <w:spacing w:before="120" w:after="120"/>
        <w:rPr>
          <w:rFonts w:eastAsiaTheme="minorEastAsia" w:cstheme="minorBidi"/>
          <w:noProof/>
          <w:sz w:val="22"/>
          <w:szCs w:val="22"/>
        </w:rPr>
      </w:pPr>
      <w:r w:rsidRPr="00CA6952">
        <w:fldChar w:fldCharType="begin"/>
      </w:r>
      <w:r w:rsidRPr="00CA6952">
        <w:instrText xml:space="preserve"> TOC \o "2-2" \n \p " " \h \z \u </w:instrText>
      </w:r>
      <w:r w:rsidRPr="00CA6952">
        <w:fldChar w:fldCharType="separate"/>
      </w:r>
      <w:hyperlink w:anchor="_Toc161655192" w:history="1">
        <w:r w:rsidR="00182BFC" w:rsidRPr="00284140">
          <w:rPr>
            <w:rStyle w:val="Hyperlink"/>
            <w:noProof/>
          </w:rPr>
          <w:t>Express Empathy for Calls Regarding Deceased Members</w:t>
        </w:r>
      </w:hyperlink>
    </w:p>
    <w:p w14:paraId="09ACFED4" w14:textId="70057754" w:rsidR="00182BFC" w:rsidRPr="00284140" w:rsidRDefault="00182BFC" w:rsidP="00CA6952">
      <w:pPr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61655193" w:history="1">
        <w:r w:rsidRPr="00284140">
          <w:rPr>
            <w:rStyle w:val="Hyperlink"/>
            <w:noProof/>
          </w:rPr>
          <w:t>Member Deceased But Showing Eligible in PeopleSafe</w:t>
        </w:r>
      </w:hyperlink>
    </w:p>
    <w:p w14:paraId="4CB8B068" w14:textId="0111E8BE" w:rsidR="00182BFC" w:rsidRPr="00284140" w:rsidRDefault="00182BFC" w:rsidP="00CA6952">
      <w:pPr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61655194" w:history="1">
        <w:r w:rsidRPr="00284140">
          <w:rPr>
            <w:rStyle w:val="Hyperlink"/>
            <w:noProof/>
          </w:rPr>
          <w:t>Return of Medication</w:t>
        </w:r>
      </w:hyperlink>
    </w:p>
    <w:p w14:paraId="645451C2" w14:textId="3C224D9D" w:rsidR="00182BFC" w:rsidRPr="00284140" w:rsidRDefault="00182BFC" w:rsidP="00CA6952">
      <w:pPr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61655195" w:history="1">
        <w:r w:rsidRPr="00284140">
          <w:rPr>
            <w:rStyle w:val="Hyperlink"/>
            <w:noProof/>
          </w:rPr>
          <w:t>Statement of Cost (SOC) Request for Deceased Member</w:t>
        </w:r>
      </w:hyperlink>
    </w:p>
    <w:p w14:paraId="11D1605D" w14:textId="36CA74C9" w:rsidR="00182BFC" w:rsidRPr="00284140" w:rsidRDefault="00182BFC" w:rsidP="00CA6952">
      <w:pPr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61655196" w:history="1">
        <w:r w:rsidRPr="00284140">
          <w:rPr>
            <w:rStyle w:val="Hyperlink"/>
            <w:noProof/>
          </w:rPr>
          <w:t>Mail Service Account Balances, Credits, and Reissue Checks for Deceased Payee</w:t>
        </w:r>
      </w:hyperlink>
    </w:p>
    <w:p w14:paraId="286A7DF1" w14:textId="0B5D9D84" w:rsidR="00182BFC" w:rsidRPr="00284140" w:rsidRDefault="00182BFC" w:rsidP="00CA6952">
      <w:pPr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61655197" w:history="1">
        <w:r w:rsidRPr="00284140">
          <w:rPr>
            <w:rStyle w:val="Hyperlink"/>
            <w:noProof/>
          </w:rPr>
          <w:t>Related Documents</w:t>
        </w:r>
      </w:hyperlink>
    </w:p>
    <w:p w14:paraId="08606A01" w14:textId="186E5C32" w:rsidR="00D123DA" w:rsidRDefault="00D123DA" w:rsidP="00CA6952">
      <w:pPr>
        <w:spacing w:before="120" w:after="120"/>
      </w:pPr>
      <w:r w:rsidRPr="00CA6952">
        <w:fldChar w:fldCharType="end"/>
      </w:r>
    </w:p>
    <w:p w14:paraId="0A4C9591" w14:textId="627AFDDE" w:rsidR="00E82E63" w:rsidRDefault="00895088" w:rsidP="00644FDD">
      <w:pPr>
        <w:spacing w:before="120" w:after="120"/>
        <w:rPr>
          <w:rStyle w:val="ui-provider"/>
        </w:rPr>
      </w:pPr>
      <w:r w:rsidRPr="009745D0">
        <w:rPr>
          <w:b/>
          <w:bCs/>
        </w:rPr>
        <w:t>Description</w:t>
      </w:r>
      <w:r w:rsidR="00C778DA">
        <w:rPr>
          <w:b/>
          <w:bCs/>
        </w:rPr>
        <w:t xml:space="preserve">: </w:t>
      </w:r>
      <w:r>
        <w:rPr>
          <w:rStyle w:val="ui-provider"/>
        </w:rPr>
        <w:t>Provides the processes to use when a member has died and a call is made to Home Delivery to inform us.</w:t>
      </w:r>
    </w:p>
    <w:p w14:paraId="504545F4" w14:textId="77777777" w:rsidR="00685B17" w:rsidRDefault="00685B17" w:rsidP="00CA6952">
      <w:pPr>
        <w:spacing w:before="120" w:after="120"/>
        <w:rPr>
          <w:rStyle w:val="ui-provider"/>
        </w:rPr>
      </w:pPr>
    </w:p>
    <w:p w14:paraId="57D53C28" w14:textId="52745A6B" w:rsidR="003D3C56" w:rsidRDefault="003D3C56" w:rsidP="00CA6952">
      <w:pPr>
        <w:spacing w:before="120" w:after="120"/>
        <w:rPr>
          <w:rStyle w:val="ui-provider"/>
          <w:noProof/>
        </w:rPr>
      </w:pPr>
      <w:r>
        <w:rPr>
          <w:b/>
          <w:bCs/>
          <w:noProof/>
        </w:rPr>
        <w:drawing>
          <wp:inline distT="0" distB="0" distL="0" distR="0" wp14:anchorId="15A5985D" wp14:editId="3E3F9FDA">
            <wp:extent cx="304762" cy="304762"/>
            <wp:effectExtent l="0" t="0" r="635" b="635"/>
            <wp:docPr id="173364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46930" name="Picture 17336469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2E0">
        <w:rPr>
          <w:rStyle w:val="ui-provider"/>
          <w:b/>
          <w:bCs/>
        </w:rPr>
        <w:t xml:space="preserve"> </w:t>
      </w:r>
      <w:r w:rsidR="00685B17" w:rsidRPr="00CA6952">
        <w:rPr>
          <w:rStyle w:val="ui-provider"/>
          <w:b/>
          <w:bCs/>
        </w:rPr>
        <w:t>Note:</w:t>
      </w:r>
      <w:r w:rsidR="00685B17">
        <w:rPr>
          <w:rStyle w:val="ui-provider"/>
        </w:rPr>
        <w:t xml:space="preserve"> </w:t>
      </w:r>
      <w:r w:rsidR="00685B17">
        <w:rPr>
          <w:noProof/>
        </w:rPr>
        <w:t xml:space="preserve">For Medicare D, refer to </w:t>
      </w:r>
      <w:hyperlink r:id="rId9" w:anchor="!/view?docid=1c7a95aa-d870-4b4a-9045-5c96dfe6aece" w:history="1">
        <w:r w:rsidR="00685B17">
          <w:rPr>
            <w:rStyle w:val="Hyperlink"/>
            <w:noProof/>
          </w:rPr>
          <w:t>MED D - Deceased Beneficiary (044879)</w:t>
        </w:r>
      </w:hyperlink>
      <w:r w:rsidR="00685B17">
        <w:rPr>
          <w:noProof/>
        </w:rPr>
        <w:t>.</w:t>
      </w:r>
    </w:p>
    <w:p w14:paraId="69622423" w14:textId="77777777" w:rsidR="00895088" w:rsidRDefault="00895088" w:rsidP="00CA6952">
      <w:pPr>
        <w:spacing w:before="120" w:after="120"/>
        <w:rPr>
          <w:rStyle w:val="ui-provider"/>
        </w:rPr>
      </w:pPr>
    </w:p>
    <w:tbl>
      <w:tblPr>
        <w:tblStyle w:val="TableGrid"/>
        <w:tblW w:w="5000" w:type="pct"/>
        <w:tblInd w:w="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FE0C02" w14:paraId="7E0CB8EE" w14:textId="77777777" w:rsidTr="009745D0">
        <w:tc>
          <w:tcPr>
            <w:tcW w:w="5000" w:type="pct"/>
            <w:shd w:val="clear" w:color="auto" w:fill="BFBFBF" w:themeFill="background1" w:themeFillShade="BF"/>
          </w:tcPr>
          <w:p w14:paraId="000294A2" w14:textId="3AA49EEC" w:rsidR="00FE0C02" w:rsidRDefault="00FE0C02" w:rsidP="00644FDD">
            <w:pPr>
              <w:pStyle w:val="Heading2"/>
              <w:spacing w:before="120" w:after="120"/>
            </w:pPr>
            <w:bookmarkStart w:id="2" w:name="_Toc161655192"/>
            <w:r>
              <w:t>Express Empathy for Calls Regarding Deceased Members</w:t>
            </w:r>
            <w:bookmarkEnd w:id="2"/>
          </w:p>
        </w:tc>
      </w:tr>
    </w:tbl>
    <w:p w14:paraId="3BEA607D" w14:textId="77777777" w:rsidR="00FE0C02" w:rsidRDefault="00FE0C02" w:rsidP="00644FDD">
      <w:pPr>
        <w:spacing w:before="120" w:after="120"/>
      </w:pPr>
    </w:p>
    <w:p w14:paraId="01DB968E" w14:textId="361CB329" w:rsidR="001B2C81" w:rsidRPr="00CB79A4" w:rsidRDefault="001B2C81" w:rsidP="00CA6952">
      <w:pPr>
        <w:spacing w:before="120" w:after="120"/>
      </w:pPr>
      <w:bookmarkStart w:id="3" w:name="_Overview"/>
      <w:bookmarkEnd w:id="3"/>
      <w:r w:rsidRPr="00CB79A4">
        <w:t>W</w:t>
      </w:r>
      <w:r w:rsidR="00F52B26" w:rsidRPr="00CB79A4">
        <w:t xml:space="preserve">hen handling a call </w:t>
      </w:r>
      <w:r w:rsidR="0094390D">
        <w:t>regarding</w:t>
      </w:r>
      <w:r w:rsidR="00F52B26" w:rsidRPr="00CB79A4">
        <w:t xml:space="preserve"> a deceased member</w:t>
      </w:r>
      <w:r w:rsidRPr="00CB79A4">
        <w:t>, it’s impor</w:t>
      </w:r>
      <w:r w:rsidR="0094390D">
        <w:t>t</w:t>
      </w:r>
      <w:r w:rsidRPr="00CB79A4">
        <w:t>ant</w:t>
      </w:r>
      <w:r w:rsidR="0094390D">
        <w:t xml:space="preserve"> </w:t>
      </w:r>
      <w:r w:rsidR="00476B1D">
        <w:t xml:space="preserve">to </w:t>
      </w:r>
      <w:r w:rsidRPr="00CB79A4">
        <w:t>express</w:t>
      </w:r>
      <w:r w:rsidR="00F52B26" w:rsidRPr="00CB79A4">
        <w:t xml:space="preserve"> </w:t>
      </w:r>
      <w:r w:rsidRPr="00CB79A4">
        <w:t>e</w:t>
      </w:r>
      <w:r w:rsidR="00F52B26" w:rsidRPr="00CB79A4">
        <w:t>mpathy</w:t>
      </w:r>
      <w:r w:rsidRPr="00CB79A4">
        <w:t xml:space="preserve">. </w:t>
      </w:r>
    </w:p>
    <w:p w14:paraId="640CB428" w14:textId="7B75DA59" w:rsidR="001B2C81" w:rsidRPr="00CB79A4" w:rsidRDefault="001B2C81" w:rsidP="00CA6952">
      <w:pPr>
        <w:spacing w:before="120" w:after="120"/>
        <w:rPr>
          <w:rFonts w:cstheme="minorHAnsi"/>
        </w:rPr>
      </w:pPr>
      <w:r w:rsidRPr="00CA6952">
        <w:rPr>
          <w:rFonts w:cstheme="minorHAnsi"/>
          <w:b/>
          <w:bCs/>
        </w:rPr>
        <w:t>E</w:t>
      </w:r>
      <w:r w:rsidR="00F52B26" w:rsidRPr="00CA6952">
        <w:rPr>
          <w:rFonts w:cstheme="minorHAnsi"/>
          <w:b/>
          <w:bCs/>
        </w:rPr>
        <w:t>xample</w:t>
      </w:r>
      <w:r w:rsidRPr="00CA6952">
        <w:rPr>
          <w:rFonts w:cstheme="minorHAnsi"/>
          <w:b/>
          <w:bCs/>
        </w:rPr>
        <w:t>s</w:t>
      </w:r>
      <w:r w:rsidR="00F52B26" w:rsidRPr="00CB79A4">
        <w:rPr>
          <w:rFonts w:cstheme="minorHAnsi"/>
        </w:rPr>
        <w:t>:</w:t>
      </w:r>
    </w:p>
    <w:p w14:paraId="68F73B99" w14:textId="011B52D7" w:rsidR="001B2C81" w:rsidRPr="00CB79A4" w:rsidRDefault="001B2C81" w:rsidP="00CA6952">
      <w:pPr>
        <w:spacing w:before="120" w:after="120"/>
      </w:pPr>
      <w:r w:rsidRPr="00CB79A4">
        <w:rPr>
          <w:rFonts w:cstheme="minorHAnsi"/>
          <w:b/>
          <w:bCs/>
          <w:noProof/>
        </w:rPr>
        <w:lastRenderedPageBreak/>
        <w:drawing>
          <wp:inline distT="0" distB="0" distL="0" distR="0" wp14:anchorId="0B28508C" wp14:editId="47AAFB33">
            <wp:extent cx="238158" cy="20957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9A4">
        <w:rPr>
          <w:rFonts w:cstheme="minorHAnsi"/>
        </w:rPr>
        <w:t xml:space="preserve"> </w:t>
      </w:r>
      <w:bookmarkStart w:id="4" w:name="OLE_LINK12"/>
      <w:bookmarkStart w:id="5" w:name="OLE_LINK11"/>
      <w:r w:rsidR="00B12BC8" w:rsidRPr="00B12BC8">
        <w:rPr>
          <w:rFonts w:cstheme="minorHAnsi"/>
        </w:rPr>
        <w:t>I’m sorry you are going through th</w:t>
      </w:r>
      <w:r w:rsidR="00B12BC8">
        <w:rPr>
          <w:rFonts w:cstheme="minorHAnsi"/>
        </w:rPr>
        <w:t>is</w:t>
      </w:r>
      <w:r w:rsidR="00B12BC8" w:rsidRPr="00B12BC8">
        <w:rPr>
          <w:rFonts w:cstheme="minorHAnsi"/>
        </w:rPr>
        <w:t xml:space="preserve">. </w:t>
      </w:r>
      <w:r w:rsidR="00F52B26" w:rsidRPr="00CB79A4">
        <w:rPr>
          <w:rFonts w:cstheme="minorHAnsi"/>
        </w:rPr>
        <w:t>On behalf of CVS Caremark</w:t>
      </w:r>
      <w:r w:rsidRPr="00CB79A4">
        <w:rPr>
          <w:rFonts w:cstheme="minorHAnsi"/>
        </w:rPr>
        <w:t>,</w:t>
      </w:r>
      <w:r w:rsidR="00F52B26" w:rsidRPr="00CB79A4">
        <w:rPr>
          <w:rFonts w:cstheme="minorHAnsi"/>
        </w:rPr>
        <w:t xml:space="preserve"> please accept our </w:t>
      </w:r>
      <w:r w:rsidR="008F391D">
        <w:rPr>
          <w:rFonts w:cstheme="minorHAnsi"/>
        </w:rPr>
        <w:t xml:space="preserve">sincere </w:t>
      </w:r>
      <w:r w:rsidR="00F52B26" w:rsidRPr="00CB79A4">
        <w:rPr>
          <w:rFonts w:cstheme="minorHAnsi"/>
        </w:rPr>
        <w:t>condolences </w:t>
      </w:r>
      <w:r w:rsidRPr="00CB79A4">
        <w:rPr>
          <w:rFonts w:cstheme="minorHAnsi"/>
        </w:rPr>
        <w:t>for</w:t>
      </w:r>
      <w:r w:rsidR="00F52B26" w:rsidRPr="00CB79A4">
        <w:rPr>
          <w:rFonts w:cstheme="minorHAnsi"/>
        </w:rPr>
        <w:t xml:space="preserve"> your loss</w:t>
      </w:r>
      <w:r w:rsidRPr="00CB79A4">
        <w:rPr>
          <w:rFonts w:cstheme="minorHAnsi"/>
        </w:rPr>
        <w:t>.</w:t>
      </w:r>
      <w:bookmarkEnd w:id="4"/>
    </w:p>
    <w:bookmarkEnd w:id="5"/>
    <w:p w14:paraId="3932458C" w14:textId="667235CF" w:rsidR="00293DE0" w:rsidRPr="00CB79A4" w:rsidRDefault="00000000" w:rsidP="00CA6952">
      <w:pPr>
        <w:spacing w:before="120" w:after="120"/>
      </w:pPr>
      <w:r>
        <w:pict w14:anchorId="39A658F3">
          <v:shape id="Picture 7" o:spid="_x0000_i1026" type="#_x0000_t75" style="width:18.75pt;height:16.5pt;visibility:visible">
            <v:imagedata r:id="rId11" o:title=""/>
          </v:shape>
        </w:pict>
      </w:r>
      <w:r w:rsidR="00CB79A4">
        <w:t xml:space="preserve"> </w:t>
      </w:r>
      <w:bookmarkStart w:id="6" w:name="OLE_LINK15"/>
      <w:r w:rsidR="00F52B26" w:rsidRPr="00CB79A4">
        <w:t xml:space="preserve">I am </w:t>
      </w:r>
      <w:r w:rsidR="002B651B">
        <w:t>deeply</w:t>
      </w:r>
      <w:r w:rsidR="002B651B" w:rsidRPr="00CB79A4">
        <w:t xml:space="preserve"> </w:t>
      </w:r>
      <w:r w:rsidR="00F52B26" w:rsidRPr="00CB79A4">
        <w:t>sorry for your loss</w:t>
      </w:r>
      <w:r w:rsidR="001B2C81" w:rsidRPr="00CB79A4">
        <w:t xml:space="preserve">, </w:t>
      </w:r>
      <w:r w:rsidR="001F4FFB" w:rsidRPr="001F4FFB">
        <w:t>I can understand this must be overwhelming</w:t>
      </w:r>
      <w:r w:rsidR="001F4FFB">
        <w:t xml:space="preserve"> </w:t>
      </w:r>
      <w:r w:rsidR="00F52B26" w:rsidRPr="00CB79A4">
        <w:t>and I’m here to help</w:t>
      </w:r>
      <w:r w:rsidR="00293DE0" w:rsidRPr="00CB79A4">
        <w:t xml:space="preserve"> with &lt;reason member is calling&gt;. </w:t>
      </w:r>
    </w:p>
    <w:bookmarkEnd w:id="6"/>
    <w:p w14:paraId="55FE9AF4" w14:textId="3B02920B" w:rsidR="00F52B26" w:rsidRDefault="00871CFC" w:rsidP="00CA6952">
      <w:pPr>
        <w:spacing w:before="120" w:after="120"/>
      </w:pPr>
      <w:r w:rsidRPr="00CB79A4">
        <w:rPr>
          <w:b/>
          <w:bCs/>
          <w:noProof/>
        </w:rPr>
        <w:drawing>
          <wp:inline distT="0" distB="0" distL="0" distR="0" wp14:anchorId="1907FF95" wp14:editId="728BDBC7">
            <wp:extent cx="238158" cy="2095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9A4">
        <w:t xml:space="preserve"> </w:t>
      </w:r>
      <w:bookmarkStart w:id="7" w:name="OLE_LINK16"/>
      <w:bookmarkStart w:id="8" w:name="OLE_LINK8"/>
      <w:bookmarkStart w:id="9" w:name="OLE_LINK10"/>
      <w:r w:rsidR="00B12BC8" w:rsidRPr="00B12BC8">
        <w:t>I</w:t>
      </w:r>
      <w:r w:rsidR="00A02F34">
        <w:t>’</w:t>
      </w:r>
      <w:r w:rsidR="00B12BC8" w:rsidRPr="00B12BC8">
        <w:t xml:space="preserve">m so sorry to hear that. </w:t>
      </w:r>
      <w:r w:rsidR="005D40D7">
        <w:t>I realize this must be</w:t>
      </w:r>
      <w:r w:rsidR="00EB2667">
        <w:t xml:space="preserve"> a</w:t>
      </w:r>
      <w:r w:rsidR="005D40D7">
        <w:t xml:space="preserve"> very difficult</w:t>
      </w:r>
      <w:r w:rsidR="00EB2667">
        <w:t xml:space="preserve"> time</w:t>
      </w:r>
      <w:r w:rsidR="00856A54">
        <w:t xml:space="preserve">, </w:t>
      </w:r>
      <w:r w:rsidR="00D33EDF">
        <w:t>what can I do to help?</w:t>
      </w:r>
      <w:bookmarkEnd w:id="7"/>
      <w:bookmarkEnd w:id="8"/>
      <w:bookmarkEnd w:id="9"/>
    </w:p>
    <w:p w14:paraId="1B820C1B" w14:textId="77777777" w:rsidR="008B629E" w:rsidRDefault="008B629E" w:rsidP="00CA6952">
      <w:pPr>
        <w:spacing w:before="120" w:after="120"/>
      </w:pPr>
    </w:p>
    <w:p w14:paraId="50CFFC48" w14:textId="4F68E34D" w:rsidR="00092F76" w:rsidRPr="008174A6" w:rsidRDefault="008C4DAB" w:rsidP="00CA6952">
      <w:pPr>
        <w:spacing w:before="120" w:after="120"/>
        <w:rPr>
          <w:rFonts w:ascii="Times New Roman" w:hAnsi="Times New Roman"/>
          <w:color w:val="000000"/>
        </w:rPr>
      </w:pPr>
      <w:r w:rsidRPr="00D030D5">
        <w:rPr>
          <w:b/>
          <w:bCs/>
        </w:rPr>
        <w:t>Note</w:t>
      </w:r>
      <w:r w:rsidR="00C778DA">
        <w:rPr>
          <w:b/>
          <w:bCs/>
        </w:rPr>
        <w:t xml:space="preserve">: </w:t>
      </w:r>
      <w:r w:rsidR="00575065" w:rsidRPr="008174A6">
        <w:t>A</w:t>
      </w:r>
      <w:r w:rsidR="006A4421" w:rsidRPr="008174A6">
        <w:t>lways authenticate the account fully</w:t>
      </w:r>
      <w:r w:rsidR="006B32D5" w:rsidRPr="008174A6">
        <w:t xml:space="preserve"> before providing any </w:t>
      </w:r>
      <w:r w:rsidR="00175A14" w:rsidRPr="008174A6">
        <w:t xml:space="preserve">information. </w:t>
      </w:r>
      <w:r w:rsidR="0080100C" w:rsidRPr="008174A6">
        <w:t>For deceased members</w:t>
      </w:r>
      <w:r w:rsidR="00575065" w:rsidRPr="008174A6">
        <w:t>,</w:t>
      </w:r>
      <w:r w:rsidR="0080100C" w:rsidRPr="008174A6">
        <w:t xml:space="preserve"> it is not </w:t>
      </w:r>
      <w:r w:rsidR="00727388" w:rsidRPr="008174A6">
        <w:t>necessary to</w:t>
      </w:r>
      <w:r w:rsidR="00435BF1" w:rsidRPr="008174A6">
        <w:t xml:space="preserve"> ask the </w:t>
      </w:r>
      <w:r w:rsidR="00D532CB" w:rsidRPr="008174A6">
        <w:t>third-party</w:t>
      </w:r>
      <w:r w:rsidR="00435BF1" w:rsidRPr="008174A6">
        <w:t xml:space="preserve"> question</w:t>
      </w:r>
      <w:r w:rsidR="0062004E" w:rsidRPr="008174A6">
        <w:t xml:space="preserve"> after authenticators have been provided</w:t>
      </w:r>
      <w:r w:rsidR="00435BF1" w:rsidRPr="008174A6">
        <w:t xml:space="preserve">. </w:t>
      </w:r>
      <w:r w:rsidR="00092F76" w:rsidRPr="008174A6">
        <w:t xml:space="preserve">Refer to </w:t>
      </w:r>
      <w:hyperlink r:id="rId12" w:anchor="!/view?docid=6f0cee90-4504-46c5-9354-8aa3483e7f4b" w:history="1">
        <w:r w:rsidR="009A3A76" w:rsidRPr="003D3C56">
          <w:rPr>
            <w:rStyle w:val="Hyperlink"/>
          </w:rPr>
          <w:t xml:space="preserve">Compass or </w:t>
        </w:r>
        <w:proofErr w:type="spellStart"/>
        <w:r w:rsidR="009A3A76" w:rsidRPr="003D3C56">
          <w:rPr>
            <w:rStyle w:val="Hyperlink"/>
          </w:rPr>
          <w:t>PeopleSafe</w:t>
        </w:r>
        <w:proofErr w:type="spellEnd"/>
        <w:r w:rsidR="009A3A76" w:rsidRPr="003D3C56">
          <w:rPr>
            <w:rStyle w:val="Hyperlink"/>
          </w:rPr>
          <w:t xml:space="preserve"> </w:t>
        </w:r>
        <w:r w:rsidR="00323457" w:rsidRPr="003D3C56">
          <w:rPr>
            <w:rStyle w:val="Hyperlink"/>
          </w:rPr>
          <w:t xml:space="preserve">- </w:t>
        </w:r>
        <w:r w:rsidR="003D3C56" w:rsidRPr="003D3C56">
          <w:rPr>
            <w:rStyle w:val="Hyperlink"/>
          </w:rPr>
          <w:t>Caller Authentication - Not CTI/IVR Authenticated Calls Including Authenticators  (059831)</w:t>
        </w:r>
        <w:r w:rsidR="008E37E0" w:rsidRPr="003D3C56">
          <w:rPr>
            <w:rStyle w:val="Hyperlink"/>
          </w:rPr>
          <w:t>.</w:t>
        </w:r>
      </w:hyperlink>
      <w:r w:rsidR="008E37E0" w:rsidRPr="008174A6">
        <w:rPr>
          <w:color w:val="000000"/>
        </w:rPr>
        <w:t xml:space="preserve"> </w:t>
      </w:r>
    </w:p>
    <w:p w14:paraId="714F39E5" w14:textId="6D087BFE" w:rsidR="00DE258B" w:rsidRDefault="00F01FA0" w:rsidP="009D5C67">
      <w:pPr>
        <w:spacing w:before="120"/>
        <w:jc w:val="right"/>
      </w:pPr>
      <w:hyperlink w:anchor="_top" w:history="1">
        <w:r w:rsidRPr="00F01FA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174C7" w14:paraId="4309260C" w14:textId="770A8771" w:rsidTr="00644FDD">
        <w:tc>
          <w:tcPr>
            <w:tcW w:w="5000" w:type="pct"/>
            <w:shd w:val="clear" w:color="auto" w:fill="BFBFBF" w:themeFill="background1" w:themeFillShade="BF"/>
          </w:tcPr>
          <w:p w14:paraId="12E05427" w14:textId="19B95BFC" w:rsidR="00C174C7" w:rsidRDefault="00C174C7" w:rsidP="0057598D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0" w:name="_Toc161655193"/>
            <w:bookmarkStart w:id="11" w:name="OLE_LINK26"/>
            <w:r>
              <w:rPr>
                <w:iCs w:val="0"/>
              </w:rPr>
              <w:t xml:space="preserve">Member Deceased </w:t>
            </w:r>
            <w:proofErr w:type="gramStart"/>
            <w:r>
              <w:rPr>
                <w:iCs w:val="0"/>
              </w:rPr>
              <w:t>But</w:t>
            </w:r>
            <w:proofErr w:type="gramEnd"/>
            <w:r>
              <w:rPr>
                <w:iCs w:val="0"/>
              </w:rPr>
              <w:t xml:space="preserve"> Showing Eligible in </w:t>
            </w:r>
            <w:proofErr w:type="spellStart"/>
            <w:r>
              <w:rPr>
                <w:iCs w:val="0"/>
              </w:rPr>
              <w:t>PeopleSafe</w:t>
            </w:r>
            <w:bookmarkEnd w:id="10"/>
            <w:proofErr w:type="spellEnd"/>
            <w:r w:rsidR="00842A9F">
              <w:rPr>
                <w:iCs w:val="0"/>
              </w:rPr>
              <w:t xml:space="preserve"> </w:t>
            </w:r>
            <w:bookmarkEnd w:id="11"/>
          </w:p>
        </w:tc>
      </w:tr>
    </w:tbl>
    <w:p w14:paraId="37E2D607" w14:textId="5DBE1195" w:rsidR="0025378D" w:rsidRDefault="00687962" w:rsidP="0057598D">
      <w:pPr>
        <w:spacing w:before="120" w:after="120"/>
      </w:pPr>
      <w: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12002"/>
      </w:tblGrid>
      <w:tr w:rsidR="00C93EF7" w:rsidRPr="008E028D" w14:paraId="715B4CF9" w14:textId="30B91E58" w:rsidTr="007B12E0">
        <w:tc>
          <w:tcPr>
            <w:tcW w:w="366" w:type="pct"/>
            <w:shd w:val="clear" w:color="auto" w:fill="D9D9D9" w:themeFill="background1" w:themeFillShade="D9"/>
          </w:tcPr>
          <w:p w14:paraId="315C05D1" w14:textId="4BCE897F" w:rsidR="0025378D" w:rsidRPr="008E028D" w:rsidRDefault="0025378D" w:rsidP="00AE5BEA">
            <w:pPr>
              <w:spacing w:before="120" w:after="120"/>
              <w:jc w:val="center"/>
              <w:rPr>
                <w:b/>
                <w:bCs/>
              </w:rPr>
            </w:pPr>
            <w:r w:rsidRPr="008E028D">
              <w:rPr>
                <w:b/>
                <w:bCs/>
              </w:rPr>
              <w:t>Step</w:t>
            </w:r>
          </w:p>
        </w:tc>
        <w:tc>
          <w:tcPr>
            <w:tcW w:w="4634" w:type="pct"/>
            <w:shd w:val="clear" w:color="auto" w:fill="D9D9D9" w:themeFill="background1" w:themeFillShade="D9"/>
          </w:tcPr>
          <w:p w14:paraId="3257E790" w14:textId="6B081922" w:rsidR="0025378D" w:rsidRPr="008E028D" w:rsidRDefault="0025378D" w:rsidP="00AE5BEA">
            <w:pPr>
              <w:spacing w:before="120" w:after="120"/>
              <w:jc w:val="center"/>
              <w:rPr>
                <w:b/>
                <w:bCs/>
              </w:rPr>
            </w:pPr>
            <w:r w:rsidRPr="008E028D">
              <w:rPr>
                <w:b/>
                <w:bCs/>
              </w:rPr>
              <w:t>Action</w:t>
            </w:r>
          </w:p>
        </w:tc>
      </w:tr>
      <w:tr w:rsidR="0025378D" w:rsidRPr="008E028D" w14:paraId="61D1F859" w14:textId="3D310EC8" w:rsidTr="007B12E0">
        <w:tc>
          <w:tcPr>
            <w:tcW w:w="366" w:type="pct"/>
          </w:tcPr>
          <w:p w14:paraId="56A4E3DB" w14:textId="1EF72F90" w:rsidR="0025378D" w:rsidRPr="008E028D" w:rsidRDefault="0025378D" w:rsidP="00AE5BEA">
            <w:pPr>
              <w:spacing w:before="120" w:after="120"/>
              <w:jc w:val="center"/>
              <w:rPr>
                <w:b/>
                <w:bCs/>
              </w:rPr>
            </w:pPr>
            <w:r w:rsidRPr="008E028D">
              <w:rPr>
                <w:b/>
                <w:bCs/>
              </w:rPr>
              <w:t>1</w:t>
            </w:r>
          </w:p>
        </w:tc>
        <w:tc>
          <w:tcPr>
            <w:tcW w:w="4634" w:type="pct"/>
          </w:tcPr>
          <w:p w14:paraId="0EC6204E" w14:textId="75EA6BA8" w:rsidR="0025378D" w:rsidRPr="008E028D" w:rsidRDefault="0025378D" w:rsidP="00AE5BEA">
            <w:pPr>
              <w:spacing w:before="120" w:after="120"/>
            </w:pPr>
            <w:r w:rsidRPr="008E028D">
              <w:t xml:space="preserve">Remind the caller that their </w:t>
            </w:r>
            <w:r w:rsidR="00687962">
              <w:t>C</w:t>
            </w:r>
            <w:r w:rsidRPr="008E028D">
              <w:t xml:space="preserve">lient’s </w:t>
            </w:r>
            <w:r w:rsidR="00687962">
              <w:t>B</w:t>
            </w:r>
            <w:r w:rsidRPr="008E028D">
              <w:t>enefits office should be notified.</w:t>
            </w:r>
          </w:p>
        </w:tc>
      </w:tr>
      <w:tr w:rsidR="0025378D" w:rsidRPr="008E028D" w14:paraId="6831640D" w14:textId="18D8A44B" w:rsidTr="007B12E0">
        <w:tc>
          <w:tcPr>
            <w:tcW w:w="366" w:type="pct"/>
          </w:tcPr>
          <w:p w14:paraId="4F314805" w14:textId="09806424" w:rsidR="0025378D" w:rsidRPr="008E028D" w:rsidRDefault="0025378D" w:rsidP="00AE5BEA">
            <w:pPr>
              <w:spacing w:before="120" w:after="120"/>
              <w:jc w:val="center"/>
              <w:rPr>
                <w:b/>
                <w:bCs/>
              </w:rPr>
            </w:pPr>
            <w:r w:rsidRPr="008E028D">
              <w:rPr>
                <w:b/>
                <w:bCs/>
              </w:rPr>
              <w:t>2</w:t>
            </w:r>
          </w:p>
        </w:tc>
        <w:tc>
          <w:tcPr>
            <w:tcW w:w="4634" w:type="pct"/>
          </w:tcPr>
          <w:p w14:paraId="3E15DFA4" w14:textId="759A13FB" w:rsidR="0025378D" w:rsidRPr="008E028D" w:rsidRDefault="0025378D" w:rsidP="00687962">
            <w:pPr>
              <w:spacing w:before="120" w:after="120"/>
            </w:pPr>
            <w:r w:rsidRPr="008E028D">
              <w:t xml:space="preserve">Add a temporary </w:t>
            </w:r>
            <w:hyperlink r:id="rId13" w:anchor="!/view?docid=6a481d2d-cc6d-40f0-af30-1858db02b7a4" w:history="1">
              <w:r w:rsidR="009C7574">
                <w:rPr>
                  <w:rStyle w:val="Hyperlink"/>
                </w:rPr>
                <w:t>Stop See Comment (007009)</w:t>
              </w:r>
            </w:hyperlink>
            <w:r w:rsidRPr="008E028D">
              <w:t xml:space="preserve"> with the information of who called to give the notification of death, their relationship to the member</w:t>
            </w:r>
            <w:r w:rsidR="00687962">
              <w:t xml:space="preserve"> and</w:t>
            </w:r>
            <w:r w:rsidRPr="008E028D">
              <w:t xml:space="preserve"> the date</w:t>
            </w:r>
            <w:r w:rsidR="00687962">
              <w:t xml:space="preserve"> they died.</w:t>
            </w:r>
          </w:p>
        </w:tc>
      </w:tr>
      <w:tr w:rsidR="0025378D" w:rsidRPr="008E028D" w14:paraId="0AF9543D" w14:textId="233A16B7" w:rsidTr="007B12E0">
        <w:tc>
          <w:tcPr>
            <w:tcW w:w="366" w:type="pct"/>
          </w:tcPr>
          <w:p w14:paraId="49D83FE2" w14:textId="51FD63FA" w:rsidR="0025378D" w:rsidRPr="008E028D" w:rsidRDefault="0025378D" w:rsidP="00AE5BEA">
            <w:pPr>
              <w:spacing w:before="120" w:after="120"/>
              <w:jc w:val="center"/>
              <w:rPr>
                <w:b/>
                <w:bCs/>
              </w:rPr>
            </w:pPr>
            <w:r w:rsidRPr="008E028D">
              <w:rPr>
                <w:b/>
                <w:bCs/>
              </w:rPr>
              <w:t>3</w:t>
            </w:r>
          </w:p>
        </w:tc>
        <w:tc>
          <w:tcPr>
            <w:tcW w:w="4634" w:type="pct"/>
          </w:tcPr>
          <w:p w14:paraId="08178FEE" w14:textId="75451F1A" w:rsidR="0025378D" w:rsidRPr="008E028D" w:rsidRDefault="0025378D" w:rsidP="00AE5BEA">
            <w:pPr>
              <w:spacing w:before="120" w:after="120"/>
            </w:pPr>
            <w:r w:rsidRPr="008E028D">
              <w:t xml:space="preserve">Place all future orders </w:t>
            </w:r>
            <w:hyperlink r:id="rId14" w:anchor="!/view?docid=76ff600a-8205-4ae2-82c0-cf3d007af90c" w:history="1">
              <w:r w:rsidR="009C7574">
                <w:rPr>
                  <w:rStyle w:val="Hyperlink"/>
                </w:rPr>
                <w:t>on hold (027254)</w:t>
              </w:r>
            </w:hyperlink>
            <w:r w:rsidRPr="008E028D">
              <w:t xml:space="preserve"> until the line of eligibility can be closed.  This includes any prescriptions enrolled in the auto renew and refill program.  </w:t>
            </w:r>
          </w:p>
        </w:tc>
      </w:tr>
      <w:tr w:rsidR="0025378D" w:rsidRPr="008E028D" w14:paraId="5B351935" w14:textId="5DEC38CD" w:rsidTr="007B12E0">
        <w:tc>
          <w:tcPr>
            <w:tcW w:w="366" w:type="pct"/>
          </w:tcPr>
          <w:p w14:paraId="1A21532C" w14:textId="668F0FB0" w:rsidR="0025378D" w:rsidRPr="008E028D" w:rsidRDefault="0025378D" w:rsidP="00AE5BEA">
            <w:pPr>
              <w:spacing w:before="120" w:after="120"/>
              <w:jc w:val="center"/>
              <w:rPr>
                <w:b/>
                <w:bCs/>
              </w:rPr>
            </w:pPr>
            <w:bookmarkStart w:id="12" w:name="STEP4"/>
            <w:r w:rsidRPr="008E028D">
              <w:rPr>
                <w:b/>
                <w:bCs/>
              </w:rPr>
              <w:t>4</w:t>
            </w:r>
            <w:bookmarkEnd w:id="12"/>
          </w:p>
        </w:tc>
        <w:tc>
          <w:tcPr>
            <w:tcW w:w="4634" w:type="pct"/>
          </w:tcPr>
          <w:p w14:paraId="45351C41" w14:textId="77777777" w:rsidR="0025378D" w:rsidRDefault="0025378D" w:rsidP="00AE5BEA">
            <w:pPr>
              <w:spacing w:before="120" w:after="120"/>
            </w:pPr>
            <w:r w:rsidRPr="008E028D">
              <w:t xml:space="preserve">Remove the member’s email address and </w:t>
            </w:r>
            <w:hyperlink r:id="rId15" w:anchor="!/view?docid=918203d3-2d76-4044-b2d9-0ced0504d471" w:history="1">
              <w:r w:rsidR="003E4F71">
                <w:rPr>
                  <w:rStyle w:val="Hyperlink"/>
                </w:rPr>
                <w:t>turn off all of the Messaging Platform alerts (027674)</w:t>
              </w:r>
            </w:hyperlink>
            <w:r w:rsidRPr="008E028D">
              <w:t xml:space="preserve">. </w:t>
            </w:r>
          </w:p>
          <w:p w14:paraId="692A8BFA" w14:textId="77777777" w:rsidR="003F700E" w:rsidRDefault="003F700E" w:rsidP="00AE5BEA">
            <w:pPr>
              <w:spacing w:before="120" w:after="120"/>
            </w:pPr>
          </w:p>
          <w:p w14:paraId="0B807C81" w14:textId="3FC7EC0E" w:rsidR="003F700E" w:rsidRPr="008E028D" w:rsidRDefault="003D3C56" w:rsidP="00AE5BEA">
            <w:pPr>
              <w:spacing w:before="120" w:after="120"/>
            </w:pPr>
            <w:r>
              <w:rPr>
                <w:b/>
                <w:bCs/>
                <w:noProof/>
              </w:rPr>
              <w:drawing>
                <wp:inline distT="0" distB="0" distL="0" distR="0" wp14:anchorId="0832123B" wp14:editId="100251BE">
                  <wp:extent cx="304762" cy="304762"/>
                  <wp:effectExtent l="0" t="0" r="635" b="635"/>
                  <wp:docPr id="15381353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135330" name="Picture 153813533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F700E" w:rsidRPr="00CA6952">
              <w:rPr>
                <w:b/>
                <w:bCs/>
              </w:rPr>
              <w:t>Result:</w:t>
            </w:r>
            <w:r w:rsidR="003F700E">
              <w:t xml:space="preserve"> </w:t>
            </w:r>
            <w:hyperlink r:id="rId16" w:anchor="!/view?docid=f28dbdf4-4355-45be-95c4-6bda1c08a521" w:history="1">
              <w:r w:rsidR="00644FDD">
                <w:rPr>
                  <w:rStyle w:val="Hyperlink"/>
                </w:rPr>
                <w:t>Cresta (067901)</w:t>
              </w:r>
            </w:hyperlink>
            <w:r w:rsidR="003F700E">
              <w:t xml:space="preserve"> will </w:t>
            </w:r>
            <w:r w:rsidR="00027F2D">
              <w:t>generate</w:t>
            </w:r>
            <w:r w:rsidR="00E213F7">
              <w:t xml:space="preserve"> call summary notes </w:t>
            </w:r>
            <w:r w:rsidR="003F700E">
              <w:t xml:space="preserve">and include the deceased member’s name. </w:t>
            </w:r>
          </w:p>
        </w:tc>
      </w:tr>
    </w:tbl>
    <w:p w14:paraId="0E323BEA" w14:textId="45F8D1F4" w:rsidR="00D14F18" w:rsidRDefault="00D14F18">
      <w:pPr>
        <w:jc w:val="right"/>
      </w:pPr>
      <w:bookmarkStart w:id="13" w:name="_Rationale"/>
      <w:bookmarkStart w:id="14" w:name="_Definitions"/>
      <w:bookmarkStart w:id="15" w:name="_Abbreviations/Definitions"/>
      <w:bookmarkEnd w:id="13"/>
      <w:bookmarkEnd w:id="14"/>
      <w:bookmarkEnd w:id="15"/>
    </w:p>
    <w:p w14:paraId="01B99A96" w14:textId="759B4B43" w:rsidR="005D052B" w:rsidRDefault="005D052B">
      <w:pPr>
        <w:jc w:val="right"/>
      </w:pPr>
    </w:p>
    <w:p w14:paraId="7D0102BB" w14:textId="26B4C900" w:rsidR="00B94269" w:rsidRDefault="00F01FA0">
      <w:pPr>
        <w:jc w:val="right"/>
      </w:pPr>
      <w:hyperlink w:anchor="_top" w:history="1">
        <w:r w:rsidRPr="00F01FA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94269" w14:paraId="72610D9D" w14:textId="75723176" w:rsidTr="00CA6952">
        <w:trPr>
          <w:trHeight w:val="593"/>
        </w:trPr>
        <w:tc>
          <w:tcPr>
            <w:tcW w:w="5000" w:type="pct"/>
            <w:shd w:val="clear" w:color="auto" w:fill="BFBFBF" w:themeFill="background1" w:themeFillShade="BF"/>
          </w:tcPr>
          <w:p w14:paraId="2AD2C1C9" w14:textId="6074A1DB" w:rsidR="00B94269" w:rsidRDefault="00442587" w:rsidP="0057598D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16" w:name="_Various_Work_Instructions"/>
            <w:bookmarkStart w:id="17" w:name="_Process"/>
            <w:bookmarkStart w:id="18" w:name="_Various_Work_Instructions1"/>
            <w:bookmarkStart w:id="19" w:name="_Various_Work_Instructions_1"/>
            <w:bookmarkStart w:id="20" w:name="_Return_of_Medication"/>
            <w:bookmarkStart w:id="21" w:name="_Toc161655194"/>
            <w:bookmarkEnd w:id="16"/>
            <w:bookmarkEnd w:id="17"/>
            <w:bookmarkEnd w:id="18"/>
            <w:bookmarkEnd w:id="19"/>
            <w:bookmarkEnd w:id="20"/>
            <w:r>
              <w:rPr>
                <w:iCs w:val="0"/>
              </w:rPr>
              <w:t>Return of Medication</w:t>
            </w:r>
            <w:bookmarkEnd w:id="21"/>
          </w:p>
        </w:tc>
      </w:tr>
    </w:tbl>
    <w:p w14:paraId="64ECE424" w14:textId="0A02F675" w:rsidR="00E3421C" w:rsidRDefault="00442587" w:rsidP="0057598D">
      <w:pPr>
        <w:spacing w:before="120" w:after="120"/>
        <w:rPr>
          <w:color w:val="000000"/>
        </w:rPr>
      </w:pPr>
      <w:r w:rsidRPr="0060087E">
        <w:rPr>
          <w:color w:val="000000"/>
        </w:rPr>
        <w:t xml:space="preserve">If the caller is requesting to return medication because the member is deceased, refer to </w:t>
      </w:r>
      <w:hyperlink r:id="rId17" w:anchor="!/view?docid=7b80562c-60b7-4616-b431-c0a481c4c9cb" w:history="1">
        <w:proofErr w:type="spellStart"/>
        <w:r w:rsidR="00644FDD">
          <w:rPr>
            <w:rStyle w:val="Hyperlink"/>
          </w:rPr>
          <w:t>PeopleSafe</w:t>
        </w:r>
        <w:proofErr w:type="spellEnd"/>
        <w:r w:rsidR="00644FDD">
          <w:rPr>
            <w:rStyle w:val="Hyperlink"/>
          </w:rPr>
          <w:t xml:space="preserve"> - Return Order Return Order Request (Formerly Refund Copay Credit/Mail Tag Request) (060206)</w:t>
        </w:r>
      </w:hyperlink>
      <w:r>
        <w:t xml:space="preserve"> </w:t>
      </w:r>
      <w:r w:rsidRPr="0060087E">
        <w:rPr>
          <w:color w:val="000000"/>
        </w:rPr>
        <w:t xml:space="preserve">for instructions.  </w:t>
      </w:r>
      <w:r w:rsidR="00C75647">
        <w:rPr>
          <w:color w:val="000000"/>
        </w:rPr>
        <w:t xml:space="preserve"> </w:t>
      </w:r>
    </w:p>
    <w:p w14:paraId="0A14A2A4" w14:textId="0A95EBDC" w:rsidR="006D1D67" w:rsidRDefault="006D1D67" w:rsidP="00132D68"/>
    <w:p w14:paraId="750B0D2B" w14:textId="5217C034" w:rsidR="005D052B" w:rsidRDefault="005D052B" w:rsidP="006D1D67">
      <w:pPr>
        <w:jc w:val="right"/>
      </w:pPr>
    </w:p>
    <w:p w14:paraId="54B01297" w14:textId="1D316A23" w:rsidR="00B94269" w:rsidRDefault="00F01FA0" w:rsidP="006D1D67">
      <w:pPr>
        <w:jc w:val="right"/>
      </w:pPr>
      <w:hyperlink w:anchor="_top" w:history="1">
        <w:r w:rsidRPr="00F01FA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F4847" w14:paraId="28E201F8" w14:textId="02D54C60" w:rsidTr="003F4847">
        <w:tc>
          <w:tcPr>
            <w:tcW w:w="5000" w:type="pct"/>
            <w:shd w:val="clear" w:color="auto" w:fill="C0C0C0"/>
          </w:tcPr>
          <w:p w14:paraId="01C620B9" w14:textId="1F3D0429" w:rsidR="003F4847" w:rsidRDefault="003F4847" w:rsidP="0057598D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22" w:name="_Toc161655195"/>
            <w:bookmarkStart w:id="23" w:name="OLE_LINK1"/>
            <w:bookmarkStart w:id="24" w:name="OLE_LINK2"/>
            <w:r>
              <w:rPr>
                <w:iCs w:val="0"/>
              </w:rPr>
              <w:t>Statement of Cost (SOC) Request for Deceased Member</w:t>
            </w:r>
            <w:bookmarkEnd w:id="22"/>
            <w:r w:rsidR="00E04EA1">
              <w:rPr>
                <w:iCs w:val="0"/>
              </w:rPr>
              <w:t xml:space="preserve"> </w:t>
            </w:r>
            <w:bookmarkEnd w:id="23"/>
            <w:bookmarkEnd w:id="24"/>
          </w:p>
        </w:tc>
      </w:tr>
    </w:tbl>
    <w:p w14:paraId="017259BF" w14:textId="5C44DD3C" w:rsidR="003F4847" w:rsidRPr="009E7950" w:rsidRDefault="003F4847" w:rsidP="0057598D">
      <w:pPr>
        <w:spacing w:before="120" w:after="120"/>
      </w:pPr>
      <w:r w:rsidRPr="0060087E">
        <w:rPr>
          <w:color w:val="000000"/>
        </w:rPr>
        <w:t xml:space="preserve">If the caller is requesting </w:t>
      </w:r>
      <w:r>
        <w:rPr>
          <w:color w:val="000000"/>
        </w:rPr>
        <w:t>to obtain a SOC for a Deceased member</w:t>
      </w:r>
      <w:r w:rsidRPr="0060087E">
        <w:rPr>
          <w:color w:val="000000"/>
        </w:rPr>
        <w:t xml:space="preserve">, refer to </w:t>
      </w:r>
      <w:bookmarkStart w:id="25" w:name="OLE_LINK7"/>
      <w:r w:rsidR="00644FDD">
        <w:rPr>
          <w:color w:val="000000"/>
        </w:rPr>
        <w:fldChar w:fldCharType="begin"/>
      </w:r>
      <w:r w:rsidR="00644FDD">
        <w:rPr>
          <w:color w:val="000000"/>
        </w:rPr>
        <w:instrText>HYPERLINK "https://thesource.cvshealth.com/nuxeo/thesource/" \l "!/view?docid=7049837e-d636-430e-b990-ae0706bd09e9"</w:instrText>
      </w:r>
      <w:r w:rsidR="00644FDD">
        <w:rPr>
          <w:color w:val="000000"/>
        </w:rPr>
      </w:r>
      <w:r w:rsidR="00644FDD">
        <w:rPr>
          <w:color w:val="000000"/>
        </w:rPr>
        <w:fldChar w:fldCharType="separate"/>
      </w:r>
      <w:proofErr w:type="spellStart"/>
      <w:r w:rsidR="00380895" w:rsidRPr="00644FDD">
        <w:rPr>
          <w:rStyle w:val="Hyperlink"/>
        </w:rPr>
        <w:t>PeopleSafe</w:t>
      </w:r>
      <w:proofErr w:type="spellEnd"/>
      <w:r w:rsidR="00380895" w:rsidRPr="00644FDD">
        <w:rPr>
          <w:rStyle w:val="Hyperlink"/>
        </w:rPr>
        <w:t xml:space="preserve"> - </w:t>
      </w:r>
      <w:bookmarkEnd w:id="25"/>
      <w:r w:rsidR="00F44DF2" w:rsidRPr="00644FDD">
        <w:rPr>
          <w:rStyle w:val="Hyperlink"/>
        </w:rPr>
        <w:t>Financial Statement of Cost (SOC) Member, Spouse or Dependent (043264)</w:t>
      </w:r>
      <w:r w:rsidR="00644FDD">
        <w:rPr>
          <w:color w:val="000000"/>
        </w:rPr>
        <w:fldChar w:fldCharType="end"/>
      </w:r>
      <w:r w:rsidR="0057598D" w:rsidRPr="009E7950">
        <w:t>.</w:t>
      </w:r>
    </w:p>
    <w:p w14:paraId="1542F2A9" w14:textId="00D95894" w:rsidR="005D052B" w:rsidRDefault="005D052B">
      <w:pPr>
        <w:jc w:val="right"/>
      </w:pPr>
    </w:p>
    <w:p w14:paraId="1AE9A5EB" w14:textId="52BAF7C2" w:rsidR="00B94269" w:rsidRDefault="00F01FA0">
      <w:pPr>
        <w:jc w:val="right"/>
      </w:pPr>
      <w:hyperlink w:anchor="_top" w:history="1">
        <w:r w:rsidRPr="00F01FA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839D3" w:rsidRPr="003218D5" w14:paraId="53F3CCBD" w14:textId="3CA7CE1E" w:rsidTr="00D030D5">
        <w:tc>
          <w:tcPr>
            <w:tcW w:w="5000" w:type="pct"/>
            <w:shd w:val="clear" w:color="auto" w:fill="C0C0C0"/>
          </w:tcPr>
          <w:p w14:paraId="108EDE53" w14:textId="1BF43ED8" w:rsidR="00E839D3" w:rsidRPr="003218D5" w:rsidRDefault="00C17068" w:rsidP="0057598D">
            <w:pPr>
              <w:pStyle w:val="Heading2"/>
              <w:spacing w:before="120" w:after="120"/>
              <w:rPr>
                <w:i/>
                <w:iCs w:val="0"/>
                <w:color w:val="000000"/>
              </w:rPr>
            </w:pPr>
            <w:bookmarkStart w:id="26" w:name="_Mail_Service_Account"/>
            <w:bookmarkStart w:id="27" w:name="_Toc161655196"/>
            <w:bookmarkStart w:id="28" w:name="OLE_LINK13"/>
            <w:bookmarkStart w:id="29" w:name="OLE_LINK14"/>
            <w:bookmarkStart w:id="30" w:name="OLE_LINK6"/>
            <w:bookmarkStart w:id="31" w:name="OLE_LINK5"/>
            <w:bookmarkStart w:id="32" w:name="_Hlk111036192"/>
            <w:bookmarkEnd w:id="26"/>
            <w:r w:rsidRPr="003218D5">
              <w:rPr>
                <w:iCs w:val="0"/>
                <w:color w:val="000000"/>
              </w:rPr>
              <w:t>Mail Service</w:t>
            </w:r>
            <w:r>
              <w:rPr>
                <w:iCs w:val="0"/>
                <w:color w:val="000000"/>
              </w:rPr>
              <w:t xml:space="preserve"> Account Balances,</w:t>
            </w:r>
            <w:r w:rsidRPr="003218D5">
              <w:rPr>
                <w:iCs w:val="0"/>
                <w:color w:val="000000"/>
              </w:rPr>
              <w:t xml:space="preserve"> Credits</w:t>
            </w:r>
            <w:r w:rsidR="003C696D">
              <w:rPr>
                <w:iCs w:val="0"/>
                <w:color w:val="000000"/>
              </w:rPr>
              <w:t>, and Reissue</w:t>
            </w:r>
            <w:r>
              <w:rPr>
                <w:iCs w:val="0"/>
                <w:color w:val="000000"/>
              </w:rPr>
              <w:t xml:space="preserve"> Checks for Deceased Payee</w:t>
            </w:r>
            <w:bookmarkEnd w:id="27"/>
            <w:bookmarkEnd w:id="28"/>
            <w:bookmarkEnd w:id="29"/>
            <w:bookmarkEnd w:id="30"/>
            <w:bookmarkEnd w:id="31"/>
          </w:p>
        </w:tc>
      </w:tr>
    </w:tbl>
    <w:bookmarkEnd w:id="32"/>
    <w:p w14:paraId="30A2E3B6" w14:textId="5D0D47F2" w:rsidR="00E839D3" w:rsidRPr="003218D5" w:rsidRDefault="00E839D3" w:rsidP="0057598D">
      <w:pPr>
        <w:spacing w:before="120" w:after="120"/>
        <w:rPr>
          <w:color w:val="000000"/>
        </w:rPr>
      </w:pPr>
      <w:r w:rsidRPr="003218D5">
        <w:rPr>
          <w:color w:val="000000"/>
        </w:rPr>
        <w:t xml:space="preserve">When a deceased member owes money </w:t>
      </w:r>
      <w:r w:rsidR="007D5194" w:rsidRPr="003218D5">
        <w:rPr>
          <w:color w:val="000000"/>
        </w:rPr>
        <w:t xml:space="preserve">or has </w:t>
      </w:r>
      <w:proofErr w:type="gramStart"/>
      <w:r w:rsidR="007D5194" w:rsidRPr="003218D5">
        <w:rPr>
          <w:color w:val="000000"/>
        </w:rPr>
        <w:t>a</w:t>
      </w:r>
      <w:r w:rsidR="00AA15B4">
        <w:rPr>
          <w:color w:val="000000"/>
        </w:rPr>
        <w:t xml:space="preserve"> </w:t>
      </w:r>
      <w:r w:rsidR="007D5194" w:rsidRPr="003218D5">
        <w:rPr>
          <w:color w:val="000000"/>
        </w:rPr>
        <w:t>credit</w:t>
      </w:r>
      <w:proofErr w:type="gramEnd"/>
      <w:r w:rsidR="007D5194" w:rsidRPr="003218D5">
        <w:rPr>
          <w:color w:val="000000"/>
        </w:rPr>
        <w:t xml:space="preserve"> on their account </w:t>
      </w:r>
      <w:r w:rsidRPr="003218D5">
        <w:rPr>
          <w:color w:val="000000"/>
        </w:rPr>
        <w:t xml:space="preserve">for mail service orders, </w:t>
      </w:r>
      <w:r w:rsidR="00291BB1" w:rsidRPr="003218D5">
        <w:rPr>
          <w:color w:val="000000"/>
        </w:rPr>
        <w:t xml:space="preserve">Finance will handle </w:t>
      </w:r>
      <w:r w:rsidR="0018644F" w:rsidRPr="003218D5">
        <w:rPr>
          <w:color w:val="000000"/>
        </w:rPr>
        <w:t>the account in the following ways:</w:t>
      </w:r>
    </w:p>
    <w:p w14:paraId="74068439" w14:textId="299FE117" w:rsidR="00E839D3" w:rsidRPr="003218D5" w:rsidRDefault="00E839D3" w:rsidP="0057598D">
      <w:pPr>
        <w:spacing w:before="120" w:after="120"/>
        <w:rPr>
          <w:color w:val="000000"/>
        </w:rPr>
      </w:pPr>
    </w:p>
    <w:p w14:paraId="390B6702" w14:textId="6D85C787" w:rsidR="007D5194" w:rsidRPr="003218D5" w:rsidRDefault="007D5194" w:rsidP="003D3C56">
      <w:pPr>
        <w:spacing w:before="120" w:after="120"/>
        <w:rPr>
          <w:b/>
          <w:color w:val="000000"/>
        </w:rPr>
      </w:pPr>
      <w:r w:rsidRPr="003218D5">
        <w:rPr>
          <w:b/>
          <w:color w:val="000000"/>
        </w:rPr>
        <w:lastRenderedPageBreak/>
        <w:t>Balance Due:</w:t>
      </w:r>
    </w:p>
    <w:p w14:paraId="057B8B93" w14:textId="68F7824F" w:rsidR="00E839D3" w:rsidRPr="003218D5" w:rsidRDefault="00E839D3" w:rsidP="003D3C56">
      <w:pPr>
        <w:spacing w:before="120" w:after="120"/>
        <w:rPr>
          <w:color w:val="000000"/>
        </w:rPr>
      </w:pPr>
      <w:r w:rsidRPr="008F0A45">
        <w:rPr>
          <w:color w:val="000000"/>
        </w:rPr>
        <w:t>1.</w:t>
      </w:r>
      <w:r w:rsidRPr="003218D5">
        <w:rPr>
          <w:color w:val="000000"/>
        </w:rPr>
        <w:t xml:space="preserve"> </w:t>
      </w:r>
      <w:r w:rsidR="006166A0">
        <w:rPr>
          <w:color w:val="000000"/>
        </w:rPr>
        <w:t>Our PBM</w:t>
      </w:r>
      <w:r w:rsidR="0018644F" w:rsidRPr="003218D5">
        <w:rPr>
          <w:color w:val="000000"/>
        </w:rPr>
        <w:t xml:space="preserve"> </w:t>
      </w:r>
      <w:r w:rsidR="0057598D">
        <w:rPr>
          <w:color w:val="000000"/>
        </w:rPr>
        <w:t>attempts</w:t>
      </w:r>
      <w:r w:rsidR="0018644F" w:rsidRPr="003218D5">
        <w:rPr>
          <w:color w:val="000000"/>
        </w:rPr>
        <w:t xml:space="preserve"> to collect the balance due. </w:t>
      </w:r>
      <w:r w:rsidR="00B0739B" w:rsidRPr="003218D5">
        <w:rPr>
          <w:color w:val="000000"/>
        </w:rPr>
        <w:t>Balances</w:t>
      </w:r>
      <w:r w:rsidRPr="003218D5">
        <w:rPr>
          <w:color w:val="000000"/>
        </w:rPr>
        <w:t xml:space="preserve"> owed on the account are billed </w:t>
      </w:r>
      <w:r w:rsidR="000D4FAD">
        <w:rPr>
          <w:color w:val="000000"/>
        </w:rPr>
        <w:t xml:space="preserve">for </w:t>
      </w:r>
      <w:r w:rsidRPr="003218D5">
        <w:rPr>
          <w:color w:val="000000"/>
        </w:rPr>
        <w:t xml:space="preserve">the first two months. If a death certificate is then received and indicates that there </w:t>
      </w:r>
      <w:r w:rsidR="0025378D">
        <w:rPr>
          <w:color w:val="000000"/>
        </w:rPr>
        <w:t>is not</w:t>
      </w:r>
      <w:r w:rsidR="0025378D" w:rsidRPr="003218D5">
        <w:rPr>
          <w:color w:val="000000"/>
        </w:rPr>
        <w:t xml:space="preserve"> </w:t>
      </w:r>
      <w:r w:rsidRPr="003218D5">
        <w:rPr>
          <w:color w:val="000000"/>
        </w:rPr>
        <w:t>any estate or funds are not available, the balance is written off.</w:t>
      </w:r>
    </w:p>
    <w:p w14:paraId="587FCD78" w14:textId="20E41D99" w:rsidR="004518BF" w:rsidRDefault="00E839D3" w:rsidP="003D3C56">
      <w:pPr>
        <w:spacing w:before="120" w:after="120"/>
        <w:rPr>
          <w:color w:val="000000"/>
        </w:rPr>
      </w:pPr>
      <w:r w:rsidRPr="008F0A45">
        <w:rPr>
          <w:color w:val="000000"/>
        </w:rPr>
        <w:t>2.</w:t>
      </w:r>
      <w:r w:rsidRPr="003218D5">
        <w:rPr>
          <w:color w:val="000000"/>
        </w:rPr>
        <w:t xml:space="preserve"> If </w:t>
      </w:r>
      <w:r w:rsidR="006166A0">
        <w:rPr>
          <w:color w:val="000000"/>
        </w:rPr>
        <w:t>our PBM</w:t>
      </w:r>
      <w:r w:rsidR="00B0739B" w:rsidRPr="003218D5">
        <w:rPr>
          <w:color w:val="000000"/>
        </w:rPr>
        <w:t xml:space="preserve"> is</w:t>
      </w:r>
      <w:r w:rsidRPr="003218D5">
        <w:rPr>
          <w:color w:val="000000"/>
        </w:rPr>
        <w:t xml:space="preserve"> notified that there is an </w:t>
      </w:r>
      <w:r w:rsidRPr="00687962">
        <w:rPr>
          <w:color w:val="000000"/>
        </w:rPr>
        <w:t>Executor</w:t>
      </w:r>
      <w:r w:rsidR="00C33166">
        <w:rPr>
          <w:color w:val="000000"/>
        </w:rPr>
        <w:t>,</w:t>
      </w:r>
      <w:r w:rsidR="009C7F19">
        <w:rPr>
          <w:color w:val="000000"/>
        </w:rPr>
        <w:t xml:space="preserve"> </w:t>
      </w:r>
      <w:r w:rsidR="009C7F19" w:rsidRPr="003218D5">
        <w:rPr>
          <w:color w:val="000000"/>
        </w:rPr>
        <w:t>the</w:t>
      </w:r>
      <w:r w:rsidR="009C7F19">
        <w:rPr>
          <w:color w:val="000000"/>
        </w:rPr>
        <w:t xml:space="preserve"> </w:t>
      </w:r>
      <w:r w:rsidR="00B0739B" w:rsidRPr="003218D5">
        <w:rPr>
          <w:color w:val="000000"/>
        </w:rPr>
        <w:t>Finance</w:t>
      </w:r>
      <w:r w:rsidRPr="003218D5">
        <w:rPr>
          <w:color w:val="000000"/>
        </w:rPr>
        <w:t xml:space="preserve"> </w:t>
      </w:r>
      <w:r w:rsidR="009C7F19">
        <w:rPr>
          <w:color w:val="000000"/>
        </w:rPr>
        <w:t xml:space="preserve">Department </w:t>
      </w:r>
      <w:r w:rsidRPr="003218D5">
        <w:rPr>
          <w:color w:val="000000"/>
        </w:rPr>
        <w:t xml:space="preserve">will wait however long it takes to receive a response from the Executor </w:t>
      </w:r>
      <w:r w:rsidR="00740CA7">
        <w:rPr>
          <w:color w:val="000000"/>
        </w:rPr>
        <w:t>and/</w:t>
      </w:r>
      <w:r w:rsidR="001D06E5">
        <w:rPr>
          <w:color w:val="000000"/>
        </w:rPr>
        <w:t xml:space="preserve">or </w:t>
      </w:r>
      <w:r w:rsidRPr="003218D5">
        <w:rPr>
          <w:color w:val="000000"/>
        </w:rPr>
        <w:t xml:space="preserve">payment on the account. </w:t>
      </w:r>
    </w:p>
    <w:p w14:paraId="39FA4B49" w14:textId="1B6312FD" w:rsidR="00E839D3" w:rsidRDefault="00E839D3" w:rsidP="003D3C56">
      <w:pPr>
        <w:spacing w:before="120" w:after="120"/>
        <w:rPr>
          <w:color w:val="000000"/>
        </w:rPr>
      </w:pPr>
      <w:r w:rsidRPr="003218D5">
        <w:rPr>
          <w:color w:val="000000"/>
        </w:rPr>
        <w:t xml:space="preserve">There are times, though not often, that there will not be enough funds to pay all debts and </w:t>
      </w:r>
      <w:r w:rsidR="00B0739B" w:rsidRPr="003218D5">
        <w:rPr>
          <w:color w:val="000000"/>
        </w:rPr>
        <w:t>the balance</w:t>
      </w:r>
      <w:r w:rsidRPr="003218D5">
        <w:rPr>
          <w:color w:val="000000"/>
        </w:rPr>
        <w:t xml:space="preserve"> can be written off, but not until </w:t>
      </w:r>
      <w:r w:rsidR="006166A0">
        <w:rPr>
          <w:color w:val="000000"/>
        </w:rPr>
        <w:t>our PBM</w:t>
      </w:r>
      <w:r w:rsidRPr="003218D5">
        <w:rPr>
          <w:color w:val="000000"/>
        </w:rPr>
        <w:t xml:space="preserve"> receive</w:t>
      </w:r>
      <w:r w:rsidR="00B0739B" w:rsidRPr="003218D5">
        <w:rPr>
          <w:color w:val="000000"/>
        </w:rPr>
        <w:t>s</w:t>
      </w:r>
      <w:r w:rsidRPr="003218D5">
        <w:rPr>
          <w:color w:val="000000"/>
        </w:rPr>
        <w:t xml:space="preserve"> notification.</w:t>
      </w:r>
      <w:r w:rsidR="00F06E9D">
        <w:rPr>
          <w:color w:val="000000"/>
        </w:rPr>
        <w:t xml:space="preserve"> </w:t>
      </w:r>
    </w:p>
    <w:p w14:paraId="3F87B59E" w14:textId="16F049B8" w:rsidR="0024379B" w:rsidRDefault="0024379B" w:rsidP="003D3C56">
      <w:pPr>
        <w:spacing w:before="120" w:after="120"/>
        <w:rPr>
          <w:color w:val="000000"/>
        </w:rPr>
      </w:pPr>
      <w:bookmarkStart w:id="33" w:name="OLE_LINK4"/>
      <w:r w:rsidRPr="0024379B">
        <w:rPr>
          <w:b/>
          <w:color w:val="000000"/>
        </w:rPr>
        <w:t>Note</w:t>
      </w:r>
      <w:r w:rsidR="00C778DA">
        <w:rPr>
          <w:b/>
          <w:color w:val="000000"/>
        </w:rPr>
        <w:t xml:space="preserve">: </w:t>
      </w:r>
      <w:r w:rsidRPr="003218D5">
        <w:rPr>
          <w:color w:val="000000"/>
        </w:rPr>
        <w:t xml:space="preserve">Power of Attorney is </w:t>
      </w:r>
      <w:r w:rsidR="0057598D">
        <w:rPr>
          <w:color w:val="000000"/>
        </w:rPr>
        <w:t xml:space="preserve">only valid </w:t>
      </w:r>
      <w:r w:rsidRPr="003218D5">
        <w:rPr>
          <w:color w:val="000000"/>
        </w:rPr>
        <w:t xml:space="preserve">when the member is alive; the Executor </w:t>
      </w:r>
      <w:r w:rsidR="0057598D">
        <w:rPr>
          <w:color w:val="000000"/>
        </w:rPr>
        <w:t xml:space="preserve">takes over </w:t>
      </w:r>
      <w:r w:rsidRPr="003218D5">
        <w:rPr>
          <w:color w:val="000000"/>
        </w:rPr>
        <w:t>after the member is deceased.</w:t>
      </w:r>
      <w:r w:rsidR="00474184">
        <w:rPr>
          <w:color w:val="000000"/>
        </w:rPr>
        <w:t xml:space="preserve"> </w:t>
      </w:r>
      <w:r w:rsidR="008736B9" w:rsidRPr="00F71BBA">
        <w:rPr>
          <w:color w:val="000000"/>
        </w:rPr>
        <w:t xml:space="preserve">For deceased members, CCRs can </w:t>
      </w:r>
      <w:r w:rsidR="0003426F" w:rsidRPr="00F71BBA">
        <w:rPr>
          <w:color w:val="000000"/>
        </w:rPr>
        <w:t>instruct</w:t>
      </w:r>
      <w:r w:rsidR="000524F1" w:rsidRPr="00F71BBA">
        <w:rPr>
          <w:color w:val="000000"/>
        </w:rPr>
        <w:t xml:space="preserve"> a</w:t>
      </w:r>
      <w:r w:rsidR="001B364E" w:rsidRPr="00F71BBA">
        <w:rPr>
          <w:color w:val="000000"/>
        </w:rPr>
        <w:t xml:space="preserve"> third-party </w:t>
      </w:r>
      <w:r w:rsidR="00BD2221" w:rsidRPr="00F71BBA">
        <w:rPr>
          <w:color w:val="000000"/>
        </w:rPr>
        <w:t xml:space="preserve">to </w:t>
      </w:r>
      <w:r w:rsidR="001B364E" w:rsidRPr="00F71BBA">
        <w:rPr>
          <w:color w:val="000000"/>
        </w:rPr>
        <w:t>add a new method of payment to make a one-time only payment</w:t>
      </w:r>
      <w:r w:rsidR="00B02FA7" w:rsidRPr="00F71BBA">
        <w:rPr>
          <w:color w:val="000000"/>
        </w:rPr>
        <w:t xml:space="preserve"> </w:t>
      </w:r>
      <w:r w:rsidR="00345004" w:rsidRPr="00F71BBA">
        <w:rPr>
          <w:color w:val="000000"/>
        </w:rPr>
        <w:t>for the</w:t>
      </w:r>
      <w:r w:rsidR="00A0301C" w:rsidRPr="00F71BBA">
        <w:rPr>
          <w:color w:val="000000"/>
        </w:rPr>
        <w:t xml:space="preserve"> balance on the account.</w:t>
      </w:r>
      <w:r w:rsidR="00B3000D" w:rsidRPr="00F71BBA">
        <w:rPr>
          <w:color w:val="000000"/>
        </w:rPr>
        <w:t xml:space="preserve"> </w:t>
      </w:r>
    </w:p>
    <w:p w14:paraId="3B936932" w14:textId="1B48D2E4" w:rsidR="00D274A6" w:rsidRDefault="00D274A6" w:rsidP="00CA6952">
      <w:pPr>
        <w:spacing w:before="120" w:after="120"/>
      </w:pPr>
      <w:r>
        <w:rPr>
          <w:noProof/>
        </w:rPr>
        <w:drawing>
          <wp:inline distT="0" distB="0" distL="0" distR="0" wp14:anchorId="4BF61BC0" wp14:editId="5B8E5FDC">
            <wp:extent cx="23812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952">
        <w:t xml:space="preserve"> </w:t>
      </w:r>
      <w:r>
        <w:t>When we reissue this check, if by chance you have any additional outstanding checks, please be aware we will reissue those at the same time. </w:t>
      </w:r>
    </w:p>
    <w:p w14:paraId="5CF1E55F" w14:textId="213771D7" w:rsidR="00B41B0F" w:rsidRPr="00F71BBA" w:rsidRDefault="00B41B0F" w:rsidP="0057598D">
      <w:pPr>
        <w:spacing w:before="120" w:after="120"/>
        <w:rPr>
          <w:color w:val="000000"/>
        </w:rPr>
      </w:pPr>
    </w:p>
    <w:bookmarkEnd w:id="33"/>
    <w:p w14:paraId="544F5340" w14:textId="3994BE0E" w:rsidR="00E839D3" w:rsidRPr="003218D5" w:rsidRDefault="00E839D3" w:rsidP="0057598D">
      <w:pPr>
        <w:spacing w:before="120" w:after="120"/>
        <w:rPr>
          <w:color w:val="000000"/>
        </w:rPr>
      </w:pPr>
    </w:p>
    <w:p w14:paraId="0239AAD3" w14:textId="03A8C1DB" w:rsidR="0018644F" w:rsidRPr="003218D5" w:rsidRDefault="0018644F" w:rsidP="0057598D">
      <w:pPr>
        <w:spacing w:before="120" w:after="120"/>
        <w:rPr>
          <w:color w:val="000000"/>
        </w:rPr>
      </w:pPr>
      <w:r w:rsidRPr="003218D5">
        <w:rPr>
          <w:b/>
          <w:color w:val="000000"/>
        </w:rPr>
        <w:t xml:space="preserve">Credit Due for </w:t>
      </w:r>
      <w:r w:rsidR="009C7F19">
        <w:rPr>
          <w:b/>
          <w:color w:val="000000"/>
        </w:rPr>
        <w:t>Deceased Member</w:t>
      </w:r>
      <w:r w:rsidRPr="003218D5">
        <w:rPr>
          <w:b/>
          <w:color w:val="000000"/>
        </w:rPr>
        <w:t>:</w:t>
      </w:r>
    </w:p>
    <w:p w14:paraId="795B1BB1" w14:textId="23782FF2" w:rsidR="00E839D3" w:rsidRPr="003218D5" w:rsidRDefault="0018644F" w:rsidP="0057598D">
      <w:pPr>
        <w:spacing w:before="120" w:after="120"/>
        <w:rPr>
          <w:color w:val="000000"/>
        </w:rPr>
      </w:pPr>
      <w:r w:rsidRPr="00A6007E">
        <w:rPr>
          <w:color w:val="000000"/>
        </w:rPr>
        <w:t>1</w:t>
      </w:r>
      <w:r w:rsidR="00B0739B" w:rsidRPr="00A6007E">
        <w:rPr>
          <w:color w:val="000000"/>
        </w:rPr>
        <w:t>.</w:t>
      </w:r>
      <w:r w:rsidR="00B0739B" w:rsidRPr="003218D5">
        <w:rPr>
          <w:color w:val="000000"/>
        </w:rPr>
        <w:t xml:space="preserve"> </w:t>
      </w:r>
      <w:r w:rsidR="009C7F19">
        <w:rPr>
          <w:color w:val="000000"/>
        </w:rPr>
        <w:t>When</w:t>
      </w:r>
      <w:r w:rsidR="00B0739B" w:rsidRPr="003218D5">
        <w:rPr>
          <w:color w:val="000000"/>
        </w:rPr>
        <w:t xml:space="preserve"> a deceased member has a credit balance</w:t>
      </w:r>
      <w:r w:rsidR="00E839D3" w:rsidRPr="003218D5">
        <w:rPr>
          <w:color w:val="000000"/>
        </w:rPr>
        <w:t xml:space="preserve"> on the account</w:t>
      </w:r>
      <w:r w:rsidR="00B0739B" w:rsidRPr="003218D5">
        <w:rPr>
          <w:color w:val="000000"/>
        </w:rPr>
        <w:t>,</w:t>
      </w:r>
      <w:r w:rsidR="00E839D3" w:rsidRPr="003218D5">
        <w:rPr>
          <w:color w:val="000000"/>
        </w:rPr>
        <w:t xml:space="preserve"> a refund is issued to the “Estate of </w:t>
      </w:r>
      <w:r w:rsidR="00445EA8">
        <w:rPr>
          <w:color w:val="000000"/>
        </w:rPr>
        <w:t>&lt;</w:t>
      </w:r>
      <w:r w:rsidR="00E839D3" w:rsidRPr="003218D5">
        <w:rPr>
          <w:color w:val="000000"/>
        </w:rPr>
        <w:t>cardholder’s name</w:t>
      </w:r>
      <w:r w:rsidR="00445EA8">
        <w:rPr>
          <w:color w:val="000000"/>
        </w:rPr>
        <w:t>&gt;</w:t>
      </w:r>
      <w:r w:rsidR="00736973">
        <w:rPr>
          <w:color w:val="000000"/>
        </w:rPr>
        <w:t>”</w:t>
      </w:r>
      <w:r w:rsidR="00E839D3" w:rsidRPr="003218D5">
        <w:rPr>
          <w:color w:val="000000"/>
        </w:rPr>
        <w:t>.</w:t>
      </w:r>
    </w:p>
    <w:p w14:paraId="079A95BF" w14:textId="6A503E70" w:rsidR="00DA0F52" w:rsidRDefault="0018644F" w:rsidP="0057598D">
      <w:pPr>
        <w:spacing w:before="120" w:after="120"/>
        <w:rPr>
          <w:color w:val="000000"/>
        </w:rPr>
      </w:pPr>
      <w:r w:rsidRPr="00A6007E">
        <w:rPr>
          <w:color w:val="000000"/>
        </w:rPr>
        <w:t>2</w:t>
      </w:r>
      <w:r w:rsidR="00B0739B" w:rsidRPr="00A6007E">
        <w:rPr>
          <w:color w:val="000000"/>
        </w:rPr>
        <w:t>.</w:t>
      </w:r>
      <w:r w:rsidR="00B0739B" w:rsidRPr="003218D5">
        <w:rPr>
          <w:color w:val="000000"/>
        </w:rPr>
        <w:t xml:space="preserve"> </w:t>
      </w:r>
      <w:r w:rsidR="00740CA7" w:rsidRPr="00740CA7">
        <w:rPr>
          <w:color w:val="000000"/>
        </w:rPr>
        <w:t xml:space="preserve">Depending on </w:t>
      </w:r>
      <w:r w:rsidR="00740CA7">
        <w:rPr>
          <w:color w:val="000000"/>
        </w:rPr>
        <w:t>their</w:t>
      </w:r>
      <w:r w:rsidR="00740CA7" w:rsidRPr="00740CA7">
        <w:rPr>
          <w:color w:val="000000"/>
        </w:rPr>
        <w:t xml:space="preserve"> relationship </w:t>
      </w:r>
      <w:proofErr w:type="gramStart"/>
      <w:r w:rsidR="00740CA7" w:rsidRPr="00740CA7">
        <w:rPr>
          <w:color w:val="000000"/>
        </w:rPr>
        <w:t>to</w:t>
      </w:r>
      <w:proofErr w:type="gramEnd"/>
      <w:r w:rsidR="00740CA7" w:rsidRPr="00740CA7">
        <w:rPr>
          <w:color w:val="000000"/>
        </w:rPr>
        <w:t xml:space="preserve"> the original payee, the following documentation is required:</w:t>
      </w:r>
      <w:r w:rsidR="00D123DA">
        <w:rPr>
          <w:color w:val="000000"/>
        </w:rPr>
        <w:t xml:space="preserve"> </w:t>
      </w:r>
    </w:p>
    <w:p w14:paraId="614EF957" w14:textId="0B981CFC" w:rsidR="00740CA7" w:rsidRPr="004A2C02" w:rsidRDefault="00835FF0" w:rsidP="0057598D">
      <w:pPr>
        <w:numPr>
          <w:ilvl w:val="0"/>
          <w:numId w:val="9"/>
        </w:numPr>
        <w:spacing w:before="120" w:after="120"/>
        <w:rPr>
          <w:color w:val="000000"/>
        </w:rPr>
      </w:pPr>
      <w:r w:rsidRPr="00D123DA">
        <w:rPr>
          <w:b/>
          <w:color w:val="000000"/>
        </w:rPr>
        <w:t>Surviving S</w:t>
      </w:r>
      <w:r w:rsidR="00740CA7" w:rsidRPr="00D123DA">
        <w:rPr>
          <w:b/>
          <w:color w:val="000000"/>
        </w:rPr>
        <w:t>pouse</w:t>
      </w:r>
      <w:r w:rsidR="00C778DA">
        <w:rPr>
          <w:b/>
          <w:bCs/>
          <w:color w:val="000000"/>
        </w:rPr>
        <w:t xml:space="preserve">: </w:t>
      </w:r>
      <w:r w:rsidR="00D123DA">
        <w:rPr>
          <w:color w:val="000000"/>
        </w:rPr>
        <w:t>A</w:t>
      </w:r>
      <w:r w:rsidR="00740CA7" w:rsidRPr="004A2C02">
        <w:rPr>
          <w:color w:val="000000"/>
        </w:rPr>
        <w:t xml:space="preserve"> copy of the death certificate indicating that </w:t>
      </w:r>
      <w:r w:rsidR="006E71C1">
        <w:rPr>
          <w:color w:val="000000"/>
        </w:rPr>
        <w:t>they</w:t>
      </w:r>
      <w:r w:rsidR="00740CA7" w:rsidRPr="004A2C02">
        <w:rPr>
          <w:color w:val="000000"/>
        </w:rPr>
        <w:t xml:space="preserve"> are the spouse </w:t>
      </w:r>
      <w:r w:rsidR="00EC3BCD">
        <w:rPr>
          <w:color w:val="000000"/>
        </w:rPr>
        <w:t>and</w:t>
      </w:r>
      <w:r w:rsidR="006E71C1">
        <w:rPr>
          <w:color w:val="000000"/>
        </w:rPr>
        <w:t xml:space="preserve"> their</w:t>
      </w:r>
      <w:r w:rsidR="00740CA7" w:rsidRPr="004A2C02">
        <w:rPr>
          <w:color w:val="000000"/>
        </w:rPr>
        <w:t xml:space="preserve"> Photo ID</w:t>
      </w:r>
      <w:r w:rsidR="006E71C1">
        <w:rPr>
          <w:color w:val="000000"/>
        </w:rPr>
        <w:t>.</w:t>
      </w:r>
      <w:r w:rsidR="00740CA7" w:rsidRPr="004A2C02">
        <w:rPr>
          <w:color w:val="000000"/>
        </w:rPr>
        <w:t xml:space="preserve"> </w:t>
      </w:r>
    </w:p>
    <w:p w14:paraId="2DC0675B" w14:textId="05358881" w:rsidR="00740CA7" w:rsidRPr="00740CA7" w:rsidRDefault="00740CA7" w:rsidP="0057598D">
      <w:pPr>
        <w:numPr>
          <w:ilvl w:val="0"/>
          <w:numId w:val="9"/>
        </w:numPr>
        <w:spacing w:before="120" w:after="120"/>
        <w:rPr>
          <w:color w:val="000000"/>
        </w:rPr>
      </w:pPr>
      <w:r w:rsidRPr="00D123DA">
        <w:rPr>
          <w:b/>
          <w:color w:val="000000"/>
        </w:rPr>
        <w:t xml:space="preserve">Executor of the </w:t>
      </w:r>
      <w:r w:rsidR="00D123DA">
        <w:rPr>
          <w:b/>
          <w:color w:val="000000"/>
        </w:rPr>
        <w:t>P</w:t>
      </w:r>
      <w:r w:rsidRPr="00D123DA">
        <w:rPr>
          <w:b/>
          <w:color w:val="000000"/>
        </w:rPr>
        <w:t xml:space="preserve">ayee’s </w:t>
      </w:r>
      <w:r w:rsidR="00D123DA">
        <w:rPr>
          <w:b/>
          <w:color w:val="000000"/>
        </w:rPr>
        <w:t>W</w:t>
      </w:r>
      <w:r w:rsidRPr="00D123DA">
        <w:rPr>
          <w:b/>
          <w:color w:val="000000"/>
        </w:rPr>
        <w:t>ill</w:t>
      </w:r>
      <w:r w:rsidR="00C778DA">
        <w:rPr>
          <w:b/>
          <w:bCs/>
          <w:color w:val="000000"/>
        </w:rPr>
        <w:t xml:space="preserve">: </w:t>
      </w:r>
      <w:r w:rsidR="00D123DA">
        <w:rPr>
          <w:color w:val="000000"/>
        </w:rPr>
        <w:t>A</w:t>
      </w:r>
      <w:r w:rsidRPr="00740CA7">
        <w:rPr>
          <w:color w:val="000000"/>
        </w:rPr>
        <w:t xml:space="preserve"> copy of the</w:t>
      </w:r>
      <w:r w:rsidR="006E71C1">
        <w:rPr>
          <w:color w:val="000000"/>
        </w:rPr>
        <w:t xml:space="preserve"> payee’s</w:t>
      </w:r>
      <w:r w:rsidRPr="00740CA7">
        <w:rPr>
          <w:color w:val="000000"/>
        </w:rPr>
        <w:t xml:space="preserve"> death certificate</w:t>
      </w:r>
      <w:r w:rsidR="007B3ACE">
        <w:rPr>
          <w:color w:val="000000"/>
        </w:rPr>
        <w:t>,</w:t>
      </w:r>
      <w:r w:rsidRPr="00740CA7">
        <w:rPr>
          <w:color w:val="000000"/>
        </w:rPr>
        <w:t xml:space="preserve"> an executed copy of the will, letter of testamentary</w:t>
      </w:r>
      <w:r w:rsidR="00736973">
        <w:rPr>
          <w:color w:val="000000"/>
        </w:rPr>
        <w:t>,</w:t>
      </w:r>
      <w:r w:rsidRPr="00740CA7">
        <w:rPr>
          <w:color w:val="000000"/>
        </w:rPr>
        <w:t xml:space="preserve"> or </w:t>
      </w:r>
      <w:r w:rsidR="00296A13" w:rsidRPr="00740CA7">
        <w:rPr>
          <w:color w:val="000000"/>
        </w:rPr>
        <w:t>another</w:t>
      </w:r>
      <w:r w:rsidRPr="00740CA7">
        <w:rPr>
          <w:color w:val="000000"/>
        </w:rPr>
        <w:t xml:space="preserve"> legal document </w:t>
      </w:r>
      <w:r w:rsidR="004C5C0E">
        <w:rPr>
          <w:color w:val="000000"/>
        </w:rPr>
        <w:t>and the</w:t>
      </w:r>
      <w:r w:rsidRPr="00740CA7">
        <w:rPr>
          <w:color w:val="000000"/>
        </w:rPr>
        <w:t xml:space="preserve"> Photo ID </w:t>
      </w:r>
      <w:r w:rsidR="004C5C0E">
        <w:rPr>
          <w:color w:val="000000"/>
        </w:rPr>
        <w:t>of the executor.</w:t>
      </w:r>
    </w:p>
    <w:p w14:paraId="4949E55A" w14:textId="6BDC14BC" w:rsidR="00740CA7" w:rsidRDefault="00740CA7" w:rsidP="0057598D">
      <w:pPr>
        <w:numPr>
          <w:ilvl w:val="0"/>
          <w:numId w:val="9"/>
        </w:numPr>
        <w:spacing w:before="120" w:after="120"/>
        <w:rPr>
          <w:color w:val="000000"/>
        </w:rPr>
      </w:pPr>
      <w:bookmarkStart w:id="34" w:name="OLE_LINK3"/>
      <w:r w:rsidRPr="00D123DA">
        <w:rPr>
          <w:b/>
          <w:color w:val="000000"/>
        </w:rPr>
        <w:lastRenderedPageBreak/>
        <w:t xml:space="preserve">Closed </w:t>
      </w:r>
      <w:r w:rsidR="00D123DA">
        <w:rPr>
          <w:b/>
          <w:color w:val="000000"/>
        </w:rPr>
        <w:t>E</w:t>
      </w:r>
      <w:r w:rsidRPr="00D123DA">
        <w:rPr>
          <w:b/>
          <w:color w:val="000000"/>
        </w:rPr>
        <w:t>state with a Will</w:t>
      </w:r>
      <w:r w:rsidR="00C778DA">
        <w:rPr>
          <w:b/>
          <w:bCs/>
          <w:color w:val="000000"/>
        </w:rPr>
        <w:t xml:space="preserve">: </w:t>
      </w:r>
      <w:r w:rsidR="00D123DA">
        <w:rPr>
          <w:color w:val="000000"/>
        </w:rPr>
        <w:t>A</w:t>
      </w:r>
      <w:r w:rsidRPr="00740CA7">
        <w:rPr>
          <w:color w:val="000000"/>
        </w:rPr>
        <w:t xml:space="preserve"> copy of the death certificate</w:t>
      </w:r>
      <w:r w:rsidR="002108D6">
        <w:rPr>
          <w:color w:val="000000"/>
        </w:rPr>
        <w:t xml:space="preserve">, an </w:t>
      </w:r>
      <w:r w:rsidRPr="00740CA7">
        <w:rPr>
          <w:color w:val="000000"/>
        </w:rPr>
        <w:t>executed copy of the will</w:t>
      </w:r>
      <w:r w:rsidR="00D14F18">
        <w:rPr>
          <w:color w:val="000000"/>
        </w:rPr>
        <w:t>,</w:t>
      </w:r>
      <w:r w:rsidRPr="00740CA7">
        <w:rPr>
          <w:color w:val="000000"/>
        </w:rPr>
        <w:t xml:space="preserve"> showing the claimant as the heir to the funds </w:t>
      </w:r>
      <w:r w:rsidR="00DD54F6">
        <w:rPr>
          <w:color w:val="000000"/>
        </w:rPr>
        <w:t>and</w:t>
      </w:r>
      <w:r w:rsidRPr="00740CA7">
        <w:rPr>
          <w:color w:val="000000"/>
        </w:rPr>
        <w:t xml:space="preserve"> Photo ID </w:t>
      </w:r>
      <w:r w:rsidR="002108D6">
        <w:rPr>
          <w:color w:val="000000"/>
        </w:rPr>
        <w:t>of the claimant.</w:t>
      </w:r>
    </w:p>
    <w:bookmarkEnd w:id="34"/>
    <w:p w14:paraId="32F078A0" w14:textId="08692FAB" w:rsidR="004A2C02" w:rsidRDefault="00740CA7" w:rsidP="0057598D">
      <w:pPr>
        <w:numPr>
          <w:ilvl w:val="0"/>
          <w:numId w:val="9"/>
        </w:numPr>
        <w:spacing w:before="120" w:after="120"/>
        <w:rPr>
          <w:color w:val="000000"/>
        </w:rPr>
      </w:pPr>
      <w:r w:rsidRPr="00D123DA">
        <w:rPr>
          <w:b/>
          <w:color w:val="000000"/>
        </w:rPr>
        <w:t xml:space="preserve">Closed </w:t>
      </w:r>
      <w:r w:rsidR="00D123DA" w:rsidRPr="00D123DA">
        <w:rPr>
          <w:b/>
          <w:color w:val="000000"/>
        </w:rPr>
        <w:t>E</w:t>
      </w:r>
      <w:r w:rsidRPr="00D123DA">
        <w:rPr>
          <w:b/>
          <w:color w:val="000000"/>
        </w:rPr>
        <w:t xml:space="preserve">state </w:t>
      </w:r>
      <w:r w:rsidR="00D123DA" w:rsidRPr="00D123DA">
        <w:rPr>
          <w:b/>
          <w:color w:val="000000"/>
        </w:rPr>
        <w:t>W</w:t>
      </w:r>
      <w:r w:rsidRPr="00D123DA">
        <w:rPr>
          <w:b/>
          <w:color w:val="000000"/>
        </w:rPr>
        <w:t>ithout a Will</w:t>
      </w:r>
      <w:r w:rsidR="00C778DA">
        <w:rPr>
          <w:b/>
          <w:bCs/>
          <w:color w:val="000000"/>
        </w:rPr>
        <w:t xml:space="preserve">: </w:t>
      </w:r>
      <w:r w:rsidR="00D123DA">
        <w:rPr>
          <w:color w:val="000000"/>
        </w:rPr>
        <w:t>A</w:t>
      </w:r>
      <w:r w:rsidRPr="00740CA7">
        <w:rPr>
          <w:color w:val="000000"/>
        </w:rPr>
        <w:t xml:space="preserve"> copy of the death certificate </w:t>
      </w:r>
      <w:r w:rsidR="007B3ACE">
        <w:rPr>
          <w:color w:val="000000"/>
        </w:rPr>
        <w:t>and</w:t>
      </w:r>
      <w:r w:rsidRPr="00740CA7">
        <w:rPr>
          <w:color w:val="000000"/>
        </w:rPr>
        <w:t xml:space="preserve"> a letter from ALL direct heirs (</w:t>
      </w:r>
      <w:r w:rsidR="007B3ACE" w:rsidRPr="00740CA7">
        <w:rPr>
          <w:color w:val="000000"/>
        </w:rPr>
        <w:t>i.e.,</w:t>
      </w:r>
      <w:r w:rsidRPr="00740CA7">
        <w:rPr>
          <w:color w:val="000000"/>
        </w:rPr>
        <w:t xml:space="preserve"> if there are 3 children</w:t>
      </w:r>
      <w:r w:rsidR="007B3ACE">
        <w:rPr>
          <w:color w:val="000000"/>
        </w:rPr>
        <w:t>,</w:t>
      </w:r>
      <w:r w:rsidRPr="00740CA7">
        <w:rPr>
          <w:color w:val="000000"/>
        </w:rPr>
        <w:t xml:space="preserve"> then all 3 children must agree to the payment). Direct heirs</w:t>
      </w:r>
      <w:r w:rsidR="007B3ACE">
        <w:rPr>
          <w:color w:val="000000"/>
        </w:rPr>
        <w:t xml:space="preserve"> should be</w:t>
      </w:r>
      <w:r w:rsidRPr="00740CA7">
        <w:rPr>
          <w:color w:val="000000"/>
        </w:rPr>
        <w:t xml:space="preserve"> listed in</w:t>
      </w:r>
      <w:r w:rsidR="007B3ACE">
        <w:rPr>
          <w:color w:val="000000"/>
        </w:rPr>
        <w:t xml:space="preserve"> order of</w:t>
      </w:r>
      <w:r w:rsidRPr="00740CA7">
        <w:rPr>
          <w:color w:val="000000"/>
        </w:rPr>
        <w:t xml:space="preserve"> priority</w:t>
      </w:r>
      <w:r w:rsidR="00C778DA">
        <w:rPr>
          <w:color w:val="000000"/>
        </w:rPr>
        <w:t xml:space="preserve">: </w:t>
      </w:r>
      <w:r w:rsidR="007B3ACE">
        <w:rPr>
          <w:color w:val="000000"/>
        </w:rPr>
        <w:t>C</w:t>
      </w:r>
      <w:r w:rsidRPr="00740CA7">
        <w:rPr>
          <w:color w:val="000000"/>
        </w:rPr>
        <w:t>hildren</w:t>
      </w:r>
      <w:r w:rsidR="000D4FAD">
        <w:rPr>
          <w:color w:val="000000"/>
        </w:rPr>
        <w:t>,</w:t>
      </w:r>
      <w:r w:rsidRPr="00740CA7">
        <w:rPr>
          <w:color w:val="000000"/>
        </w:rPr>
        <w:t xml:space="preserve"> </w:t>
      </w:r>
      <w:r w:rsidR="007B3ACE">
        <w:rPr>
          <w:color w:val="000000"/>
        </w:rPr>
        <w:t>p</w:t>
      </w:r>
      <w:r w:rsidRPr="00740CA7">
        <w:rPr>
          <w:color w:val="000000"/>
        </w:rPr>
        <w:t>arents</w:t>
      </w:r>
      <w:r w:rsidR="00D14F18">
        <w:rPr>
          <w:color w:val="000000"/>
        </w:rPr>
        <w:t>,</w:t>
      </w:r>
      <w:r w:rsidRPr="00740CA7">
        <w:rPr>
          <w:color w:val="000000"/>
        </w:rPr>
        <w:t xml:space="preserve"> and then siblings</w:t>
      </w:r>
      <w:r w:rsidR="007B3ACE">
        <w:rPr>
          <w:color w:val="000000"/>
        </w:rPr>
        <w:t>.</w:t>
      </w:r>
      <w:r w:rsidRPr="00740CA7">
        <w:rPr>
          <w:color w:val="000000"/>
        </w:rPr>
        <w:t xml:space="preserve"> Photo ID</w:t>
      </w:r>
      <w:r w:rsidR="007B3ACE">
        <w:rPr>
          <w:color w:val="000000"/>
        </w:rPr>
        <w:t>s will be required</w:t>
      </w:r>
      <w:r w:rsidRPr="00740CA7">
        <w:rPr>
          <w:color w:val="000000"/>
        </w:rPr>
        <w:t xml:space="preserve"> from all heirs.</w:t>
      </w:r>
    </w:p>
    <w:p w14:paraId="4E505E2D" w14:textId="52F44ACF" w:rsidR="004A2C02" w:rsidRDefault="004A2C02" w:rsidP="0057598D">
      <w:pPr>
        <w:spacing w:before="120" w:after="120"/>
        <w:ind w:left="720"/>
        <w:rPr>
          <w:color w:val="000000"/>
        </w:rPr>
      </w:pPr>
    </w:p>
    <w:p w14:paraId="7C39CC32" w14:textId="7CF60699" w:rsidR="00414E42" w:rsidRDefault="002A5563" w:rsidP="0057598D">
      <w:pPr>
        <w:spacing w:before="120" w:after="120"/>
        <w:rPr>
          <w:color w:val="000000"/>
        </w:rPr>
      </w:pPr>
      <w:r w:rsidRPr="0015171D">
        <w:rPr>
          <w:b/>
          <w:color w:val="000000"/>
        </w:rPr>
        <w:t>Note</w:t>
      </w:r>
      <w:r w:rsidR="00414E42">
        <w:rPr>
          <w:b/>
          <w:color w:val="000000"/>
        </w:rPr>
        <w:t xml:space="preserve"> the following</w:t>
      </w:r>
      <w:r w:rsidRPr="0015171D">
        <w:rPr>
          <w:b/>
          <w:color w:val="000000"/>
        </w:rPr>
        <w:t>:</w:t>
      </w:r>
      <w:r>
        <w:rPr>
          <w:color w:val="000000"/>
        </w:rPr>
        <w:t xml:space="preserve"> </w:t>
      </w:r>
    </w:p>
    <w:p w14:paraId="505B90ED" w14:textId="68F07133" w:rsidR="00414E42" w:rsidRDefault="00740CA7" w:rsidP="0057598D">
      <w:pPr>
        <w:numPr>
          <w:ilvl w:val="0"/>
          <w:numId w:val="12"/>
        </w:numPr>
        <w:spacing w:before="120" w:after="120"/>
        <w:ind w:left="540"/>
        <w:rPr>
          <w:color w:val="000000"/>
        </w:rPr>
      </w:pPr>
      <w:r w:rsidRPr="004A2C02">
        <w:rPr>
          <w:color w:val="000000"/>
        </w:rPr>
        <w:t xml:space="preserve">We </w:t>
      </w:r>
      <w:proofErr w:type="gramStart"/>
      <w:r w:rsidRPr="004A2C02">
        <w:rPr>
          <w:color w:val="000000"/>
        </w:rPr>
        <w:t>are not able to</w:t>
      </w:r>
      <w:proofErr w:type="gramEnd"/>
      <w:r w:rsidRPr="004A2C02">
        <w:rPr>
          <w:color w:val="000000"/>
        </w:rPr>
        <w:t xml:space="preserve"> reissue </w:t>
      </w:r>
      <w:r w:rsidR="0057598D">
        <w:rPr>
          <w:color w:val="000000"/>
        </w:rPr>
        <w:t xml:space="preserve">the check </w:t>
      </w:r>
      <w:r w:rsidRPr="004A2C02">
        <w:rPr>
          <w:color w:val="000000"/>
        </w:rPr>
        <w:t xml:space="preserve">to other relatives unless there is a will or other legal document proving ownership. </w:t>
      </w:r>
    </w:p>
    <w:p w14:paraId="4A34E853" w14:textId="2EAF5A97" w:rsidR="00887081" w:rsidRPr="00740CA7" w:rsidRDefault="00414E42" w:rsidP="0057598D">
      <w:pPr>
        <w:numPr>
          <w:ilvl w:val="0"/>
          <w:numId w:val="12"/>
        </w:numPr>
        <w:spacing w:before="120" w:after="120"/>
        <w:ind w:left="540"/>
        <w:rPr>
          <w:color w:val="000000"/>
        </w:rPr>
      </w:pPr>
      <w:r>
        <w:rPr>
          <w:color w:val="000000"/>
        </w:rPr>
        <w:t>A</w:t>
      </w:r>
      <w:r w:rsidR="00887081" w:rsidRPr="00740CA7">
        <w:rPr>
          <w:color w:val="000000"/>
        </w:rPr>
        <w:t xml:space="preserve"> Power of Attorney or a document naming beneficiary of life insurance does not constitute proof of ownership. </w:t>
      </w:r>
    </w:p>
    <w:p w14:paraId="6AC19FC7" w14:textId="127B73E5" w:rsidR="004A2C02" w:rsidRDefault="00740CA7" w:rsidP="0057598D">
      <w:pPr>
        <w:numPr>
          <w:ilvl w:val="0"/>
          <w:numId w:val="12"/>
        </w:numPr>
        <w:spacing w:before="120" w:after="120"/>
        <w:ind w:left="540"/>
        <w:rPr>
          <w:color w:val="000000"/>
        </w:rPr>
      </w:pPr>
      <w:r w:rsidRPr="00740CA7">
        <w:rPr>
          <w:color w:val="000000"/>
        </w:rPr>
        <w:t>If claiming funds on behalf of an institution, pharmacy, nursing facility, etc. for a deceased payee, provide documentation of the open balance on account or documentation showing that the facility is the rightful claimant of the funds.</w:t>
      </w:r>
    </w:p>
    <w:p w14:paraId="35B6CF30" w14:textId="55E3C189" w:rsidR="004A2C02" w:rsidRDefault="004A2C02" w:rsidP="0057598D">
      <w:pPr>
        <w:numPr>
          <w:ilvl w:val="0"/>
          <w:numId w:val="12"/>
        </w:numPr>
        <w:spacing w:before="120" w:after="120"/>
        <w:ind w:left="540"/>
        <w:rPr>
          <w:color w:val="000000"/>
        </w:rPr>
      </w:pPr>
      <w:r w:rsidRPr="004A2C02">
        <w:rPr>
          <w:color w:val="000000"/>
        </w:rPr>
        <w:t xml:space="preserve">Without proper documentation, </w:t>
      </w:r>
      <w:r w:rsidR="006166A0">
        <w:rPr>
          <w:color w:val="000000"/>
        </w:rPr>
        <w:t xml:space="preserve">we </w:t>
      </w:r>
      <w:proofErr w:type="gramStart"/>
      <w:r w:rsidR="006166A0">
        <w:rPr>
          <w:color w:val="000000"/>
        </w:rPr>
        <w:t>are</w:t>
      </w:r>
      <w:r w:rsidRPr="004A2C02">
        <w:rPr>
          <w:color w:val="000000"/>
        </w:rPr>
        <w:t xml:space="preserve"> not able to</w:t>
      </w:r>
      <w:proofErr w:type="gramEnd"/>
      <w:r w:rsidRPr="004A2C02">
        <w:rPr>
          <w:color w:val="000000"/>
        </w:rPr>
        <w:t xml:space="preserve"> reissue the check to a party other than the original payee.</w:t>
      </w:r>
      <w:r w:rsidR="00F06E9D">
        <w:rPr>
          <w:color w:val="000000"/>
        </w:rPr>
        <w:t xml:space="preserve"> </w:t>
      </w:r>
    </w:p>
    <w:p w14:paraId="7C747CF5" w14:textId="1D848AE6" w:rsidR="004C39CC" w:rsidRDefault="004C39CC" w:rsidP="0057598D">
      <w:pPr>
        <w:spacing w:before="120" w:after="120"/>
        <w:rPr>
          <w:color w:val="000000"/>
        </w:rPr>
      </w:pPr>
    </w:p>
    <w:p w14:paraId="782892D5" w14:textId="51B4179B" w:rsidR="00F5094E" w:rsidRDefault="00F5094E" w:rsidP="007B12E0">
      <w:pPr>
        <w:spacing w:before="120" w:after="120"/>
        <w:rPr>
          <w:color w:val="000000"/>
        </w:rPr>
      </w:pPr>
      <w:r w:rsidRPr="00407275">
        <w:rPr>
          <w:b/>
          <w:color w:val="000000"/>
        </w:rPr>
        <w:t>Note</w:t>
      </w:r>
      <w:r w:rsidR="00C778DA">
        <w:rPr>
          <w:b/>
          <w:color w:val="000000"/>
        </w:rPr>
        <w:t xml:space="preserve">: </w:t>
      </w:r>
      <w:r>
        <w:rPr>
          <w:color w:val="000000"/>
        </w:rPr>
        <w:t xml:space="preserve">Prior to </w:t>
      </w:r>
      <w:r w:rsidR="0025378D">
        <w:rPr>
          <w:color w:val="000000"/>
        </w:rPr>
        <w:t xml:space="preserve">asking </w:t>
      </w:r>
      <w:r>
        <w:rPr>
          <w:color w:val="000000"/>
        </w:rPr>
        <w:t>the member to send documents, ensure you have opened a</w:t>
      </w:r>
      <w:r w:rsidR="0025378D">
        <w:rPr>
          <w:color w:val="000000"/>
        </w:rPr>
        <w:t xml:space="preserve"> </w:t>
      </w:r>
      <w:hyperlink r:id="rId18" w:anchor="!/view?docid=b529fcee-1566-4001-a703-ce8b63186cb2" w:history="1">
        <w:r w:rsidR="00D47422">
          <w:rPr>
            <w:rStyle w:val="Hyperlink"/>
          </w:rPr>
          <w:t>Refund Stop Payment/Check Reissue task (004580)</w:t>
        </w:r>
      </w:hyperlink>
      <w:r>
        <w:rPr>
          <w:color w:val="000000"/>
        </w:rPr>
        <w:t xml:space="preserve"> for Mail Order to research and have the payee estate by referencing that task # in their correspondence.</w:t>
      </w:r>
      <w:r w:rsidR="00F01FA0">
        <w:rPr>
          <w:color w:val="000000"/>
        </w:rPr>
        <w:t xml:space="preserve"> </w:t>
      </w:r>
      <w:r w:rsidR="0025378D">
        <w:rPr>
          <w:color w:val="000000"/>
        </w:rPr>
        <w:t xml:space="preserve">Refer to </w:t>
      </w:r>
      <w:hyperlink w:anchor="STEP4" w:history="1">
        <w:r w:rsidR="0025378D" w:rsidRPr="0091296A">
          <w:rPr>
            <w:rStyle w:val="Hyperlink"/>
          </w:rPr>
          <w:t>step 4</w:t>
        </w:r>
      </w:hyperlink>
      <w:r w:rsidR="0025378D">
        <w:rPr>
          <w:color w:val="000000"/>
        </w:rPr>
        <w:t xml:space="preserve"> above. </w:t>
      </w:r>
    </w:p>
    <w:p w14:paraId="020ECA9B" w14:textId="7EA5FCCB" w:rsidR="0057598D" w:rsidRDefault="0057598D" w:rsidP="007B12E0">
      <w:pPr>
        <w:spacing w:before="120" w:after="120"/>
        <w:rPr>
          <w:color w:val="000000"/>
        </w:rPr>
      </w:pPr>
      <w:r w:rsidRPr="004A2C02">
        <w:rPr>
          <w:color w:val="000000"/>
        </w:rPr>
        <w:t xml:space="preserve">Documents may be sent via email, fax, or mail. Email is preferred and will provide the fastest turnaround time. </w:t>
      </w:r>
    </w:p>
    <w:p w14:paraId="5C4F05A7" w14:textId="2A0393E6" w:rsidR="004A2C02" w:rsidRPr="004A2C02" w:rsidRDefault="004A2C02" w:rsidP="007B12E0">
      <w:pPr>
        <w:spacing w:before="120" w:after="120"/>
        <w:ind w:left="180" w:firstLine="720"/>
        <w:rPr>
          <w:color w:val="000000"/>
        </w:rPr>
      </w:pPr>
      <w:r w:rsidRPr="0057598D">
        <w:rPr>
          <w:b/>
          <w:bCs/>
          <w:color w:val="000000"/>
        </w:rPr>
        <w:t>E-mail</w:t>
      </w:r>
      <w:r w:rsidR="00C778DA">
        <w:rPr>
          <w:b/>
          <w:bCs/>
          <w:color w:val="000000"/>
        </w:rPr>
        <w:t xml:space="preserve">: </w:t>
      </w:r>
      <w:hyperlink r:id="rId19" w:history="1">
        <w:r w:rsidR="0057598D" w:rsidRPr="00BC07ED">
          <w:rPr>
            <w:rStyle w:val="Hyperlink"/>
          </w:rPr>
          <w:t>MemberDisputesPBM@CVSHealth.com</w:t>
        </w:r>
      </w:hyperlink>
    </w:p>
    <w:p w14:paraId="5E98CDC1" w14:textId="073FE1C6" w:rsidR="004A2C02" w:rsidRPr="004A2C02" w:rsidRDefault="0057598D" w:rsidP="007B12E0">
      <w:pPr>
        <w:spacing w:before="120" w:after="120"/>
        <w:ind w:left="180" w:firstLine="720"/>
        <w:rPr>
          <w:color w:val="000000"/>
        </w:rPr>
      </w:pPr>
      <w:r w:rsidRPr="0057598D">
        <w:rPr>
          <w:b/>
          <w:bCs/>
          <w:color w:val="000000"/>
        </w:rPr>
        <w:lastRenderedPageBreak/>
        <w:t>F</w:t>
      </w:r>
      <w:r w:rsidR="004A2C02" w:rsidRPr="0057598D">
        <w:rPr>
          <w:b/>
          <w:bCs/>
          <w:color w:val="000000"/>
        </w:rPr>
        <w:t>ax</w:t>
      </w:r>
      <w:r w:rsidR="00C778DA">
        <w:rPr>
          <w:b/>
          <w:bCs/>
          <w:color w:val="000000"/>
        </w:rPr>
        <w:t xml:space="preserve">: </w:t>
      </w:r>
      <w:r w:rsidRPr="0057598D">
        <w:rPr>
          <w:b/>
          <w:bCs/>
          <w:color w:val="000000"/>
        </w:rPr>
        <w:t>1-</w:t>
      </w:r>
      <w:r w:rsidR="00F5094E" w:rsidRPr="0057598D">
        <w:rPr>
          <w:b/>
          <w:bCs/>
          <w:color w:val="000000"/>
        </w:rPr>
        <w:t>480-860-3508</w:t>
      </w:r>
    </w:p>
    <w:p w14:paraId="401F2A9F" w14:textId="53CF2D66" w:rsidR="0057598D" w:rsidRDefault="00D030D5" w:rsidP="007B12E0">
      <w:pPr>
        <w:spacing w:before="120" w:after="120"/>
        <w:ind w:left="180" w:firstLine="720"/>
        <w:rPr>
          <w:color w:val="000000"/>
        </w:rPr>
      </w:pPr>
      <w:r>
        <w:rPr>
          <w:rFonts w:cstheme="minorHAnsi"/>
        </w:rPr>
        <w:t xml:space="preserve"> </w:t>
      </w:r>
      <w:r w:rsidR="004A2C02" w:rsidRPr="0057598D">
        <w:rPr>
          <w:b/>
          <w:bCs/>
          <w:color w:val="000000"/>
        </w:rPr>
        <w:t>Mail</w:t>
      </w:r>
      <w:r w:rsidR="00C778DA">
        <w:rPr>
          <w:b/>
          <w:bCs/>
          <w:color w:val="000000"/>
        </w:rPr>
        <w:t xml:space="preserve">: </w:t>
      </w:r>
      <w:r w:rsidR="00513822">
        <w:rPr>
          <w:color w:val="000000"/>
        </w:rPr>
        <w:t xml:space="preserve">(Only mail </w:t>
      </w:r>
      <w:r w:rsidR="007A7592" w:rsidRPr="00D030D5">
        <w:rPr>
          <w:b/>
          <w:bCs/>
          <w:color w:val="000000"/>
        </w:rPr>
        <w:t>copies</w:t>
      </w:r>
      <w:r w:rsidR="007A7592">
        <w:rPr>
          <w:color w:val="000000"/>
        </w:rPr>
        <w:t xml:space="preserve"> of the originals</w:t>
      </w:r>
      <w:r w:rsidR="00D4785C">
        <w:rPr>
          <w:color w:val="000000"/>
        </w:rPr>
        <w:t>. D</w:t>
      </w:r>
      <w:r w:rsidR="007A7592">
        <w:rPr>
          <w:color w:val="000000"/>
        </w:rPr>
        <w:t xml:space="preserve">o </w:t>
      </w:r>
      <w:r w:rsidR="007A7592" w:rsidRPr="00D030D5">
        <w:rPr>
          <w:b/>
          <w:bCs/>
          <w:color w:val="000000"/>
        </w:rPr>
        <w:t>not</w:t>
      </w:r>
      <w:r w:rsidR="007A7592">
        <w:rPr>
          <w:color w:val="000000"/>
        </w:rPr>
        <w:t xml:space="preserve"> mail original documents</w:t>
      </w:r>
      <w:r w:rsidR="00D4785C">
        <w:rPr>
          <w:color w:val="000000"/>
        </w:rPr>
        <w:t>.</w:t>
      </w:r>
      <w:r w:rsidR="007A7592">
        <w:rPr>
          <w:color w:val="000000"/>
        </w:rPr>
        <w:t>)</w:t>
      </w:r>
      <w:r w:rsidR="00AB0C94">
        <w:rPr>
          <w:color w:val="000000"/>
        </w:rPr>
        <w:t xml:space="preserve"> </w:t>
      </w:r>
    </w:p>
    <w:p w14:paraId="02FAD1E2" w14:textId="77777777" w:rsidR="003D318E" w:rsidRDefault="003D318E" w:rsidP="00CA6952">
      <w:pPr>
        <w:pStyle w:val="NormalWeb"/>
        <w:spacing w:before="120" w:beforeAutospacing="0" w:after="120" w:afterAutospacing="0"/>
        <w:ind w:left="720"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CVS Caremark</w:t>
      </w:r>
    </w:p>
    <w:p w14:paraId="6B52791B" w14:textId="601823A9" w:rsidR="003D318E" w:rsidRDefault="003D318E" w:rsidP="00CA6952">
      <w:pPr>
        <w:pStyle w:val="NormalWeb"/>
        <w:spacing w:before="120" w:beforeAutospacing="0" w:after="120" w:afterAutospacing="0"/>
        <w:ind w:left="720"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Attn</w:t>
      </w:r>
      <w:r w:rsidR="00C778DA">
        <w:rPr>
          <w:rFonts w:ascii="Verdana" w:hAnsi="Verdana"/>
          <w:color w:val="000000"/>
        </w:rPr>
        <w:t xml:space="preserve">: </w:t>
      </w:r>
      <w:r>
        <w:rPr>
          <w:rFonts w:ascii="Verdana" w:hAnsi="Verdana"/>
          <w:color w:val="000000"/>
        </w:rPr>
        <w:t>Research Department</w:t>
      </w:r>
    </w:p>
    <w:p w14:paraId="55FCEEE1" w14:textId="77777777" w:rsidR="003D318E" w:rsidRDefault="003D318E" w:rsidP="00CA6952">
      <w:pPr>
        <w:pStyle w:val="NormalWeb"/>
        <w:spacing w:before="120" w:beforeAutospacing="0" w:after="120" w:afterAutospacing="0"/>
        <w:ind w:left="720"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P.O. Box 6590</w:t>
      </w:r>
    </w:p>
    <w:p w14:paraId="6365180F" w14:textId="77777777" w:rsidR="003D318E" w:rsidRDefault="003D318E" w:rsidP="00CA6952">
      <w:pPr>
        <w:pStyle w:val="NormalWeb"/>
        <w:spacing w:before="120" w:beforeAutospacing="0" w:after="120" w:afterAutospacing="0"/>
        <w:ind w:left="720"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Lee’s Summit, MO 64064</w:t>
      </w:r>
    </w:p>
    <w:p w14:paraId="5A084A15" w14:textId="39B115D1" w:rsidR="006E215E" w:rsidRPr="004A2C02" w:rsidRDefault="006E215E" w:rsidP="00C778DA">
      <w:pPr>
        <w:spacing w:before="120" w:after="120"/>
        <w:rPr>
          <w:color w:val="000000"/>
        </w:rPr>
      </w:pPr>
    </w:p>
    <w:p w14:paraId="1ECF9C0D" w14:textId="40DFE8BD" w:rsidR="00E3421C" w:rsidRDefault="00296A13" w:rsidP="00296A13">
      <w:pPr>
        <w:spacing w:before="120" w:after="120"/>
        <w:rPr>
          <w:noProof/>
        </w:rPr>
      </w:pPr>
      <w:r w:rsidRPr="00296A13">
        <w:rPr>
          <w:b/>
          <w:color w:val="000000"/>
        </w:rPr>
        <w:t>Turnaround Time</w:t>
      </w:r>
      <w:r w:rsidR="00C778DA">
        <w:rPr>
          <w:b/>
          <w:color w:val="000000"/>
        </w:rPr>
        <w:t xml:space="preserve">: </w:t>
      </w:r>
      <w:r w:rsidR="00835FF0" w:rsidRPr="00296A13">
        <w:rPr>
          <w:bCs/>
          <w:color w:val="000000"/>
        </w:rPr>
        <w:t xml:space="preserve">The reissue of a check can </w:t>
      </w:r>
      <w:proofErr w:type="gramStart"/>
      <w:r w:rsidR="00835FF0" w:rsidRPr="00296A13">
        <w:rPr>
          <w:bCs/>
          <w:color w:val="000000"/>
        </w:rPr>
        <w:t>take</w:t>
      </w:r>
      <w:proofErr w:type="gramEnd"/>
      <w:r w:rsidR="00835FF0" w:rsidRPr="00296A13">
        <w:rPr>
          <w:bCs/>
          <w:color w:val="000000"/>
        </w:rPr>
        <w:t xml:space="preserve"> up to 30 days.</w:t>
      </w:r>
      <w:r w:rsidR="00554B7E" w:rsidRPr="00296A13">
        <w:rPr>
          <w:bCs/>
          <w:color w:val="000000"/>
        </w:rPr>
        <w:t xml:space="preserve"> </w:t>
      </w:r>
      <w:r w:rsidR="000D4FAD" w:rsidRPr="00296A13">
        <w:rPr>
          <w:bCs/>
          <w:color w:val="000000"/>
        </w:rPr>
        <w:t>It m</w:t>
      </w:r>
      <w:r w:rsidR="00554B7E" w:rsidRPr="00296A13">
        <w:rPr>
          <w:bCs/>
          <w:color w:val="000000"/>
        </w:rPr>
        <w:t>ay take up to 8 weeks to receive.</w:t>
      </w:r>
      <w:r>
        <w:rPr>
          <w:bCs/>
          <w:color w:val="000000"/>
        </w:rPr>
        <w:t xml:space="preserve">  </w:t>
      </w:r>
    </w:p>
    <w:p w14:paraId="705001BF" w14:textId="2924CD79" w:rsidR="00C174C7" w:rsidRDefault="00C174C7" w:rsidP="00296A13">
      <w:pPr>
        <w:spacing w:before="120" w:after="120"/>
        <w:rPr>
          <w:noProof/>
        </w:rPr>
      </w:pPr>
    </w:p>
    <w:p w14:paraId="485FFBC4" w14:textId="7AFE31C4" w:rsidR="00C174C7" w:rsidRDefault="00F01FA0" w:rsidP="00C174C7">
      <w:pPr>
        <w:jc w:val="right"/>
      </w:pPr>
      <w:hyperlink w:anchor="_top" w:history="1">
        <w:r w:rsidRPr="00F01FA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174C7" w:rsidRPr="003218D5" w14:paraId="314FCDA3" w14:textId="3811A66F" w:rsidTr="006F41E5">
        <w:tc>
          <w:tcPr>
            <w:tcW w:w="5000" w:type="pct"/>
            <w:shd w:val="clear" w:color="auto" w:fill="C0C0C0"/>
          </w:tcPr>
          <w:p w14:paraId="254A5FF4" w14:textId="0C1FB93A" w:rsidR="00C174C7" w:rsidRPr="003218D5" w:rsidRDefault="00D90FC8" w:rsidP="005260C9">
            <w:pPr>
              <w:pStyle w:val="Heading2"/>
              <w:spacing w:before="120" w:after="120"/>
              <w:rPr>
                <w:i/>
                <w:iCs w:val="0"/>
                <w:color w:val="000000"/>
              </w:rPr>
            </w:pPr>
            <w:bookmarkStart w:id="35" w:name="_Toc161655197"/>
            <w:r>
              <w:rPr>
                <w:iCs w:val="0"/>
                <w:color w:val="000000"/>
              </w:rPr>
              <w:t>Related Documents</w:t>
            </w:r>
            <w:bookmarkEnd w:id="35"/>
          </w:p>
        </w:tc>
      </w:tr>
    </w:tbl>
    <w:p w14:paraId="39E8F3F3" w14:textId="3F6B5AEE" w:rsidR="0057598D" w:rsidRDefault="0091296A" w:rsidP="00182BFC">
      <w:pPr>
        <w:spacing w:before="120" w:after="120"/>
      </w:pPr>
      <w:hyperlink r:id="rId20" w:anchor="!/view?docid=c1f1028b-e42c-4b4f-a4cf-cc0b42c91606" w:history="1">
        <w:r>
          <w:rPr>
            <w:rStyle w:val="Hyperlink"/>
          </w:rPr>
          <w:t>Customer Care Abbreviations, Definitions, and Terms Index (017428)</w:t>
        </w:r>
      </w:hyperlink>
    </w:p>
    <w:p w14:paraId="2E345BEE" w14:textId="451E512B" w:rsidR="0057598D" w:rsidRDefault="0091296A" w:rsidP="00182BFC">
      <w:pPr>
        <w:spacing w:before="120" w:after="120"/>
        <w:contextualSpacing/>
      </w:pPr>
      <w:hyperlink r:id="rId21" w:anchor="!/view?docid=bdac0c67-5fee-47ba-a3aa-aab84900cf78" w:history="1">
        <w:r>
          <w:rPr>
            <w:rStyle w:val="Hyperlink"/>
          </w:rPr>
          <w:t>Log Activity/Capture Activity Codes (005164)</w:t>
        </w:r>
      </w:hyperlink>
    </w:p>
    <w:p w14:paraId="5D90B051" w14:textId="2E1FC50B" w:rsidR="00C174C7" w:rsidRDefault="00D90FC8" w:rsidP="00182BFC">
      <w:pPr>
        <w:spacing w:before="120" w:after="120"/>
      </w:pPr>
      <w:r w:rsidRPr="00D90FC8">
        <w:rPr>
          <w:b/>
          <w:noProof/>
        </w:rPr>
        <w:t xml:space="preserve">Parent </w:t>
      </w:r>
      <w:r w:rsidR="0057598D">
        <w:rPr>
          <w:b/>
          <w:noProof/>
        </w:rPr>
        <w:t>Document</w:t>
      </w:r>
      <w:r w:rsidR="00C778DA">
        <w:rPr>
          <w:b/>
          <w:noProof/>
        </w:rPr>
        <w:t xml:space="preserve">: </w:t>
      </w:r>
      <w:r w:rsidR="00B336A9">
        <w:t xml:space="preserve"> </w:t>
      </w:r>
      <w:hyperlink r:id="rId22" w:tgtFrame="_blank" w:history="1">
        <w:r w:rsidR="00C174C7"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12C905EB" w14:textId="68739E96" w:rsidR="00D90FC8" w:rsidRPr="00D90FC8" w:rsidRDefault="00D90FC8" w:rsidP="00C174C7">
      <w:pPr>
        <w:rPr>
          <w:b/>
        </w:rPr>
      </w:pPr>
    </w:p>
    <w:p w14:paraId="44F4D0D4" w14:textId="3697DEF9" w:rsidR="00C174C7" w:rsidRPr="00554B7E" w:rsidRDefault="00C174C7" w:rsidP="00554B7E">
      <w:pPr>
        <w:rPr>
          <w:b/>
          <w:color w:val="000000"/>
        </w:rPr>
      </w:pPr>
    </w:p>
    <w:p w14:paraId="7EFC214A" w14:textId="7B51C14F" w:rsidR="00600D72" w:rsidRDefault="00600D72" w:rsidP="004D0487">
      <w:bookmarkStart w:id="36" w:name="_Available_Task_Types"/>
      <w:bookmarkStart w:id="37" w:name="_Various_Work_Instructions_2"/>
      <w:bookmarkStart w:id="38" w:name="_Log_Activity:"/>
      <w:bookmarkStart w:id="39" w:name="_Resolution_Time:"/>
      <w:bookmarkStart w:id="40" w:name="_Exceptions"/>
      <w:bookmarkStart w:id="41" w:name="_Alternatives"/>
      <w:bookmarkStart w:id="42" w:name="_Parent_SOP"/>
      <w:bookmarkEnd w:id="36"/>
      <w:bookmarkEnd w:id="37"/>
      <w:bookmarkEnd w:id="38"/>
      <w:bookmarkEnd w:id="39"/>
      <w:bookmarkEnd w:id="40"/>
      <w:bookmarkEnd w:id="41"/>
      <w:bookmarkEnd w:id="42"/>
    </w:p>
    <w:p w14:paraId="299610A4" w14:textId="72DAD515" w:rsidR="00B94269" w:rsidRPr="00D14F18" w:rsidRDefault="00F01FA0">
      <w:pPr>
        <w:jc w:val="right"/>
      </w:pPr>
      <w:hyperlink w:anchor="_top" w:history="1">
        <w:r w:rsidRPr="00F01FA0">
          <w:rPr>
            <w:rStyle w:val="Hyperlink"/>
          </w:rPr>
          <w:t>Top of the Document</w:t>
        </w:r>
      </w:hyperlink>
    </w:p>
    <w:p w14:paraId="7D0927AF" w14:textId="757B24E8" w:rsidR="00A403ED" w:rsidRPr="00C247CB" w:rsidRDefault="00A403ED" w:rsidP="00A403ED">
      <w:pPr>
        <w:jc w:val="center"/>
        <w:rPr>
          <w:sz w:val="16"/>
          <w:szCs w:val="16"/>
        </w:rPr>
      </w:pPr>
    </w:p>
    <w:p w14:paraId="6344690C" w14:textId="0152EB90" w:rsidR="00A403ED" w:rsidRPr="00C247CB" w:rsidRDefault="00A403ED" w:rsidP="00A403ED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9C7F19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9C7F19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9C7F19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527ED098" w14:textId="4D39AC33" w:rsidR="00A403ED" w:rsidRPr="00C247CB" w:rsidRDefault="00A403ED" w:rsidP="00A403ED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600D72">
        <w:rPr>
          <w:b/>
          <w:color w:val="000000"/>
          <w:sz w:val="16"/>
          <w:szCs w:val="16"/>
        </w:rPr>
        <w:t>TRONIC DATA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bookmarkEnd w:id="1"/>
    <w:p w14:paraId="66152BE3" w14:textId="77777777" w:rsidR="00A403ED" w:rsidRDefault="00A403ED">
      <w:pPr>
        <w:jc w:val="right"/>
      </w:pPr>
    </w:p>
    <w:sectPr w:rsidR="00A403E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FE6AC" w14:textId="77777777" w:rsidR="00943BF7" w:rsidRDefault="00943BF7">
      <w:r>
        <w:separator/>
      </w:r>
    </w:p>
  </w:endnote>
  <w:endnote w:type="continuationSeparator" w:id="0">
    <w:p w14:paraId="76C07D66" w14:textId="77777777" w:rsidR="00943BF7" w:rsidRDefault="00943BF7">
      <w:r>
        <w:continuationSeparator/>
      </w:r>
    </w:p>
  </w:endnote>
  <w:endnote w:type="continuationNotice" w:id="1">
    <w:p w14:paraId="425C6E35" w14:textId="77777777" w:rsidR="00943BF7" w:rsidRDefault="00943B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55358" w14:textId="77777777" w:rsidR="00943BF7" w:rsidRDefault="00943BF7">
      <w:r>
        <w:separator/>
      </w:r>
    </w:p>
  </w:footnote>
  <w:footnote w:type="continuationSeparator" w:id="0">
    <w:p w14:paraId="2BD59486" w14:textId="77777777" w:rsidR="00943BF7" w:rsidRDefault="00943BF7">
      <w:r>
        <w:continuationSeparator/>
      </w:r>
    </w:p>
  </w:footnote>
  <w:footnote w:type="continuationNotice" w:id="1">
    <w:p w14:paraId="5DD95011" w14:textId="77777777" w:rsidR="00943BF7" w:rsidRDefault="00943B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.75pt;height:16.5pt;visibility:visible" o:bullet="t">
        <v:imagedata r:id="rId1" o:title=""/>
      </v:shape>
    </w:pict>
  </w:numPicBullet>
  <w:abstractNum w:abstractNumId="0" w15:restartNumberingAfterBreak="0">
    <w:nsid w:val="10135439"/>
    <w:multiLevelType w:val="hybridMultilevel"/>
    <w:tmpl w:val="9EDABC18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714"/>
    <w:multiLevelType w:val="hybridMultilevel"/>
    <w:tmpl w:val="F68C0B6E"/>
    <w:lvl w:ilvl="0" w:tplc="6944E1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6A54D1"/>
    <w:multiLevelType w:val="multilevel"/>
    <w:tmpl w:val="B1465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2305"/>
    <w:multiLevelType w:val="hybridMultilevel"/>
    <w:tmpl w:val="9636209E"/>
    <w:lvl w:ilvl="0" w:tplc="C68A3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C5189C"/>
    <w:multiLevelType w:val="hybridMultilevel"/>
    <w:tmpl w:val="9C4472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130DE"/>
    <w:multiLevelType w:val="hybridMultilevel"/>
    <w:tmpl w:val="06FE9F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D36B0"/>
    <w:multiLevelType w:val="multilevel"/>
    <w:tmpl w:val="7A56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193957"/>
    <w:multiLevelType w:val="hybridMultilevel"/>
    <w:tmpl w:val="80B2A724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B442E"/>
    <w:multiLevelType w:val="hybridMultilevel"/>
    <w:tmpl w:val="B1465E3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30991"/>
    <w:multiLevelType w:val="hybridMultilevel"/>
    <w:tmpl w:val="5218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B4118"/>
    <w:multiLevelType w:val="hybridMultilevel"/>
    <w:tmpl w:val="13B0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C243B"/>
    <w:multiLevelType w:val="hybridMultilevel"/>
    <w:tmpl w:val="4C52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965051">
    <w:abstractNumId w:val="6"/>
  </w:num>
  <w:num w:numId="2" w16cid:durableId="997997779">
    <w:abstractNumId w:val="3"/>
  </w:num>
  <w:num w:numId="3" w16cid:durableId="1477184505">
    <w:abstractNumId w:val="4"/>
  </w:num>
  <w:num w:numId="4" w16cid:durableId="2054309589">
    <w:abstractNumId w:val="9"/>
  </w:num>
  <w:num w:numId="5" w16cid:durableId="1160467005">
    <w:abstractNumId w:val="2"/>
  </w:num>
  <w:num w:numId="6" w16cid:durableId="496266007">
    <w:abstractNumId w:val="0"/>
  </w:num>
  <w:num w:numId="7" w16cid:durableId="1133524390">
    <w:abstractNumId w:val="8"/>
  </w:num>
  <w:num w:numId="8" w16cid:durableId="980695429">
    <w:abstractNumId w:val="5"/>
  </w:num>
  <w:num w:numId="9" w16cid:durableId="1667825974">
    <w:abstractNumId w:val="1"/>
  </w:num>
  <w:num w:numId="10" w16cid:durableId="363407365">
    <w:abstractNumId w:val="12"/>
  </w:num>
  <w:num w:numId="11" w16cid:durableId="476995941">
    <w:abstractNumId w:val="11"/>
  </w:num>
  <w:num w:numId="12" w16cid:durableId="1210655261">
    <w:abstractNumId w:val="10"/>
  </w:num>
  <w:num w:numId="13" w16cid:durableId="289147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35178602">
    <w:abstractNumId w:val="10"/>
  </w:num>
  <w:num w:numId="15" w16cid:durableId="1772779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D8"/>
    <w:rsid w:val="00023B82"/>
    <w:rsid w:val="00024BC0"/>
    <w:rsid w:val="00027F2D"/>
    <w:rsid w:val="0003426F"/>
    <w:rsid w:val="00041235"/>
    <w:rsid w:val="000524F1"/>
    <w:rsid w:val="00054091"/>
    <w:rsid w:val="00064FA4"/>
    <w:rsid w:val="000650FC"/>
    <w:rsid w:val="00075464"/>
    <w:rsid w:val="00080831"/>
    <w:rsid w:val="00082E47"/>
    <w:rsid w:val="00087702"/>
    <w:rsid w:val="00091EBA"/>
    <w:rsid w:val="00092F76"/>
    <w:rsid w:val="00094806"/>
    <w:rsid w:val="00094B45"/>
    <w:rsid w:val="00096DF0"/>
    <w:rsid w:val="000A6BD3"/>
    <w:rsid w:val="000B40A7"/>
    <w:rsid w:val="000C5BC8"/>
    <w:rsid w:val="000D0571"/>
    <w:rsid w:val="000D1ADA"/>
    <w:rsid w:val="000D4FAD"/>
    <w:rsid w:val="000D59D9"/>
    <w:rsid w:val="000D5F90"/>
    <w:rsid w:val="000E0772"/>
    <w:rsid w:val="000F2444"/>
    <w:rsid w:val="000F6568"/>
    <w:rsid w:val="00112AA0"/>
    <w:rsid w:val="00112CCF"/>
    <w:rsid w:val="00114204"/>
    <w:rsid w:val="00131846"/>
    <w:rsid w:val="00132D68"/>
    <w:rsid w:val="00133F56"/>
    <w:rsid w:val="00134186"/>
    <w:rsid w:val="00134A6D"/>
    <w:rsid w:val="00141D39"/>
    <w:rsid w:val="00145749"/>
    <w:rsid w:val="0015171D"/>
    <w:rsid w:val="00153EC6"/>
    <w:rsid w:val="0015405E"/>
    <w:rsid w:val="0016193A"/>
    <w:rsid w:val="00164815"/>
    <w:rsid w:val="001651E8"/>
    <w:rsid w:val="00171287"/>
    <w:rsid w:val="00174581"/>
    <w:rsid w:val="0017458C"/>
    <w:rsid w:val="00175A14"/>
    <w:rsid w:val="00182BFC"/>
    <w:rsid w:val="001836A2"/>
    <w:rsid w:val="00183D6E"/>
    <w:rsid w:val="0018644F"/>
    <w:rsid w:val="00187C62"/>
    <w:rsid w:val="00194FDC"/>
    <w:rsid w:val="001A33F9"/>
    <w:rsid w:val="001A62F0"/>
    <w:rsid w:val="001A7C74"/>
    <w:rsid w:val="001A7F96"/>
    <w:rsid w:val="001B2C81"/>
    <w:rsid w:val="001B364E"/>
    <w:rsid w:val="001D06E5"/>
    <w:rsid w:val="001D08A4"/>
    <w:rsid w:val="001D139B"/>
    <w:rsid w:val="001D4537"/>
    <w:rsid w:val="001F4FFB"/>
    <w:rsid w:val="00204E65"/>
    <w:rsid w:val="00206D15"/>
    <w:rsid w:val="002108D6"/>
    <w:rsid w:val="00211FB1"/>
    <w:rsid w:val="002212A0"/>
    <w:rsid w:val="00223DDC"/>
    <w:rsid w:val="00230A37"/>
    <w:rsid w:val="00241691"/>
    <w:rsid w:val="0024379B"/>
    <w:rsid w:val="00245EBE"/>
    <w:rsid w:val="00253133"/>
    <w:rsid w:val="0025378D"/>
    <w:rsid w:val="0026416F"/>
    <w:rsid w:val="0028183C"/>
    <w:rsid w:val="00281CE6"/>
    <w:rsid w:val="00284140"/>
    <w:rsid w:val="002851E3"/>
    <w:rsid w:val="00290BE3"/>
    <w:rsid w:val="00291BB1"/>
    <w:rsid w:val="00293DE0"/>
    <w:rsid w:val="002940C4"/>
    <w:rsid w:val="002956D5"/>
    <w:rsid w:val="00296A13"/>
    <w:rsid w:val="002A5563"/>
    <w:rsid w:val="002B651B"/>
    <w:rsid w:val="002C33E8"/>
    <w:rsid w:val="002C3FE8"/>
    <w:rsid w:val="002C66BB"/>
    <w:rsid w:val="002D1104"/>
    <w:rsid w:val="002D3DFB"/>
    <w:rsid w:val="002D4445"/>
    <w:rsid w:val="002D493D"/>
    <w:rsid w:val="002E1A06"/>
    <w:rsid w:val="002F053F"/>
    <w:rsid w:val="002F703A"/>
    <w:rsid w:val="002F7BD8"/>
    <w:rsid w:val="002F7CFD"/>
    <w:rsid w:val="00301B07"/>
    <w:rsid w:val="00303117"/>
    <w:rsid w:val="0031076B"/>
    <w:rsid w:val="0031231F"/>
    <w:rsid w:val="003218D5"/>
    <w:rsid w:val="00323457"/>
    <w:rsid w:val="00331B81"/>
    <w:rsid w:val="003407EA"/>
    <w:rsid w:val="00345004"/>
    <w:rsid w:val="00345069"/>
    <w:rsid w:val="00346A01"/>
    <w:rsid w:val="0035069F"/>
    <w:rsid w:val="00350CC7"/>
    <w:rsid w:val="00353986"/>
    <w:rsid w:val="00361B45"/>
    <w:rsid w:val="00362BD8"/>
    <w:rsid w:val="0036689B"/>
    <w:rsid w:val="00366B50"/>
    <w:rsid w:val="00374900"/>
    <w:rsid w:val="00380895"/>
    <w:rsid w:val="003842B3"/>
    <w:rsid w:val="003864DB"/>
    <w:rsid w:val="00392145"/>
    <w:rsid w:val="00392BDC"/>
    <w:rsid w:val="00395295"/>
    <w:rsid w:val="00396C07"/>
    <w:rsid w:val="00396D73"/>
    <w:rsid w:val="003A6C47"/>
    <w:rsid w:val="003B333E"/>
    <w:rsid w:val="003C1746"/>
    <w:rsid w:val="003C455E"/>
    <w:rsid w:val="003C4F34"/>
    <w:rsid w:val="003C5FF9"/>
    <w:rsid w:val="003C696D"/>
    <w:rsid w:val="003D0479"/>
    <w:rsid w:val="003D318E"/>
    <w:rsid w:val="003D351A"/>
    <w:rsid w:val="003D3C56"/>
    <w:rsid w:val="003E2404"/>
    <w:rsid w:val="003E3337"/>
    <w:rsid w:val="003E3FA4"/>
    <w:rsid w:val="003E4F71"/>
    <w:rsid w:val="003E71A2"/>
    <w:rsid w:val="003F4847"/>
    <w:rsid w:val="003F700E"/>
    <w:rsid w:val="004012DF"/>
    <w:rsid w:val="00402C82"/>
    <w:rsid w:val="00407275"/>
    <w:rsid w:val="00407BAB"/>
    <w:rsid w:val="00410DE6"/>
    <w:rsid w:val="004117DB"/>
    <w:rsid w:val="00414E42"/>
    <w:rsid w:val="00415D2F"/>
    <w:rsid w:val="00431344"/>
    <w:rsid w:val="00431EAA"/>
    <w:rsid w:val="004323C6"/>
    <w:rsid w:val="00432467"/>
    <w:rsid w:val="00435BF1"/>
    <w:rsid w:val="00440130"/>
    <w:rsid w:val="00442587"/>
    <w:rsid w:val="00445EA8"/>
    <w:rsid w:val="0045084E"/>
    <w:rsid w:val="004518BF"/>
    <w:rsid w:val="00453232"/>
    <w:rsid w:val="00454DD5"/>
    <w:rsid w:val="004576E5"/>
    <w:rsid w:val="00457FDB"/>
    <w:rsid w:val="00464175"/>
    <w:rsid w:val="00466804"/>
    <w:rsid w:val="004676FD"/>
    <w:rsid w:val="00470754"/>
    <w:rsid w:val="00474184"/>
    <w:rsid w:val="00476B1D"/>
    <w:rsid w:val="00477859"/>
    <w:rsid w:val="00477F20"/>
    <w:rsid w:val="00483A6F"/>
    <w:rsid w:val="00486778"/>
    <w:rsid w:val="00487EE5"/>
    <w:rsid w:val="00494494"/>
    <w:rsid w:val="0049486D"/>
    <w:rsid w:val="00495297"/>
    <w:rsid w:val="004A0E49"/>
    <w:rsid w:val="004A2C02"/>
    <w:rsid w:val="004A7670"/>
    <w:rsid w:val="004B1624"/>
    <w:rsid w:val="004C39CC"/>
    <w:rsid w:val="004C5C0E"/>
    <w:rsid w:val="004D0487"/>
    <w:rsid w:val="004F131A"/>
    <w:rsid w:val="004F16A4"/>
    <w:rsid w:val="004F1924"/>
    <w:rsid w:val="004F7EBE"/>
    <w:rsid w:val="0050723A"/>
    <w:rsid w:val="005109D0"/>
    <w:rsid w:val="00511F1F"/>
    <w:rsid w:val="00513822"/>
    <w:rsid w:val="0052116B"/>
    <w:rsid w:val="005244A4"/>
    <w:rsid w:val="005260C9"/>
    <w:rsid w:val="00527C18"/>
    <w:rsid w:val="00531195"/>
    <w:rsid w:val="005318C3"/>
    <w:rsid w:val="00532115"/>
    <w:rsid w:val="005366B3"/>
    <w:rsid w:val="00550459"/>
    <w:rsid w:val="00552114"/>
    <w:rsid w:val="00553115"/>
    <w:rsid w:val="00554B7E"/>
    <w:rsid w:val="00556156"/>
    <w:rsid w:val="00562590"/>
    <w:rsid w:val="00575065"/>
    <w:rsid w:val="0057598D"/>
    <w:rsid w:val="00575CA9"/>
    <w:rsid w:val="00585882"/>
    <w:rsid w:val="00590436"/>
    <w:rsid w:val="00590CF4"/>
    <w:rsid w:val="005936FA"/>
    <w:rsid w:val="00596384"/>
    <w:rsid w:val="00597573"/>
    <w:rsid w:val="005A0BE1"/>
    <w:rsid w:val="005B1C77"/>
    <w:rsid w:val="005C57AF"/>
    <w:rsid w:val="005D052B"/>
    <w:rsid w:val="005D2B22"/>
    <w:rsid w:val="005D40D7"/>
    <w:rsid w:val="005D7B41"/>
    <w:rsid w:val="005E3A51"/>
    <w:rsid w:val="005E3F03"/>
    <w:rsid w:val="0060087E"/>
    <w:rsid w:val="00600D72"/>
    <w:rsid w:val="00611DB2"/>
    <w:rsid w:val="00613DC9"/>
    <w:rsid w:val="006166A0"/>
    <w:rsid w:val="0062004E"/>
    <w:rsid w:val="00626DA8"/>
    <w:rsid w:val="00631419"/>
    <w:rsid w:val="00631D75"/>
    <w:rsid w:val="006326D0"/>
    <w:rsid w:val="00632804"/>
    <w:rsid w:val="00635D57"/>
    <w:rsid w:val="00644FDD"/>
    <w:rsid w:val="0064693F"/>
    <w:rsid w:val="00650504"/>
    <w:rsid w:val="006513EF"/>
    <w:rsid w:val="00667449"/>
    <w:rsid w:val="00671D84"/>
    <w:rsid w:val="0067453E"/>
    <w:rsid w:val="00682B69"/>
    <w:rsid w:val="006847B6"/>
    <w:rsid w:val="00685B17"/>
    <w:rsid w:val="00686703"/>
    <w:rsid w:val="00687962"/>
    <w:rsid w:val="00691545"/>
    <w:rsid w:val="006917F7"/>
    <w:rsid w:val="00697F71"/>
    <w:rsid w:val="00697FFC"/>
    <w:rsid w:val="006A4421"/>
    <w:rsid w:val="006A5B89"/>
    <w:rsid w:val="006A773C"/>
    <w:rsid w:val="006B0FED"/>
    <w:rsid w:val="006B32D5"/>
    <w:rsid w:val="006B4278"/>
    <w:rsid w:val="006B56FC"/>
    <w:rsid w:val="006C1454"/>
    <w:rsid w:val="006C1A49"/>
    <w:rsid w:val="006C53B4"/>
    <w:rsid w:val="006C65B2"/>
    <w:rsid w:val="006D0494"/>
    <w:rsid w:val="006D1163"/>
    <w:rsid w:val="006D1D67"/>
    <w:rsid w:val="006E215E"/>
    <w:rsid w:val="006E6734"/>
    <w:rsid w:val="006E6B4C"/>
    <w:rsid w:val="006E71C1"/>
    <w:rsid w:val="006E7E35"/>
    <w:rsid w:val="006F2F03"/>
    <w:rsid w:val="006F41E5"/>
    <w:rsid w:val="0070463A"/>
    <w:rsid w:val="00705D24"/>
    <w:rsid w:val="00706B8C"/>
    <w:rsid w:val="00712468"/>
    <w:rsid w:val="00724904"/>
    <w:rsid w:val="007258BB"/>
    <w:rsid w:val="00727388"/>
    <w:rsid w:val="007304FB"/>
    <w:rsid w:val="00736973"/>
    <w:rsid w:val="00740CA7"/>
    <w:rsid w:val="00743654"/>
    <w:rsid w:val="00743808"/>
    <w:rsid w:val="00753897"/>
    <w:rsid w:val="00771590"/>
    <w:rsid w:val="00784F5D"/>
    <w:rsid w:val="007951D3"/>
    <w:rsid w:val="007A6472"/>
    <w:rsid w:val="007A7592"/>
    <w:rsid w:val="007B12E0"/>
    <w:rsid w:val="007B2BA0"/>
    <w:rsid w:val="007B3ACE"/>
    <w:rsid w:val="007C1E4C"/>
    <w:rsid w:val="007C425B"/>
    <w:rsid w:val="007C4C08"/>
    <w:rsid w:val="007D5194"/>
    <w:rsid w:val="007E20F3"/>
    <w:rsid w:val="0080100C"/>
    <w:rsid w:val="00803DA7"/>
    <w:rsid w:val="00816E71"/>
    <w:rsid w:val="008174A6"/>
    <w:rsid w:val="00822F11"/>
    <w:rsid w:val="0082628B"/>
    <w:rsid w:val="00827C86"/>
    <w:rsid w:val="00830BD8"/>
    <w:rsid w:val="00831A3F"/>
    <w:rsid w:val="00835FF0"/>
    <w:rsid w:val="00842A9F"/>
    <w:rsid w:val="00845733"/>
    <w:rsid w:val="00845F40"/>
    <w:rsid w:val="00846D98"/>
    <w:rsid w:val="00852847"/>
    <w:rsid w:val="00856A54"/>
    <w:rsid w:val="008600E4"/>
    <w:rsid w:val="00870965"/>
    <w:rsid w:val="00870EEB"/>
    <w:rsid w:val="00871CFC"/>
    <w:rsid w:val="008723E2"/>
    <w:rsid w:val="008736B9"/>
    <w:rsid w:val="00881010"/>
    <w:rsid w:val="00881EED"/>
    <w:rsid w:val="00883AB6"/>
    <w:rsid w:val="00887081"/>
    <w:rsid w:val="008874E7"/>
    <w:rsid w:val="00895088"/>
    <w:rsid w:val="008B1D52"/>
    <w:rsid w:val="008B622E"/>
    <w:rsid w:val="008B629E"/>
    <w:rsid w:val="008C13DC"/>
    <w:rsid w:val="008C26EA"/>
    <w:rsid w:val="008C3299"/>
    <w:rsid w:val="008C3C66"/>
    <w:rsid w:val="008C4491"/>
    <w:rsid w:val="008C4DAB"/>
    <w:rsid w:val="008C52EE"/>
    <w:rsid w:val="008C5BAA"/>
    <w:rsid w:val="008E37E0"/>
    <w:rsid w:val="008F0A45"/>
    <w:rsid w:val="008F1431"/>
    <w:rsid w:val="008F391D"/>
    <w:rsid w:val="008F4667"/>
    <w:rsid w:val="009017D3"/>
    <w:rsid w:val="009101B1"/>
    <w:rsid w:val="00910771"/>
    <w:rsid w:val="0091296A"/>
    <w:rsid w:val="00914BAF"/>
    <w:rsid w:val="00914C6C"/>
    <w:rsid w:val="00924C9E"/>
    <w:rsid w:val="00934CE1"/>
    <w:rsid w:val="00935331"/>
    <w:rsid w:val="00936EC1"/>
    <w:rsid w:val="0094390D"/>
    <w:rsid w:val="00943BF7"/>
    <w:rsid w:val="00947076"/>
    <w:rsid w:val="00952794"/>
    <w:rsid w:val="00964FF4"/>
    <w:rsid w:val="009745D0"/>
    <w:rsid w:val="009836AA"/>
    <w:rsid w:val="009838C4"/>
    <w:rsid w:val="009A0011"/>
    <w:rsid w:val="009A1CC6"/>
    <w:rsid w:val="009A3A76"/>
    <w:rsid w:val="009B15BD"/>
    <w:rsid w:val="009C74B6"/>
    <w:rsid w:val="009C7574"/>
    <w:rsid w:val="009C7F19"/>
    <w:rsid w:val="009D179F"/>
    <w:rsid w:val="009D2DDD"/>
    <w:rsid w:val="009D5C67"/>
    <w:rsid w:val="009E3D0F"/>
    <w:rsid w:val="009E595D"/>
    <w:rsid w:val="009E7950"/>
    <w:rsid w:val="009F20B6"/>
    <w:rsid w:val="009F3292"/>
    <w:rsid w:val="009F5A75"/>
    <w:rsid w:val="00A02F34"/>
    <w:rsid w:val="00A0301C"/>
    <w:rsid w:val="00A16440"/>
    <w:rsid w:val="00A31A38"/>
    <w:rsid w:val="00A32BEF"/>
    <w:rsid w:val="00A3449C"/>
    <w:rsid w:val="00A377DD"/>
    <w:rsid w:val="00A403ED"/>
    <w:rsid w:val="00A44AD1"/>
    <w:rsid w:val="00A45F01"/>
    <w:rsid w:val="00A56248"/>
    <w:rsid w:val="00A57A8A"/>
    <w:rsid w:val="00A6007E"/>
    <w:rsid w:val="00A70F73"/>
    <w:rsid w:val="00A83038"/>
    <w:rsid w:val="00A8431A"/>
    <w:rsid w:val="00AA15B4"/>
    <w:rsid w:val="00AA6899"/>
    <w:rsid w:val="00AA6C9E"/>
    <w:rsid w:val="00AB0C94"/>
    <w:rsid w:val="00AC0601"/>
    <w:rsid w:val="00AC1540"/>
    <w:rsid w:val="00AD0AF9"/>
    <w:rsid w:val="00AD2E1B"/>
    <w:rsid w:val="00AD7295"/>
    <w:rsid w:val="00AE1A25"/>
    <w:rsid w:val="00AE5BEA"/>
    <w:rsid w:val="00B02FA7"/>
    <w:rsid w:val="00B0602F"/>
    <w:rsid w:val="00B0739B"/>
    <w:rsid w:val="00B12BC8"/>
    <w:rsid w:val="00B20FF3"/>
    <w:rsid w:val="00B257AA"/>
    <w:rsid w:val="00B3000D"/>
    <w:rsid w:val="00B32B87"/>
    <w:rsid w:val="00B336A9"/>
    <w:rsid w:val="00B36693"/>
    <w:rsid w:val="00B3724E"/>
    <w:rsid w:val="00B4097F"/>
    <w:rsid w:val="00B41B0F"/>
    <w:rsid w:val="00B44D54"/>
    <w:rsid w:val="00B54D0A"/>
    <w:rsid w:val="00B56881"/>
    <w:rsid w:val="00B60BEE"/>
    <w:rsid w:val="00B656F5"/>
    <w:rsid w:val="00B662CF"/>
    <w:rsid w:val="00B70E48"/>
    <w:rsid w:val="00B757EB"/>
    <w:rsid w:val="00B76CDE"/>
    <w:rsid w:val="00B81CAD"/>
    <w:rsid w:val="00B94269"/>
    <w:rsid w:val="00B95A08"/>
    <w:rsid w:val="00B9799D"/>
    <w:rsid w:val="00BA33E4"/>
    <w:rsid w:val="00BB64AF"/>
    <w:rsid w:val="00BC1943"/>
    <w:rsid w:val="00BD2221"/>
    <w:rsid w:val="00BD2A99"/>
    <w:rsid w:val="00BD5E6E"/>
    <w:rsid w:val="00BD5F63"/>
    <w:rsid w:val="00BE2779"/>
    <w:rsid w:val="00BF02C2"/>
    <w:rsid w:val="00BF7824"/>
    <w:rsid w:val="00C07DAF"/>
    <w:rsid w:val="00C10342"/>
    <w:rsid w:val="00C17068"/>
    <w:rsid w:val="00C173A0"/>
    <w:rsid w:val="00C174C7"/>
    <w:rsid w:val="00C30EF5"/>
    <w:rsid w:val="00C33166"/>
    <w:rsid w:val="00C3413B"/>
    <w:rsid w:val="00C545D4"/>
    <w:rsid w:val="00C54E07"/>
    <w:rsid w:val="00C63E49"/>
    <w:rsid w:val="00C72F56"/>
    <w:rsid w:val="00C75647"/>
    <w:rsid w:val="00C75A68"/>
    <w:rsid w:val="00C778DA"/>
    <w:rsid w:val="00C77C56"/>
    <w:rsid w:val="00C81060"/>
    <w:rsid w:val="00C827D1"/>
    <w:rsid w:val="00C82C96"/>
    <w:rsid w:val="00C8411F"/>
    <w:rsid w:val="00C93EF7"/>
    <w:rsid w:val="00CA6952"/>
    <w:rsid w:val="00CB3153"/>
    <w:rsid w:val="00CB4064"/>
    <w:rsid w:val="00CB79A4"/>
    <w:rsid w:val="00CC6092"/>
    <w:rsid w:val="00CC7718"/>
    <w:rsid w:val="00CE4A88"/>
    <w:rsid w:val="00CF3F69"/>
    <w:rsid w:val="00CF6D18"/>
    <w:rsid w:val="00CF7558"/>
    <w:rsid w:val="00D002A8"/>
    <w:rsid w:val="00D015A0"/>
    <w:rsid w:val="00D030D5"/>
    <w:rsid w:val="00D06A80"/>
    <w:rsid w:val="00D06DC4"/>
    <w:rsid w:val="00D123DA"/>
    <w:rsid w:val="00D14F18"/>
    <w:rsid w:val="00D21A15"/>
    <w:rsid w:val="00D270DE"/>
    <w:rsid w:val="00D274A6"/>
    <w:rsid w:val="00D27BED"/>
    <w:rsid w:val="00D3394A"/>
    <w:rsid w:val="00D33EDF"/>
    <w:rsid w:val="00D355FD"/>
    <w:rsid w:val="00D35766"/>
    <w:rsid w:val="00D367F5"/>
    <w:rsid w:val="00D41FDE"/>
    <w:rsid w:val="00D43718"/>
    <w:rsid w:val="00D4530E"/>
    <w:rsid w:val="00D47422"/>
    <w:rsid w:val="00D4785C"/>
    <w:rsid w:val="00D532CB"/>
    <w:rsid w:val="00D64A99"/>
    <w:rsid w:val="00D71CD7"/>
    <w:rsid w:val="00D836B8"/>
    <w:rsid w:val="00D90FC8"/>
    <w:rsid w:val="00DA0F52"/>
    <w:rsid w:val="00DA183D"/>
    <w:rsid w:val="00DA5612"/>
    <w:rsid w:val="00DA6D56"/>
    <w:rsid w:val="00DB77B5"/>
    <w:rsid w:val="00DC2192"/>
    <w:rsid w:val="00DC6C68"/>
    <w:rsid w:val="00DD54F6"/>
    <w:rsid w:val="00DE258B"/>
    <w:rsid w:val="00DE4201"/>
    <w:rsid w:val="00DE6D7C"/>
    <w:rsid w:val="00DF2C9D"/>
    <w:rsid w:val="00E04EA1"/>
    <w:rsid w:val="00E05FA8"/>
    <w:rsid w:val="00E160F3"/>
    <w:rsid w:val="00E203BF"/>
    <w:rsid w:val="00E210E9"/>
    <w:rsid w:val="00E213F7"/>
    <w:rsid w:val="00E32D94"/>
    <w:rsid w:val="00E3421C"/>
    <w:rsid w:val="00E35DF7"/>
    <w:rsid w:val="00E43C0C"/>
    <w:rsid w:val="00E53AC6"/>
    <w:rsid w:val="00E574B6"/>
    <w:rsid w:val="00E57FC2"/>
    <w:rsid w:val="00E62835"/>
    <w:rsid w:val="00E638CE"/>
    <w:rsid w:val="00E82851"/>
    <w:rsid w:val="00E82E63"/>
    <w:rsid w:val="00E839D3"/>
    <w:rsid w:val="00E90325"/>
    <w:rsid w:val="00E90411"/>
    <w:rsid w:val="00E90660"/>
    <w:rsid w:val="00E91315"/>
    <w:rsid w:val="00EA1AAA"/>
    <w:rsid w:val="00EA726F"/>
    <w:rsid w:val="00EB0BC3"/>
    <w:rsid w:val="00EB2667"/>
    <w:rsid w:val="00EB39CE"/>
    <w:rsid w:val="00EB4047"/>
    <w:rsid w:val="00EB7040"/>
    <w:rsid w:val="00EB7B02"/>
    <w:rsid w:val="00EC3BCD"/>
    <w:rsid w:val="00EC675C"/>
    <w:rsid w:val="00EC6F2B"/>
    <w:rsid w:val="00EE1665"/>
    <w:rsid w:val="00EF4973"/>
    <w:rsid w:val="00EF4DD7"/>
    <w:rsid w:val="00F01FA0"/>
    <w:rsid w:val="00F06E9D"/>
    <w:rsid w:val="00F10825"/>
    <w:rsid w:val="00F11FB8"/>
    <w:rsid w:val="00F14DB6"/>
    <w:rsid w:val="00F210A3"/>
    <w:rsid w:val="00F23689"/>
    <w:rsid w:val="00F24D54"/>
    <w:rsid w:val="00F32E77"/>
    <w:rsid w:val="00F3551A"/>
    <w:rsid w:val="00F37B8C"/>
    <w:rsid w:val="00F414C2"/>
    <w:rsid w:val="00F4379E"/>
    <w:rsid w:val="00F44DF2"/>
    <w:rsid w:val="00F450FB"/>
    <w:rsid w:val="00F5094E"/>
    <w:rsid w:val="00F52B26"/>
    <w:rsid w:val="00F5454C"/>
    <w:rsid w:val="00F71BBA"/>
    <w:rsid w:val="00F77251"/>
    <w:rsid w:val="00F82ED5"/>
    <w:rsid w:val="00F90016"/>
    <w:rsid w:val="00F95390"/>
    <w:rsid w:val="00F95E4E"/>
    <w:rsid w:val="00F975C7"/>
    <w:rsid w:val="00FA50DA"/>
    <w:rsid w:val="00FC1938"/>
    <w:rsid w:val="00FC3215"/>
    <w:rsid w:val="00FC43C7"/>
    <w:rsid w:val="00FE0C02"/>
    <w:rsid w:val="00FF00E3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C24545"/>
  <w15:chartTrackingRefBased/>
  <w15:docId w15:val="{EA3BA95E-B2AD-44CB-ABD6-36E5213B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010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52B26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E839D3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1D06E5"/>
    <w:rPr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CommentText">
    <w:name w:val="annotation text"/>
    <w:basedOn w:val="Normal"/>
    <w:link w:val="CommentTextChar"/>
    <w:rsid w:val="001D06E5"/>
    <w:rPr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efault">
    <w:name w:val="Default"/>
    <w:basedOn w:val="Normal"/>
    <w:pPr>
      <w:widowControl w:val="0"/>
    </w:pPr>
    <w:rPr>
      <w:snapToGrid w:val="0"/>
      <w:szCs w:val="20"/>
    </w:rPr>
  </w:style>
  <w:style w:type="character" w:customStyle="1" w:styleId="CommentTextChar">
    <w:name w:val="Comment Text Char"/>
    <w:basedOn w:val="DefaultParagraphFont"/>
    <w:link w:val="CommentText"/>
    <w:rsid w:val="001D06E5"/>
  </w:style>
  <w:style w:type="paragraph" w:styleId="CommentSubject">
    <w:name w:val="annotation subject"/>
    <w:basedOn w:val="CommentText"/>
    <w:next w:val="CommentText"/>
    <w:link w:val="CommentSubjectChar"/>
    <w:rsid w:val="001D06E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1D06E5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7258BB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57598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82851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52B26"/>
    <w:rPr>
      <w:rFonts w:ascii="Verdana" w:hAnsi="Verdana" w:cs="Arial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B4047"/>
    <w:rPr>
      <w:b/>
      <w:bCs/>
      <w:sz w:val="28"/>
      <w:szCs w:val="28"/>
    </w:rPr>
  </w:style>
  <w:style w:type="table" w:styleId="TableGrid">
    <w:name w:val="Table Grid"/>
    <w:basedOn w:val="TableNormal"/>
    <w:rsid w:val="00F52B2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95088"/>
  </w:style>
  <w:style w:type="paragraph" w:styleId="NormalWeb">
    <w:name w:val="Normal (Web)"/>
    <w:basedOn w:val="Normal"/>
    <w:uiPriority w:val="99"/>
    <w:unhideWhenUsed/>
    <w:rsid w:val="003D318E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MemberDisputesPBM@CVSHealt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policy.corp.cvscaremark.com/pnp/faces/DocRenderer?documentId=CALL-004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7CB3A6-F0C4-4288-8F35-EC14D498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6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8403</CharactersWithSpaces>
  <SharedDoc>false</SharedDoc>
  <HLinks>
    <vt:vector size="150" baseType="variant"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78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4784147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!/view?docid=bdac0c67-5fee-47ba-a3aa-aab84900cf78</vt:lpwstr>
      </vt:variant>
      <vt:variant>
        <vt:i4>1376333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6422601</vt:i4>
      </vt:variant>
      <vt:variant>
        <vt:i4>63</vt:i4>
      </vt:variant>
      <vt:variant>
        <vt:i4>0</vt:i4>
      </vt:variant>
      <vt:variant>
        <vt:i4>5</vt:i4>
      </vt:variant>
      <vt:variant>
        <vt:lpwstr>mailto:MemberDisputesPBM@CVSHealth.com</vt:lpwstr>
      </vt:variant>
      <vt:variant>
        <vt:lpwstr/>
      </vt:variant>
      <vt:variant>
        <vt:i4>4194370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!/view?docid=b529fcee-1566-4001-a703-ce8b63186cb2</vt:lpwstr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5177420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!/view?docid=7049837e-d636-430e-b990-ae0706bd09e9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5111882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!/view?docid=7b80562c-60b7-4616-b431-c0a481c4c9cb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1245200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!/view?docid=f28dbdf4-4355-45be-95c4-6bda1c08a521</vt:lpwstr>
      </vt:variant>
      <vt:variant>
        <vt:i4>1179718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!/view?docid=918203d3-2d76-4044-b2d9-0ced0504d471</vt:lpwstr>
      </vt:variant>
      <vt:variant>
        <vt:i4>1703963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!/view?docid=76ff600a-8205-4ae2-82c0-cf3d007af90c</vt:lpwstr>
      </vt:variant>
      <vt:variant>
        <vt:i4>4784201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!/view?docid=6a481d2d-cc6d-40f0-af30-1858db02b7a4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5111874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!/view?docid=6f0cee90-4504-46c5-9354-8aa3483e7f4b</vt:lpwstr>
      </vt:variant>
      <vt:variant>
        <vt:i4>4456475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!/view?docid=1c7a95aa-d870-4b4a-9045-5c96dfe6aece</vt:lpwstr>
      </vt:variant>
      <vt:variant>
        <vt:i4>1769524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_Toc161655197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_Toc161655196</vt:lpwstr>
      </vt:variant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_Toc161655195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_Toc161655194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_Toc161655193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_Toc161655192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Gingras, Susan</cp:lastModifiedBy>
  <cp:revision>2</cp:revision>
  <dcterms:created xsi:type="dcterms:W3CDTF">2025-09-08T16:18:00Z</dcterms:created>
  <dcterms:modified xsi:type="dcterms:W3CDTF">2025-09-08T16:18:00Z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2022-03-25T14:28:50Z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d94726a8-e8f7-464c-a30e-d9af39d42d4a</vt:lpwstr>
  </property>
  <property fmtid="{D5CDD505-2E9C-101B-9397-08002B2CF9AE}" pid="8" name="MSIP_Label_67599526-06ca-49cc-9fa9-5307800a949a_ContentBits">
    <vt:lpwstr>0</vt:lpwstr>
  </property>
</Properties>
</file>