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3D019" w14:textId="57450315" w:rsidR="00255C6B" w:rsidRPr="0058134F" w:rsidRDefault="00320D42" w:rsidP="00255C6B">
      <w:pPr>
        <w:pStyle w:val="Heading1"/>
        <w:rPr>
          <w:rFonts w:ascii="Verdana" w:hAnsi="Verdana"/>
          <w:color w:val="000000"/>
          <w:sz w:val="36"/>
          <w:szCs w:val="36"/>
        </w:rPr>
      </w:pPr>
      <w:bookmarkStart w:id="0" w:name="_top"/>
      <w:bookmarkEnd w:id="0"/>
      <w:r>
        <w:rPr>
          <w:rFonts w:ascii="Verdana" w:hAnsi="Verdana"/>
          <w:color w:val="000000"/>
          <w:sz w:val="36"/>
          <w:szCs w:val="36"/>
        </w:rPr>
        <w:t>Management of Select Unapproved Products Coverage Strategy &amp; Examples</w:t>
      </w:r>
      <w:r w:rsidR="009F6B07">
        <w:rPr>
          <w:rFonts w:ascii="Verdana" w:hAnsi="Verdana"/>
          <w:color w:val="000000"/>
          <w:sz w:val="36"/>
          <w:szCs w:val="36"/>
        </w:rPr>
        <w:t xml:space="preserve"> (</w:t>
      </w:r>
      <w:r w:rsidR="00630D9E">
        <w:rPr>
          <w:rFonts w:ascii="Verdana" w:hAnsi="Verdana"/>
          <w:color w:val="000000"/>
          <w:sz w:val="36"/>
          <w:szCs w:val="36"/>
        </w:rPr>
        <w:t>Non-FDA</w:t>
      </w:r>
      <w:r w:rsidR="009F6B07">
        <w:rPr>
          <w:rFonts w:ascii="Verdana" w:hAnsi="Verdana"/>
          <w:color w:val="000000"/>
          <w:sz w:val="36"/>
          <w:szCs w:val="36"/>
        </w:rPr>
        <w:t xml:space="preserve"> Approved)</w:t>
      </w:r>
    </w:p>
    <w:p w14:paraId="5C031E5B" w14:textId="77777777" w:rsidR="003C3E52" w:rsidRDefault="003C3E52">
      <w:pPr>
        <w:pStyle w:val="TOC2"/>
      </w:pPr>
    </w:p>
    <w:p w14:paraId="45A9253D" w14:textId="48ED2127" w:rsidR="0085209D" w:rsidRPr="0085209D" w:rsidRDefault="0058134F">
      <w:pPr>
        <w:pStyle w:val="TOC2"/>
        <w:rPr>
          <w:rFonts w:asciiTheme="minorHAnsi" w:eastAsiaTheme="minorEastAsia" w:hAnsiTheme="minorHAnsi" w:cstheme="minorBidi"/>
          <w:color w:val="auto"/>
          <w:sz w:val="22"/>
          <w:szCs w:val="22"/>
          <w:u w:val="none"/>
        </w:rPr>
      </w:pPr>
      <w:r w:rsidRPr="0085209D">
        <w:fldChar w:fldCharType="begin"/>
      </w:r>
      <w:r w:rsidRPr="0085209D">
        <w:instrText xml:space="preserve"> TOC \o "2-2" \n \h \z \u </w:instrText>
      </w:r>
      <w:r w:rsidRPr="0085209D">
        <w:fldChar w:fldCharType="separate"/>
      </w:r>
      <w:hyperlink w:anchor="_Toc121743289" w:history="1">
        <w:r w:rsidR="0085209D" w:rsidRPr="0085209D">
          <w:rPr>
            <w:rStyle w:val="Hyperlink"/>
          </w:rPr>
          <w:t>Reminders</w:t>
        </w:r>
      </w:hyperlink>
    </w:p>
    <w:p w14:paraId="05066078" w14:textId="28A4BEDA" w:rsidR="0085209D" w:rsidRPr="0085209D" w:rsidRDefault="0085209D">
      <w:pPr>
        <w:pStyle w:val="TOC2"/>
        <w:rPr>
          <w:rFonts w:asciiTheme="minorHAnsi" w:eastAsiaTheme="minorEastAsia" w:hAnsiTheme="minorHAnsi" w:cstheme="minorBidi"/>
          <w:color w:val="auto"/>
          <w:sz w:val="22"/>
          <w:szCs w:val="22"/>
          <w:u w:val="none"/>
        </w:rPr>
      </w:pPr>
      <w:hyperlink w:anchor="_Toc121743290" w:history="1">
        <w:r w:rsidRPr="0085209D">
          <w:rPr>
            <w:rStyle w:val="Hyperlink"/>
          </w:rPr>
          <w:t>Examples of Covered Products</w:t>
        </w:r>
      </w:hyperlink>
    </w:p>
    <w:p w14:paraId="60AF7DC2" w14:textId="0320A18E" w:rsidR="0085209D" w:rsidRPr="0085209D" w:rsidRDefault="0085209D">
      <w:pPr>
        <w:pStyle w:val="TOC2"/>
        <w:rPr>
          <w:rFonts w:asciiTheme="minorHAnsi" w:eastAsiaTheme="minorEastAsia" w:hAnsiTheme="minorHAnsi" w:cstheme="minorBidi"/>
          <w:color w:val="auto"/>
          <w:sz w:val="22"/>
          <w:szCs w:val="22"/>
          <w:u w:val="none"/>
        </w:rPr>
      </w:pPr>
      <w:hyperlink w:anchor="_Toc121743291" w:history="1">
        <w:r w:rsidRPr="0085209D">
          <w:rPr>
            <w:rStyle w:val="Hyperlink"/>
          </w:rPr>
          <w:t>Examples of Non-Covered Products</w:t>
        </w:r>
      </w:hyperlink>
    </w:p>
    <w:p w14:paraId="47787516" w14:textId="2D2D4397" w:rsidR="0085209D" w:rsidRPr="0085209D" w:rsidRDefault="0085209D">
      <w:pPr>
        <w:pStyle w:val="TOC2"/>
        <w:rPr>
          <w:rFonts w:asciiTheme="minorHAnsi" w:eastAsiaTheme="minorEastAsia" w:hAnsiTheme="minorHAnsi" w:cstheme="minorBidi"/>
          <w:color w:val="auto"/>
          <w:sz w:val="22"/>
          <w:szCs w:val="22"/>
          <w:u w:val="none"/>
        </w:rPr>
      </w:pPr>
      <w:hyperlink w:anchor="_Toc121743292" w:history="1">
        <w:r w:rsidRPr="0085209D">
          <w:rPr>
            <w:rStyle w:val="Hyperlink"/>
          </w:rPr>
          <w:t>Frequently Asked Questions / Answers</w:t>
        </w:r>
      </w:hyperlink>
    </w:p>
    <w:p w14:paraId="73309F43" w14:textId="19755EDE" w:rsidR="0085209D" w:rsidRPr="0085209D" w:rsidRDefault="0085209D">
      <w:pPr>
        <w:pStyle w:val="TOC2"/>
        <w:rPr>
          <w:rFonts w:asciiTheme="minorHAnsi" w:eastAsiaTheme="minorEastAsia" w:hAnsiTheme="minorHAnsi" w:cstheme="minorBidi"/>
          <w:color w:val="auto"/>
          <w:sz w:val="22"/>
          <w:szCs w:val="22"/>
          <w:u w:val="none"/>
        </w:rPr>
      </w:pPr>
      <w:hyperlink w:anchor="_Toc121743293" w:history="1">
        <w:r w:rsidRPr="0085209D">
          <w:rPr>
            <w:rStyle w:val="Hyperlink"/>
          </w:rPr>
          <w:t>Related Documents</w:t>
        </w:r>
      </w:hyperlink>
    </w:p>
    <w:p w14:paraId="418FF184" w14:textId="2B5AB81D" w:rsidR="00C74406" w:rsidRDefault="0058134F" w:rsidP="00B84708">
      <w:pPr>
        <w:rPr>
          <w:b/>
        </w:rPr>
      </w:pPr>
      <w:r w:rsidRPr="0085209D">
        <w:rPr>
          <w:bCs/>
        </w:rPr>
        <w:fldChar w:fldCharType="end"/>
      </w:r>
      <w:r w:rsidR="009F6B07" w:rsidDel="009F6B07">
        <w:rPr>
          <w:b/>
        </w:rPr>
        <w:t xml:space="preserve"> </w:t>
      </w:r>
    </w:p>
    <w:p w14:paraId="4A311E9B" w14:textId="6B641D4D" w:rsidR="006308F0" w:rsidRDefault="00D718EA" w:rsidP="00C74406">
      <w:pPr>
        <w:rPr>
          <w:rFonts w:cs="Arial"/>
        </w:rPr>
      </w:pPr>
      <w:r w:rsidRPr="00D718EA">
        <w:rPr>
          <w:b/>
          <w:bCs/>
        </w:rPr>
        <w:t>Description:</w:t>
      </w:r>
      <w:r>
        <w:t xml:space="preserve">  </w:t>
      </w:r>
      <w:r w:rsidR="0005025E">
        <w:t>I</w:t>
      </w:r>
      <w:r>
        <w:rPr>
          <w:color w:val="000000"/>
        </w:rPr>
        <w:t xml:space="preserve">nformation regarding </w:t>
      </w:r>
      <w:r w:rsidRPr="006308F0">
        <w:t>the Federal Food, Drug and Cosmetic Act (</w:t>
      </w:r>
      <w:proofErr w:type="spellStart"/>
      <w:r w:rsidRPr="006308F0">
        <w:t>FFDCA</w:t>
      </w:r>
      <w:proofErr w:type="spellEnd"/>
      <w:r w:rsidRPr="006308F0">
        <w:t>)</w:t>
      </w:r>
      <w:r>
        <w:t xml:space="preserve"> u</w:t>
      </w:r>
      <w:r w:rsidRPr="00D718EA">
        <w:rPr>
          <w:rFonts w:cs="Arial"/>
        </w:rPr>
        <w:t xml:space="preserve">napproved </w:t>
      </w:r>
      <w:r>
        <w:rPr>
          <w:rFonts w:cs="Arial"/>
        </w:rPr>
        <w:t>d</w:t>
      </w:r>
      <w:r w:rsidRPr="00D718EA">
        <w:rPr>
          <w:rFonts w:cs="Arial"/>
        </w:rPr>
        <w:t>rugs</w:t>
      </w:r>
      <w:r>
        <w:rPr>
          <w:rFonts w:cs="Arial"/>
        </w:rPr>
        <w:t>.</w:t>
      </w:r>
    </w:p>
    <w:p w14:paraId="662BF645" w14:textId="77777777" w:rsidR="0005025E" w:rsidRPr="006308F0" w:rsidRDefault="0005025E" w:rsidP="00C7440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6308F0" w:rsidRPr="006308F0" w14:paraId="3B09D0E1" w14:textId="77777777" w:rsidTr="00296278">
        <w:tc>
          <w:tcPr>
            <w:tcW w:w="5000" w:type="pct"/>
            <w:shd w:val="clear" w:color="auto" w:fill="C0C0C0"/>
          </w:tcPr>
          <w:p w14:paraId="59700F5A" w14:textId="77777777" w:rsidR="006308F0" w:rsidRPr="006308F0" w:rsidRDefault="00D718EA" w:rsidP="00D718EA">
            <w:pPr>
              <w:keepNext/>
              <w:spacing w:before="120" w:after="120"/>
              <w:outlineLvl w:val="1"/>
              <w:rPr>
                <w:rFonts w:cs="Arial"/>
                <w:b/>
                <w:bCs/>
                <w:sz w:val="28"/>
                <w:szCs w:val="28"/>
              </w:rPr>
            </w:pPr>
            <w:bookmarkStart w:id="1" w:name="_Toc121743289"/>
            <w:r>
              <w:rPr>
                <w:rFonts w:cs="Arial"/>
                <w:b/>
                <w:bCs/>
                <w:sz w:val="28"/>
                <w:szCs w:val="28"/>
              </w:rPr>
              <w:t>Reminders</w:t>
            </w:r>
            <w:bookmarkEnd w:id="1"/>
          </w:p>
        </w:tc>
      </w:tr>
    </w:tbl>
    <w:p w14:paraId="029F11C6" w14:textId="77777777" w:rsidR="003C3E52" w:rsidRDefault="003C3E52" w:rsidP="006308F0">
      <w:pPr>
        <w:rPr>
          <w:color w:val="000000"/>
        </w:rPr>
      </w:pPr>
    </w:p>
    <w:p w14:paraId="2B7977BA" w14:textId="77777777" w:rsidR="006308F0" w:rsidRPr="006308F0" w:rsidRDefault="006308F0" w:rsidP="006308F0">
      <w:r w:rsidRPr="006308F0">
        <w:t>Over the past few years, there has been an increase in cost and utilization of products that may be marketed contrary to the Federal Food, Drug and Cosmetic Act (</w:t>
      </w:r>
      <w:proofErr w:type="spellStart"/>
      <w:r w:rsidRPr="006308F0">
        <w:t>FFDCA</w:t>
      </w:r>
      <w:proofErr w:type="spellEnd"/>
      <w:r w:rsidRPr="006308F0">
        <w:t xml:space="preserve">). </w:t>
      </w:r>
    </w:p>
    <w:p w14:paraId="6DF2E726" w14:textId="77777777" w:rsidR="006308F0" w:rsidRPr="006308F0" w:rsidRDefault="006308F0" w:rsidP="006308F0"/>
    <w:p w14:paraId="1A9A7FB6" w14:textId="77777777" w:rsidR="006308F0" w:rsidRPr="006308F0" w:rsidRDefault="00D718EA" w:rsidP="006308F0">
      <w:r>
        <w:t>E</w:t>
      </w:r>
      <w:r w:rsidR="006308F0" w:rsidRPr="006308F0">
        <w:t xml:space="preserve">xcluding all of these medications from coverage is not possible because it may interfere with vital prescription therapies. Using Covered Outpatient Drugs (COD) codes, we can identify medications that meet coverage requirements for Medicare Part D and Medicaid.   </w:t>
      </w:r>
    </w:p>
    <w:p w14:paraId="342239F7" w14:textId="77777777" w:rsidR="006308F0" w:rsidRPr="006308F0" w:rsidRDefault="006308F0" w:rsidP="006308F0"/>
    <w:p w14:paraId="20169232" w14:textId="77777777" w:rsidR="006308F0" w:rsidRPr="006308F0" w:rsidRDefault="006308F0" w:rsidP="006308F0">
      <w:pPr>
        <w:rPr>
          <w:rFonts w:cs="Arial"/>
          <w:szCs w:val="22"/>
        </w:rPr>
      </w:pPr>
      <w:r w:rsidRPr="006308F0">
        <w:rPr>
          <w:rFonts w:cs="Arial"/>
          <w:szCs w:val="22"/>
        </w:rPr>
        <w:t xml:space="preserve">CVS Caremark excluded coverage for certain existing unapproved products that may be marketed contrary to the </w:t>
      </w:r>
      <w:proofErr w:type="spellStart"/>
      <w:r w:rsidRPr="006308F0">
        <w:rPr>
          <w:rFonts w:cs="Arial"/>
          <w:szCs w:val="22"/>
        </w:rPr>
        <w:t>FFDCA</w:t>
      </w:r>
      <w:proofErr w:type="spellEnd"/>
      <w:r w:rsidRPr="006308F0">
        <w:rPr>
          <w:rFonts w:cs="Arial"/>
          <w:szCs w:val="22"/>
        </w:rPr>
        <w:t xml:space="preserve">. Coverage continues for select unapproved products that are marketed in accordance with the </w:t>
      </w:r>
      <w:proofErr w:type="spellStart"/>
      <w:r w:rsidRPr="006308F0">
        <w:rPr>
          <w:rFonts w:cs="Arial"/>
          <w:szCs w:val="22"/>
        </w:rPr>
        <w:t>FFDCA</w:t>
      </w:r>
      <w:proofErr w:type="spellEnd"/>
      <w:r w:rsidRPr="006308F0">
        <w:rPr>
          <w:rFonts w:cs="Arial"/>
          <w:szCs w:val="22"/>
        </w:rPr>
        <w:t xml:space="preserve"> or those deemed necessary to meet the clinical needs of members.</w:t>
      </w:r>
    </w:p>
    <w:p w14:paraId="1CF35D5C" w14:textId="77777777" w:rsidR="006308F0" w:rsidRPr="006308F0" w:rsidRDefault="006308F0" w:rsidP="006308F0">
      <w:pPr>
        <w:rPr>
          <w:rFonts w:cs="Arial"/>
          <w:szCs w:val="22"/>
        </w:rPr>
      </w:pPr>
    </w:p>
    <w:p w14:paraId="3F515A0E" w14:textId="473ED0F2" w:rsidR="006308F0" w:rsidRPr="006308F0" w:rsidRDefault="006308F0" w:rsidP="006308F0">
      <w:pPr>
        <w:rPr>
          <w:rFonts w:cs="Arial"/>
          <w:szCs w:val="22"/>
        </w:rPr>
      </w:pPr>
      <w:r w:rsidRPr="006308F0">
        <w:rPr>
          <w:rFonts w:cs="Arial"/>
          <w:b/>
          <w:szCs w:val="22"/>
        </w:rPr>
        <w:t>Note:</w:t>
      </w:r>
      <w:r w:rsidR="00D718EA">
        <w:rPr>
          <w:rFonts w:cs="Arial"/>
          <w:b/>
          <w:szCs w:val="22"/>
        </w:rPr>
        <w:t xml:space="preserve">  </w:t>
      </w:r>
      <w:r w:rsidRPr="006308F0">
        <w:rPr>
          <w:rFonts w:cs="Arial"/>
          <w:szCs w:val="22"/>
        </w:rPr>
        <w:t>Claims at retail that are denied due to this issue will show Reject 54:</w:t>
      </w:r>
      <w:r w:rsidR="0085209D">
        <w:rPr>
          <w:rFonts w:cs="Arial"/>
          <w:szCs w:val="22"/>
        </w:rPr>
        <w:t xml:space="preserve"> </w:t>
      </w:r>
      <w:r w:rsidRPr="006308F0">
        <w:t xml:space="preserve"> NON FDA APPROVED and NON MATCHED </w:t>
      </w:r>
      <w:proofErr w:type="spellStart"/>
      <w:r w:rsidRPr="006308F0">
        <w:t>NDC</w:t>
      </w:r>
      <w:proofErr w:type="spellEnd"/>
      <w:r w:rsidRPr="006308F0">
        <w:t xml:space="preserve"> NUMBER. </w:t>
      </w:r>
    </w:p>
    <w:p w14:paraId="2EF89770" w14:textId="77777777" w:rsidR="006308F0" w:rsidRDefault="006308F0" w:rsidP="006308F0"/>
    <w:p w14:paraId="11D6810D" w14:textId="23351A4D" w:rsidR="006308F0" w:rsidRPr="006308F0" w:rsidRDefault="00397886" w:rsidP="00397886">
      <w:pPr>
        <w:jc w:val="right"/>
      </w:pPr>
      <w:hyperlink w:anchor="_top" w:history="1">
        <w:r w:rsidRPr="0085209D">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D7AB4" w:rsidRPr="0058134F" w14:paraId="3B9037BB" w14:textId="77777777" w:rsidTr="00647CDD">
        <w:tc>
          <w:tcPr>
            <w:tcW w:w="5000" w:type="pct"/>
            <w:shd w:val="clear" w:color="auto" w:fill="C0C0C0"/>
          </w:tcPr>
          <w:p w14:paraId="6D218FA2" w14:textId="77777777" w:rsidR="00AD7AB4" w:rsidRPr="0058134F" w:rsidRDefault="00AD025E" w:rsidP="00D718EA">
            <w:pPr>
              <w:pStyle w:val="Heading2"/>
              <w:spacing w:before="120" w:after="120"/>
              <w:rPr>
                <w:rFonts w:ascii="Verdana" w:hAnsi="Verdana"/>
                <w:i w:val="0"/>
                <w:iCs w:val="0"/>
              </w:rPr>
            </w:pPr>
            <w:bookmarkStart w:id="2" w:name="_Overview"/>
            <w:bookmarkStart w:id="3" w:name="_Toc121743290"/>
            <w:bookmarkEnd w:id="2"/>
            <w:r>
              <w:rPr>
                <w:rFonts w:ascii="Verdana" w:hAnsi="Verdana"/>
                <w:i w:val="0"/>
                <w:iCs w:val="0"/>
              </w:rPr>
              <w:t>Examples of Covered Products</w:t>
            </w:r>
            <w:bookmarkEnd w:id="3"/>
          </w:p>
        </w:tc>
      </w:tr>
    </w:tbl>
    <w:p w14:paraId="26B6E0C5" w14:textId="77777777" w:rsidR="00FF343E" w:rsidRDefault="00D718EA" w:rsidP="00D718EA">
      <w:pPr>
        <w:spacing w:before="120" w:after="120"/>
      </w:pPr>
      <w:r>
        <w:t>Refer to as needed: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7"/>
        <w:gridCol w:w="8223"/>
      </w:tblGrid>
      <w:tr w:rsidR="00B17CF3" w14:paraId="13B541B1" w14:textId="77777777" w:rsidTr="00D718EA">
        <w:trPr>
          <w:jc w:val="center"/>
        </w:trPr>
        <w:tc>
          <w:tcPr>
            <w:tcW w:w="1825" w:type="pct"/>
            <w:shd w:val="clear" w:color="auto" w:fill="D9D9D9"/>
          </w:tcPr>
          <w:p w14:paraId="50D9A541" w14:textId="77777777" w:rsidR="00FF343E" w:rsidRPr="00B17CF3" w:rsidRDefault="00FF343E" w:rsidP="00D718EA">
            <w:pPr>
              <w:spacing w:before="120" w:after="120"/>
              <w:jc w:val="center"/>
              <w:rPr>
                <w:b/>
              </w:rPr>
            </w:pPr>
            <w:r w:rsidRPr="00B17CF3">
              <w:rPr>
                <w:b/>
              </w:rPr>
              <w:t>Drug Class</w:t>
            </w:r>
          </w:p>
        </w:tc>
        <w:tc>
          <w:tcPr>
            <w:tcW w:w="3175" w:type="pct"/>
            <w:shd w:val="clear" w:color="auto" w:fill="D9D9D9"/>
          </w:tcPr>
          <w:p w14:paraId="48A59796" w14:textId="77777777" w:rsidR="00FF343E" w:rsidRPr="00B17CF3" w:rsidRDefault="00FF343E" w:rsidP="00D718EA">
            <w:pPr>
              <w:spacing w:before="120" w:after="120"/>
              <w:jc w:val="center"/>
              <w:rPr>
                <w:b/>
              </w:rPr>
            </w:pPr>
            <w:r w:rsidRPr="00B17CF3">
              <w:rPr>
                <w:b/>
              </w:rPr>
              <w:t>Drug Examples</w:t>
            </w:r>
          </w:p>
        </w:tc>
      </w:tr>
      <w:tr w:rsidR="00FF343E" w14:paraId="6CC951F0" w14:textId="77777777" w:rsidTr="00D718EA">
        <w:trPr>
          <w:jc w:val="center"/>
        </w:trPr>
        <w:tc>
          <w:tcPr>
            <w:tcW w:w="1825" w:type="pct"/>
            <w:shd w:val="clear" w:color="auto" w:fill="auto"/>
          </w:tcPr>
          <w:p w14:paraId="2BA5E1DE" w14:textId="77777777" w:rsidR="00FF343E" w:rsidRDefault="00FF343E" w:rsidP="00D718EA">
            <w:pPr>
              <w:spacing w:before="120" w:after="120"/>
            </w:pPr>
            <w:r>
              <w:t>THYROID</w:t>
            </w:r>
          </w:p>
        </w:tc>
        <w:tc>
          <w:tcPr>
            <w:tcW w:w="3175" w:type="pct"/>
            <w:shd w:val="clear" w:color="auto" w:fill="auto"/>
          </w:tcPr>
          <w:p w14:paraId="15D6CED4" w14:textId="77777777" w:rsidR="00FF343E" w:rsidRDefault="00FF343E" w:rsidP="00D718EA">
            <w:pPr>
              <w:spacing w:before="120" w:after="120"/>
            </w:pPr>
            <w:proofErr w:type="spellStart"/>
            <w:r>
              <w:t>ARMOUR</w:t>
            </w:r>
            <w:proofErr w:type="spellEnd"/>
            <w:r>
              <w:t xml:space="preserve"> THYRO TAB 60 MG</w:t>
            </w:r>
          </w:p>
        </w:tc>
      </w:tr>
      <w:tr w:rsidR="00FF343E" w14:paraId="6CFE9D63" w14:textId="77777777" w:rsidTr="00D718EA">
        <w:trPr>
          <w:jc w:val="center"/>
        </w:trPr>
        <w:tc>
          <w:tcPr>
            <w:tcW w:w="1825" w:type="pct"/>
            <w:shd w:val="clear" w:color="auto" w:fill="auto"/>
          </w:tcPr>
          <w:p w14:paraId="02594380" w14:textId="77777777" w:rsidR="00FF343E" w:rsidRDefault="00FF343E" w:rsidP="00D718EA">
            <w:pPr>
              <w:spacing w:before="120" w:after="120"/>
            </w:pPr>
            <w:r>
              <w:t>PRENATAL VITAMINS</w:t>
            </w:r>
          </w:p>
        </w:tc>
        <w:tc>
          <w:tcPr>
            <w:tcW w:w="3175" w:type="pct"/>
            <w:shd w:val="clear" w:color="auto" w:fill="auto"/>
          </w:tcPr>
          <w:p w14:paraId="357F3AC6" w14:textId="77777777" w:rsidR="00FF343E" w:rsidRDefault="00FF343E" w:rsidP="00D718EA">
            <w:pPr>
              <w:spacing w:before="120" w:after="120"/>
            </w:pPr>
            <w:proofErr w:type="spellStart"/>
            <w:r>
              <w:t>PNV</w:t>
            </w:r>
            <w:proofErr w:type="spellEnd"/>
            <w:r>
              <w:t xml:space="preserve"> PRENATAL PLUS TAB</w:t>
            </w:r>
          </w:p>
        </w:tc>
      </w:tr>
      <w:tr w:rsidR="00FF343E" w14:paraId="66E39629" w14:textId="77777777" w:rsidTr="00D718EA">
        <w:trPr>
          <w:jc w:val="center"/>
        </w:trPr>
        <w:tc>
          <w:tcPr>
            <w:tcW w:w="1825" w:type="pct"/>
            <w:shd w:val="clear" w:color="auto" w:fill="auto"/>
          </w:tcPr>
          <w:p w14:paraId="7EE8DF8A" w14:textId="77777777" w:rsidR="00FF343E" w:rsidRDefault="00FF343E" w:rsidP="00D718EA">
            <w:pPr>
              <w:spacing w:before="120" w:after="120"/>
            </w:pPr>
            <w:r>
              <w:t>BARBITURATE HYPNOTICS</w:t>
            </w:r>
          </w:p>
        </w:tc>
        <w:tc>
          <w:tcPr>
            <w:tcW w:w="3175" w:type="pct"/>
            <w:shd w:val="clear" w:color="auto" w:fill="auto"/>
          </w:tcPr>
          <w:p w14:paraId="46D4A5A5" w14:textId="77777777" w:rsidR="00FF343E" w:rsidRDefault="00FF343E" w:rsidP="00D718EA">
            <w:pPr>
              <w:spacing w:before="120" w:after="120"/>
            </w:pPr>
            <w:r>
              <w:t>PHENOBARBITAL TAB 32.4 MG</w:t>
            </w:r>
          </w:p>
        </w:tc>
      </w:tr>
      <w:tr w:rsidR="00FF343E" w14:paraId="665BC28C" w14:textId="77777777" w:rsidTr="00D718EA">
        <w:trPr>
          <w:jc w:val="center"/>
        </w:trPr>
        <w:tc>
          <w:tcPr>
            <w:tcW w:w="1825" w:type="pct"/>
            <w:shd w:val="clear" w:color="auto" w:fill="auto"/>
          </w:tcPr>
          <w:p w14:paraId="4404A053" w14:textId="77777777" w:rsidR="00FF343E" w:rsidRDefault="00FF343E" w:rsidP="00D718EA">
            <w:pPr>
              <w:spacing w:before="120" w:after="120"/>
            </w:pPr>
            <w:r>
              <w:t>FLUORIDES</w:t>
            </w:r>
          </w:p>
        </w:tc>
        <w:tc>
          <w:tcPr>
            <w:tcW w:w="3175" w:type="pct"/>
            <w:shd w:val="clear" w:color="auto" w:fill="auto"/>
          </w:tcPr>
          <w:p w14:paraId="00876C8B" w14:textId="77777777" w:rsidR="00FF343E" w:rsidRDefault="00FF343E" w:rsidP="00D718EA">
            <w:pPr>
              <w:spacing w:before="120" w:after="120"/>
            </w:pPr>
            <w:proofErr w:type="spellStart"/>
            <w:r>
              <w:t>LUDENT</w:t>
            </w:r>
            <w:proofErr w:type="spellEnd"/>
            <w:r>
              <w:t xml:space="preserve"> </w:t>
            </w:r>
            <w:proofErr w:type="spellStart"/>
            <w:r>
              <w:t>CHW</w:t>
            </w:r>
            <w:proofErr w:type="spellEnd"/>
            <w:r>
              <w:t xml:space="preserve"> 0.5 MG F; FLUORIDE </w:t>
            </w:r>
            <w:proofErr w:type="spellStart"/>
            <w:r>
              <w:t>CHW</w:t>
            </w:r>
            <w:proofErr w:type="spellEnd"/>
            <w:r>
              <w:t xml:space="preserve"> 0.5 MG F</w:t>
            </w:r>
          </w:p>
        </w:tc>
      </w:tr>
      <w:tr w:rsidR="00FF343E" w14:paraId="7C5B6FD2" w14:textId="77777777" w:rsidTr="00D718EA">
        <w:trPr>
          <w:jc w:val="center"/>
        </w:trPr>
        <w:tc>
          <w:tcPr>
            <w:tcW w:w="1825" w:type="pct"/>
            <w:shd w:val="clear" w:color="auto" w:fill="auto"/>
          </w:tcPr>
          <w:p w14:paraId="69435B96" w14:textId="77777777" w:rsidR="00FF343E" w:rsidRDefault="00FF343E" w:rsidP="00D718EA">
            <w:pPr>
              <w:spacing w:before="120" w:after="120"/>
            </w:pPr>
            <w:r>
              <w:t>ANTISPASMODICS</w:t>
            </w:r>
          </w:p>
        </w:tc>
        <w:tc>
          <w:tcPr>
            <w:tcW w:w="3175" w:type="pct"/>
            <w:shd w:val="clear" w:color="auto" w:fill="auto"/>
          </w:tcPr>
          <w:p w14:paraId="581D6FEB" w14:textId="77777777" w:rsidR="00FF343E" w:rsidRDefault="00FF343E" w:rsidP="00D718EA">
            <w:pPr>
              <w:spacing w:before="120" w:after="120"/>
            </w:pPr>
            <w:r>
              <w:t>HYOSCYAMINE SUB 0.125 MG</w:t>
            </w:r>
          </w:p>
        </w:tc>
      </w:tr>
      <w:tr w:rsidR="00FF343E" w14:paraId="49F9CFF4" w14:textId="77777777" w:rsidTr="00D718EA">
        <w:trPr>
          <w:jc w:val="center"/>
        </w:trPr>
        <w:tc>
          <w:tcPr>
            <w:tcW w:w="1825" w:type="pct"/>
            <w:shd w:val="clear" w:color="auto" w:fill="auto"/>
          </w:tcPr>
          <w:p w14:paraId="5ADDC93E" w14:textId="77777777" w:rsidR="00FF343E" w:rsidRDefault="00FF343E" w:rsidP="00D718EA">
            <w:pPr>
              <w:spacing w:before="120" w:after="120"/>
            </w:pPr>
            <w:r>
              <w:t>SALICYLATES (NSAIDs)</w:t>
            </w:r>
          </w:p>
        </w:tc>
        <w:tc>
          <w:tcPr>
            <w:tcW w:w="3175" w:type="pct"/>
            <w:shd w:val="clear" w:color="auto" w:fill="auto"/>
          </w:tcPr>
          <w:p w14:paraId="097E3667" w14:textId="77777777" w:rsidR="00FF343E" w:rsidRDefault="00FF343E" w:rsidP="00D718EA">
            <w:pPr>
              <w:spacing w:before="120" w:after="120"/>
            </w:pPr>
            <w:proofErr w:type="spellStart"/>
            <w:r>
              <w:t>SALSALATE</w:t>
            </w:r>
            <w:proofErr w:type="spellEnd"/>
            <w:r>
              <w:t xml:space="preserve"> TAB 750 MG</w:t>
            </w:r>
          </w:p>
        </w:tc>
      </w:tr>
      <w:tr w:rsidR="00FF343E" w14:paraId="366AE0D4" w14:textId="77777777" w:rsidTr="00D718EA">
        <w:trPr>
          <w:jc w:val="center"/>
        </w:trPr>
        <w:tc>
          <w:tcPr>
            <w:tcW w:w="1825" w:type="pct"/>
            <w:shd w:val="clear" w:color="auto" w:fill="auto"/>
          </w:tcPr>
          <w:p w14:paraId="0FABA8DF" w14:textId="77777777" w:rsidR="00FF343E" w:rsidRDefault="00FF343E" w:rsidP="00D718EA">
            <w:pPr>
              <w:spacing w:before="120" w:after="120"/>
            </w:pPr>
            <w:r>
              <w:t>ASTRINGENTS</w:t>
            </w:r>
          </w:p>
        </w:tc>
        <w:tc>
          <w:tcPr>
            <w:tcW w:w="3175" w:type="pct"/>
            <w:shd w:val="clear" w:color="auto" w:fill="auto"/>
          </w:tcPr>
          <w:p w14:paraId="477A35B3" w14:textId="77777777" w:rsidR="00FF343E" w:rsidRDefault="00FF343E" w:rsidP="00D718EA">
            <w:pPr>
              <w:spacing w:before="120" w:after="120"/>
            </w:pPr>
            <w:r>
              <w:t>HYPERCARE SOL 20%</w:t>
            </w:r>
          </w:p>
        </w:tc>
      </w:tr>
      <w:tr w:rsidR="00FF343E" w14:paraId="2834CDA8" w14:textId="77777777" w:rsidTr="00D718EA">
        <w:trPr>
          <w:jc w:val="center"/>
        </w:trPr>
        <w:tc>
          <w:tcPr>
            <w:tcW w:w="1825" w:type="pct"/>
            <w:shd w:val="clear" w:color="auto" w:fill="auto"/>
          </w:tcPr>
          <w:p w14:paraId="3D4005D3" w14:textId="77777777" w:rsidR="00FF343E" w:rsidRDefault="00FF343E" w:rsidP="00D718EA">
            <w:pPr>
              <w:spacing w:before="120" w:after="120"/>
            </w:pPr>
            <w:r>
              <w:t>CYCLOPLEGIC</w:t>
            </w:r>
          </w:p>
        </w:tc>
        <w:tc>
          <w:tcPr>
            <w:tcW w:w="3175" w:type="pct"/>
            <w:shd w:val="clear" w:color="auto" w:fill="auto"/>
          </w:tcPr>
          <w:p w14:paraId="5C2C3D34" w14:textId="77777777" w:rsidR="00FF343E" w:rsidRDefault="00FF343E" w:rsidP="00D718EA">
            <w:pPr>
              <w:spacing w:before="120" w:after="120"/>
            </w:pPr>
            <w:r>
              <w:t xml:space="preserve">ATROPINE SULFATE </w:t>
            </w:r>
            <w:proofErr w:type="spellStart"/>
            <w:r>
              <w:t>OPHTH</w:t>
            </w:r>
            <w:proofErr w:type="spellEnd"/>
            <w:r>
              <w:t xml:space="preserve"> </w:t>
            </w:r>
            <w:proofErr w:type="spellStart"/>
            <w:r>
              <w:t>SOLN</w:t>
            </w:r>
            <w:proofErr w:type="spellEnd"/>
            <w:r>
              <w:t xml:space="preserve"> 1%</w:t>
            </w:r>
          </w:p>
        </w:tc>
      </w:tr>
      <w:tr w:rsidR="00FF343E" w14:paraId="31C4080D" w14:textId="77777777" w:rsidTr="00D718EA">
        <w:trPr>
          <w:jc w:val="center"/>
        </w:trPr>
        <w:tc>
          <w:tcPr>
            <w:tcW w:w="1825" w:type="pct"/>
            <w:shd w:val="clear" w:color="auto" w:fill="auto"/>
          </w:tcPr>
          <w:p w14:paraId="0CC270BD" w14:textId="77777777" w:rsidR="00FF343E" w:rsidRDefault="00FF343E" w:rsidP="00D718EA">
            <w:pPr>
              <w:spacing w:before="120" w:after="120"/>
            </w:pPr>
            <w:r>
              <w:t>RENAL AGENTS</w:t>
            </w:r>
          </w:p>
        </w:tc>
        <w:tc>
          <w:tcPr>
            <w:tcW w:w="3175" w:type="pct"/>
            <w:shd w:val="clear" w:color="auto" w:fill="auto"/>
          </w:tcPr>
          <w:p w14:paraId="1A6BB9CF" w14:textId="77777777" w:rsidR="00FF343E" w:rsidRDefault="00FF343E" w:rsidP="00D718EA">
            <w:pPr>
              <w:spacing w:before="120" w:after="120"/>
            </w:pPr>
            <w:r>
              <w:t>Na CITRATE; K+ PHOS</w:t>
            </w:r>
          </w:p>
        </w:tc>
      </w:tr>
    </w:tbl>
    <w:p w14:paraId="4875A9FF" w14:textId="77777777" w:rsidR="00EB1F94" w:rsidRDefault="00EB1F94" w:rsidP="003C3E52"/>
    <w:p w14:paraId="65077C38" w14:textId="7CCA7CEE" w:rsidR="00AD025E" w:rsidRDefault="005014E4" w:rsidP="00AD025E">
      <w:pPr>
        <w:jc w:val="center"/>
      </w:pPr>
      <w:r>
        <w:rPr>
          <w:noProof/>
        </w:rPr>
        <w:drawing>
          <wp:inline distT="0" distB="0" distL="0" distR="0" wp14:anchorId="36898DF4" wp14:editId="225D9FDC">
            <wp:extent cx="6677025" cy="318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7025" cy="318770"/>
                    </a:xfrm>
                    <a:prstGeom prst="rect">
                      <a:avLst/>
                    </a:prstGeom>
                    <a:noFill/>
                    <a:ln>
                      <a:noFill/>
                    </a:ln>
                  </pic:spPr>
                </pic:pic>
              </a:graphicData>
            </a:graphic>
          </wp:inline>
        </w:drawing>
      </w:r>
    </w:p>
    <w:p w14:paraId="6B354F5A" w14:textId="77777777" w:rsidR="004853F0" w:rsidRDefault="004853F0" w:rsidP="00AD025E">
      <w:pPr>
        <w:jc w:val="center"/>
      </w:pPr>
    </w:p>
    <w:p w14:paraId="773215D2" w14:textId="77777777" w:rsidR="00AA2252" w:rsidRPr="0058134F" w:rsidRDefault="00AA2252" w:rsidP="00EB1F94"/>
    <w:p w14:paraId="577C094E" w14:textId="7C60A11B" w:rsidR="00AD7AB4" w:rsidRPr="0058134F" w:rsidRDefault="00AD7AB4" w:rsidP="00AD7AB4">
      <w:pPr>
        <w:jc w:val="right"/>
      </w:pPr>
      <w:hyperlink w:anchor="_top" w:history="1">
        <w:r w:rsidRPr="0085209D">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D7AB4" w:rsidRPr="0058134F" w14:paraId="14B21E4B" w14:textId="77777777" w:rsidTr="00647CDD">
        <w:tc>
          <w:tcPr>
            <w:tcW w:w="5000" w:type="pct"/>
            <w:shd w:val="clear" w:color="auto" w:fill="C0C0C0"/>
          </w:tcPr>
          <w:p w14:paraId="4C7DE474" w14:textId="77777777" w:rsidR="00AD7AB4" w:rsidRPr="0058134F" w:rsidRDefault="00AD025E" w:rsidP="00D718EA">
            <w:pPr>
              <w:pStyle w:val="Heading2"/>
              <w:tabs>
                <w:tab w:val="left" w:pos="11985"/>
              </w:tabs>
              <w:spacing w:before="120" w:after="120"/>
              <w:rPr>
                <w:rFonts w:ascii="Verdana" w:hAnsi="Verdana"/>
                <w:i w:val="0"/>
                <w:iCs w:val="0"/>
              </w:rPr>
            </w:pPr>
            <w:bookmarkStart w:id="4" w:name="_Toc121743291"/>
            <w:r>
              <w:rPr>
                <w:rFonts w:ascii="Verdana" w:hAnsi="Verdana"/>
                <w:i w:val="0"/>
                <w:iCs w:val="0"/>
              </w:rPr>
              <w:t>Examples of Non-Covered Products</w:t>
            </w:r>
            <w:bookmarkEnd w:id="4"/>
          </w:p>
        </w:tc>
      </w:tr>
    </w:tbl>
    <w:p w14:paraId="1040E928" w14:textId="77777777" w:rsidR="00A64487" w:rsidRDefault="00A64487" w:rsidP="00AD025E">
      <w:pPr>
        <w:jc w:val="center"/>
      </w:pPr>
    </w:p>
    <w:p w14:paraId="253D6911" w14:textId="00AE9998" w:rsidR="00A57D26" w:rsidRDefault="005014E4" w:rsidP="00AD025E">
      <w:pPr>
        <w:jc w:val="center"/>
      </w:pPr>
      <w:r>
        <w:rPr>
          <w:noProof/>
        </w:rPr>
        <w:drawing>
          <wp:inline distT="0" distB="0" distL="0" distR="0" wp14:anchorId="5617AD12" wp14:editId="4F86C7DF">
            <wp:extent cx="4295775"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775" cy="4572000"/>
                    </a:xfrm>
                    <a:prstGeom prst="rect">
                      <a:avLst/>
                    </a:prstGeom>
                    <a:noFill/>
                    <a:ln>
                      <a:noFill/>
                    </a:ln>
                  </pic:spPr>
                </pic:pic>
              </a:graphicData>
            </a:graphic>
          </wp:inline>
        </w:drawing>
      </w:r>
    </w:p>
    <w:p w14:paraId="3FF47A3B" w14:textId="2E232637" w:rsidR="004853F0" w:rsidRDefault="005014E4" w:rsidP="00AD025E">
      <w:pPr>
        <w:jc w:val="center"/>
        <w:rPr>
          <w:noProof/>
        </w:rPr>
      </w:pPr>
      <w:r w:rsidRPr="00457300">
        <w:rPr>
          <w:noProof/>
        </w:rPr>
        <w:drawing>
          <wp:inline distT="0" distB="0" distL="0" distR="0" wp14:anchorId="655766CD" wp14:editId="56E87025">
            <wp:extent cx="6677025" cy="31877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77025" cy="318770"/>
                    </a:xfrm>
                    <a:prstGeom prst="rect">
                      <a:avLst/>
                    </a:prstGeom>
                    <a:noFill/>
                    <a:ln>
                      <a:noFill/>
                    </a:ln>
                  </pic:spPr>
                </pic:pic>
              </a:graphicData>
            </a:graphic>
          </wp:inline>
        </w:drawing>
      </w:r>
    </w:p>
    <w:p w14:paraId="21020719" w14:textId="77777777" w:rsidR="004853F0" w:rsidRPr="00AD025E" w:rsidRDefault="004853F0" w:rsidP="00AD025E">
      <w:pPr>
        <w:jc w:val="center"/>
        <w:rPr>
          <w:b/>
        </w:rPr>
      </w:pPr>
    </w:p>
    <w:p w14:paraId="65D6FF81" w14:textId="77777777" w:rsidR="006308F0" w:rsidRDefault="006308F0" w:rsidP="00AD025E">
      <w:pPr>
        <w:jc w:val="center"/>
        <w:rPr>
          <w:b/>
        </w:rPr>
      </w:pPr>
    </w:p>
    <w:p w14:paraId="0414E543" w14:textId="334C5619" w:rsidR="006308F0" w:rsidRPr="0085209D" w:rsidRDefault="006308F0" w:rsidP="006308F0">
      <w:pPr>
        <w:jc w:val="right"/>
      </w:pPr>
      <w:hyperlink w:anchor="_top" w:history="1">
        <w:r w:rsidRPr="0085209D">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6308F0" w:rsidRPr="006308F0" w14:paraId="50150CAA" w14:textId="77777777" w:rsidTr="00296278">
        <w:tc>
          <w:tcPr>
            <w:tcW w:w="5000" w:type="pct"/>
            <w:shd w:val="clear" w:color="auto" w:fill="C0C0C0"/>
          </w:tcPr>
          <w:p w14:paraId="30ABF64F" w14:textId="77777777" w:rsidR="006308F0" w:rsidRPr="006308F0" w:rsidRDefault="006308F0" w:rsidP="00D718EA">
            <w:pPr>
              <w:keepNext/>
              <w:spacing w:before="120" w:after="120"/>
              <w:outlineLvl w:val="1"/>
              <w:rPr>
                <w:rFonts w:cs="Arial"/>
                <w:b/>
                <w:bCs/>
                <w:sz w:val="28"/>
                <w:szCs w:val="28"/>
              </w:rPr>
            </w:pPr>
            <w:r w:rsidRPr="006308F0">
              <w:rPr>
                <w:rFonts w:cs="Arial"/>
                <w:b/>
                <w:bCs/>
                <w:sz w:val="28"/>
                <w:szCs w:val="28"/>
              </w:rPr>
              <w:t xml:space="preserve"> </w:t>
            </w:r>
            <w:bookmarkStart w:id="5" w:name="_Toc470011506"/>
            <w:bookmarkStart w:id="6" w:name="_Toc121743292"/>
            <w:r w:rsidRPr="006308F0">
              <w:rPr>
                <w:rFonts w:cs="Arial"/>
                <w:b/>
                <w:bCs/>
                <w:sz w:val="28"/>
                <w:szCs w:val="28"/>
              </w:rPr>
              <w:t>Frequently Asked Questions / Answers</w:t>
            </w:r>
            <w:bookmarkEnd w:id="5"/>
            <w:bookmarkEnd w:id="6"/>
          </w:p>
        </w:tc>
      </w:tr>
    </w:tbl>
    <w:p w14:paraId="5293B909" w14:textId="77777777" w:rsidR="006308F0" w:rsidRPr="006308F0" w:rsidRDefault="006308F0" w:rsidP="00D718EA">
      <w:pPr>
        <w:spacing w:before="120" w:after="120"/>
      </w:pPr>
      <w:r w:rsidRPr="006308F0">
        <w:t>Use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3034"/>
        <w:gridCol w:w="9491"/>
      </w:tblGrid>
      <w:tr w:rsidR="006308F0" w:rsidRPr="006308F0" w14:paraId="51573A40" w14:textId="77777777" w:rsidTr="3561DB91">
        <w:tc>
          <w:tcPr>
            <w:tcW w:w="161" w:type="pct"/>
            <w:shd w:val="clear" w:color="auto" w:fill="D9D9D9" w:themeFill="background1" w:themeFillShade="D9"/>
          </w:tcPr>
          <w:p w14:paraId="082E81F6" w14:textId="77777777" w:rsidR="006308F0" w:rsidRPr="006308F0" w:rsidRDefault="006308F0" w:rsidP="00D718EA">
            <w:pPr>
              <w:spacing w:before="120" w:after="120"/>
              <w:jc w:val="center"/>
              <w:rPr>
                <w:b/>
              </w:rPr>
            </w:pPr>
            <w:r w:rsidRPr="006308F0">
              <w:rPr>
                <w:b/>
              </w:rPr>
              <w:t>#</w:t>
            </w:r>
          </w:p>
        </w:tc>
        <w:tc>
          <w:tcPr>
            <w:tcW w:w="1173" w:type="pct"/>
            <w:shd w:val="clear" w:color="auto" w:fill="D9D9D9" w:themeFill="background1" w:themeFillShade="D9"/>
          </w:tcPr>
          <w:p w14:paraId="7B3C7F39" w14:textId="77777777" w:rsidR="006308F0" w:rsidRPr="006308F0" w:rsidRDefault="006308F0" w:rsidP="00D718EA">
            <w:pPr>
              <w:spacing w:before="120" w:after="120"/>
              <w:jc w:val="center"/>
              <w:rPr>
                <w:b/>
              </w:rPr>
            </w:pPr>
            <w:r w:rsidRPr="006308F0">
              <w:rPr>
                <w:b/>
              </w:rPr>
              <w:t>Question / Statement</w:t>
            </w:r>
          </w:p>
        </w:tc>
        <w:tc>
          <w:tcPr>
            <w:tcW w:w="3666" w:type="pct"/>
            <w:shd w:val="clear" w:color="auto" w:fill="D9D9D9" w:themeFill="background1" w:themeFillShade="D9"/>
          </w:tcPr>
          <w:p w14:paraId="5AE9AB23" w14:textId="77777777" w:rsidR="006308F0" w:rsidRPr="006308F0" w:rsidRDefault="006308F0" w:rsidP="00D718EA">
            <w:pPr>
              <w:spacing w:before="120" w:after="120"/>
              <w:jc w:val="center"/>
              <w:rPr>
                <w:b/>
              </w:rPr>
            </w:pPr>
            <w:r w:rsidRPr="006308F0">
              <w:rPr>
                <w:b/>
              </w:rPr>
              <w:t>Answer</w:t>
            </w:r>
          </w:p>
        </w:tc>
      </w:tr>
      <w:tr w:rsidR="006308F0" w:rsidRPr="006308F0" w14:paraId="36CC142C" w14:textId="77777777" w:rsidTr="3561DB91">
        <w:tc>
          <w:tcPr>
            <w:tcW w:w="161" w:type="pct"/>
          </w:tcPr>
          <w:p w14:paraId="1A628F9B" w14:textId="77777777" w:rsidR="006308F0" w:rsidRPr="006308F0" w:rsidRDefault="006308F0" w:rsidP="00D718EA">
            <w:pPr>
              <w:spacing w:before="120" w:after="120"/>
              <w:jc w:val="center"/>
              <w:rPr>
                <w:b/>
              </w:rPr>
            </w:pPr>
            <w:r w:rsidRPr="006308F0">
              <w:rPr>
                <w:b/>
              </w:rPr>
              <w:t>1</w:t>
            </w:r>
          </w:p>
        </w:tc>
        <w:tc>
          <w:tcPr>
            <w:tcW w:w="1173" w:type="pct"/>
          </w:tcPr>
          <w:p w14:paraId="522BE56E" w14:textId="77777777" w:rsidR="006308F0" w:rsidRPr="006308F0" w:rsidRDefault="006308F0" w:rsidP="00D718EA">
            <w:pPr>
              <w:spacing w:before="120" w:after="120"/>
              <w:rPr>
                <w:bCs/>
              </w:rPr>
            </w:pPr>
            <w:r w:rsidRPr="006308F0">
              <w:rPr>
                <w:bCs/>
              </w:rPr>
              <w:t>What is the CVS Caremark Management of Select Unapproved Products program?</w:t>
            </w:r>
          </w:p>
          <w:p w14:paraId="790D88AC" w14:textId="77777777" w:rsidR="006308F0" w:rsidRPr="006308F0" w:rsidRDefault="006308F0" w:rsidP="00D718EA">
            <w:pPr>
              <w:spacing w:before="120" w:after="120"/>
            </w:pPr>
          </w:p>
        </w:tc>
        <w:tc>
          <w:tcPr>
            <w:tcW w:w="3666" w:type="pct"/>
          </w:tcPr>
          <w:p w14:paraId="174114EA" w14:textId="77777777" w:rsidR="006308F0" w:rsidRPr="006308F0" w:rsidRDefault="006308F0" w:rsidP="00D718EA">
            <w:pPr>
              <w:spacing w:before="120" w:after="120"/>
            </w:pPr>
            <w:r w:rsidRPr="006308F0">
              <w:rPr>
                <w:bCs/>
              </w:rPr>
              <w:t xml:space="preserve">Our comprehensive strategy will limit commercial clients’ exposure to increased cost and utilization of certain unapproved products by building a systematic block at the point of sale. This strategy excludes coverage for certain unapproved drugs that have suitable clinical alternatives. </w:t>
            </w:r>
            <w:r w:rsidR="00D718EA">
              <w:rPr>
                <w:bCs/>
              </w:rPr>
              <w:t>It</w:t>
            </w:r>
            <w:r w:rsidRPr="006308F0">
              <w:rPr>
                <w:bCs/>
              </w:rPr>
              <w:t xml:space="preserve"> allows continued coverage of select unapproved drugs and those deemed medically-necessary under the ACA required preventive services. Commercial clients who choose not to align with this strategy can request to opt out.</w:t>
            </w:r>
          </w:p>
        </w:tc>
      </w:tr>
      <w:tr w:rsidR="006308F0" w:rsidRPr="006308F0" w14:paraId="6BD45D7E" w14:textId="77777777" w:rsidTr="3561DB91">
        <w:tc>
          <w:tcPr>
            <w:tcW w:w="161" w:type="pct"/>
          </w:tcPr>
          <w:p w14:paraId="4E2EBA8B" w14:textId="77777777" w:rsidR="006308F0" w:rsidRPr="006308F0" w:rsidRDefault="006308F0" w:rsidP="00D718EA">
            <w:pPr>
              <w:spacing w:before="120" w:after="120"/>
              <w:jc w:val="center"/>
              <w:rPr>
                <w:b/>
              </w:rPr>
            </w:pPr>
            <w:r w:rsidRPr="006308F0">
              <w:rPr>
                <w:b/>
              </w:rPr>
              <w:t>2</w:t>
            </w:r>
          </w:p>
        </w:tc>
        <w:tc>
          <w:tcPr>
            <w:tcW w:w="1173" w:type="pct"/>
          </w:tcPr>
          <w:p w14:paraId="71B7492D" w14:textId="77777777" w:rsidR="006308F0" w:rsidRPr="006308F0" w:rsidRDefault="006308F0" w:rsidP="00D718EA">
            <w:pPr>
              <w:spacing w:before="120" w:after="120"/>
              <w:rPr>
                <w:bCs/>
              </w:rPr>
            </w:pPr>
            <w:r w:rsidRPr="006308F0">
              <w:rPr>
                <w:bCs/>
              </w:rPr>
              <w:t>Are there any unapproved drugs for which we are recommending coverage?</w:t>
            </w:r>
          </w:p>
        </w:tc>
        <w:tc>
          <w:tcPr>
            <w:tcW w:w="3666" w:type="pct"/>
          </w:tcPr>
          <w:p w14:paraId="1F7F25A8" w14:textId="77777777" w:rsidR="006308F0" w:rsidRPr="006308F0" w:rsidRDefault="006308F0" w:rsidP="00D718EA">
            <w:pPr>
              <w:spacing w:before="120" w:after="120"/>
              <w:rPr>
                <w:bCs/>
              </w:rPr>
            </w:pPr>
            <w:r w:rsidRPr="006308F0">
              <w:rPr>
                <w:bCs/>
              </w:rPr>
              <w:t xml:space="preserve">Yes. We will continue to cover certain unapproved drugs if they are legally marketed or deemed medically necessary. Excluding all “unapproved” drugs is not clinically appropriate and may risk disrupting some prescription therapy that is marketed in accordance with </w:t>
            </w:r>
            <w:proofErr w:type="spellStart"/>
            <w:r w:rsidRPr="006308F0">
              <w:rPr>
                <w:bCs/>
              </w:rPr>
              <w:t>FFDCA</w:t>
            </w:r>
            <w:proofErr w:type="spellEnd"/>
            <w:r w:rsidRPr="006308F0">
              <w:rPr>
                <w:bCs/>
              </w:rPr>
              <w:t>.</w:t>
            </w:r>
          </w:p>
        </w:tc>
      </w:tr>
      <w:tr w:rsidR="006308F0" w:rsidRPr="006308F0" w14:paraId="37C996A7" w14:textId="77777777" w:rsidTr="3561DB91">
        <w:tc>
          <w:tcPr>
            <w:tcW w:w="161" w:type="pct"/>
          </w:tcPr>
          <w:p w14:paraId="4D13A535" w14:textId="77777777" w:rsidR="006308F0" w:rsidRPr="006308F0" w:rsidRDefault="006308F0" w:rsidP="00D718EA">
            <w:pPr>
              <w:spacing w:before="120" w:after="120"/>
              <w:jc w:val="center"/>
              <w:rPr>
                <w:b/>
              </w:rPr>
            </w:pPr>
            <w:r w:rsidRPr="006308F0">
              <w:rPr>
                <w:b/>
              </w:rPr>
              <w:t>3</w:t>
            </w:r>
          </w:p>
        </w:tc>
        <w:tc>
          <w:tcPr>
            <w:tcW w:w="1173" w:type="pct"/>
          </w:tcPr>
          <w:p w14:paraId="05B5B49B" w14:textId="77777777" w:rsidR="006308F0" w:rsidRPr="006308F0" w:rsidRDefault="006308F0" w:rsidP="00D718EA">
            <w:pPr>
              <w:spacing w:before="120" w:after="120"/>
              <w:rPr>
                <w:bCs/>
              </w:rPr>
            </w:pPr>
            <w:r w:rsidRPr="006308F0">
              <w:rPr>
                <w:bCs/>
              </w:rPr>
              <w:t xml:space="preserve">Are there any unapproved products we are recommending </w:t>
            </w:r>
            <w:r w:rsidR="00D718EA" w:rsidRPr="006308F0">
              <w:rPr>
                <w:bCs/>
              </w:rPr>
              <w:t>being</w:t>
            </w:r>
            <w:r w:rsidRPr="006308F0">
              <w:rPr>
                <w:bCs/>
              </w:rPr>
              <w:t xml:space="preserve"> excluded? </w:t>
            </w:r>
          </w:p>
        </w:tc>
        <w:tc>
          <w:tcPr>
            <w:tcW w:w="3666" w:type="pct"/>
          </w:tcPr>
          <w:p w14:paraId="26DE4353" w14:textId="77777777" w:rsidR="006308F0" w:rsidRPr="006308F0" w:rsidRDefault="006308F0" w:rsidP="00D718EA">
            <w:pPr>
              <w:spacing w:before="120" w:after="120"/>
              <w:rPr>
                <w:bCs/>
              </w:rPr>
            </w:pPr>
            <w:r>
              <w:t>Yes. We will exclude those with cost effective alternatives</w:t>
            </w:r>
            <w:r w:rsidR="00D718EA">
              <w:t>.</w:t>
            </w:r>
          </w:p>
        </w:tc>
      </w:tr>
      <w:tr w:rsidR="006308F0" w:rsidRPr="006308F0" w14:paraId="27C2D725" w14:textId="77777777" w:rsidTr="3561DB91">
        <w:trPr>
          <w:trHeight w:val="980"/>
        </w:trPr>
        <w:tc>
          <w:tcPr>
            <w:tcW w:w="161" w:type="pct"/>
          </w:tcPr>
          <w:p w14:paraId="4BA553CB" w14:textId="77777777" w:rsidR="006308F0" w:rsidRPr="006308F0" w:rsidRDefault="006308F0" w:rsidP="00D718EA">
            <w:pPr>
              <w:spacing w:before="120" w:after="120"/>
              <w:jc w:val="center"/>
              <w:rPr>
                <w:b/>
              </w:rPr>
            </w:pPr>
            <w:r w:rsidRPr="006308F0">
              <w:rPr>
                <w:b/>
              </w:rPr>
              <w:t>4</w:t>
            </w:r>
          </w:p>
        </w:tc>
        <w:tc>
          <w:tcPr>
            <w:tcW w:w="1173" w:type="pct"/>
          </w:tcPr>
          <w:p w14:paraId="208C6565" w14:textId="77777777" w:rsidR="006308F0" w:rsidRPr="006308F0" w:rsidRDefault="006308F0" w:rsidP="00D718EA">
            <w:pPr>
              <w:spacing w:before="120" w:after="120"/>
              <w:rPr>
                <w:bCs/>
              </w:rPr>
            </w:pPr>
            <w:r w:rsidRPr="006308F0">
              <w:rPr>
                <w:bCs/>
              </w:rPr>
              <w:t xml:space="preserve">How will members be impacted? </w:t>
            </w:r>
          </w:p>
        </w:tc>
        <w:tc>
          <w:tcPr>
            <w:tcW w:w="3666" w:type="pct"/>
          </w:tcPr>
          <w:p w14:paraId="451A9494" w14:textId="77777777" w:rsidR="006308F0" w:rsidRPr="006308F0" w:rsidRDefault="00D718EA" w:rsidP="00D718EA">
            <w:pPr>
              <w:spacing w:before="120" w:after="120"/>
              <w:rPr>
                <w:bCs/>
              </w:rPr>
            </w:pPr>
            <w:r>
              <w:rPr>
                <w:bCs/>
              </w:rPr>
              <w:t>M</w:t>
            </w:r>
            <w:r w:rsidR="006308F0" w:rsidRPr="006308F0">
              <w:rPr>
                <w:bCs/>
              </w:rPr>
              <w:t xml:space="preserve">embers received a letter advising that an alternative medication is available. </w:t>
            </w:r>
            <w:r w:rsidR="006308F0" w:rsidRPr="006308F0">
              <w:rPr>
                <w:b/>
                <w:bCs/>
              </w:rPr>
              <w:t xml:space="preserve"> </w:t>
            </w:r>
            <w:r>
              <w:rPr>
                <w:b/>
                <w:bCs/>
              </w:rPr>
              <w:t xml:space="preserve"> </w:t>
            </w:r>
            <w:r w:rsidRPr="00D718EA">
              <w:t>W</w:t>
            </w:r>
            <w:r w:rsidR="006308F0" w:rsidRPr="006308F0">
              <w:rPr>
                <w:bCs/>
              </w:rPr>
              <w:t xml:space="preserve">hen a member attempts to fill certain existing unapproved drugs, the claim will reject. </w:t>
            </w:r>
          </w:p>
        </w:tc>
      </w:tr>
      <w:tr w:rsidR="006308F0" w:rsidRPr="006308F0" w14:paraId="3BEC53F0" w14:textId="77777777" w:rsidTr="3561DB91">
        <w:tc>
          <w:tcPr>
            <w:tcW w:w="161" w:type="pct"/>
          </w:tcPr>
          <w:p w14:paraId="78C47710" w14:textId="77777777" w:rsidR="006308F0" w:rsidRPr="006308F0" w:rsidRDefault="006308F0" w:rsidP="00D718EA">
            <w:pPr>
              <w:spacing w:before="120" w:after="120"/>
              <w:jc w:val="center"/>
              <w:rPr>
                <w:b/>
              </w:rPr>
            </w:pPr>
            <w:r w:rsidRPr="006308F0">
              <w:rPr>
                <w:b/>
              </w:rPr>
              <w:t>5</w:t>
            </w:r>
          </w:p>
        </w:tc>
        <w:tc>
          <w:tcPr>
            <w:tcW w:w="1173" w:type="pct"/>
          </w:tcPr>
          <w:p w14:paraId="24188BBD" w14:textId="77777777" w:rsidR="006308F0" w:rsidRPr="006308F0" w:rsidRDefault="006308F0" w:rsidP="00D718EA">
            <w:pPr>
              <w:spacing w:before="120" w:after="120"/>
              <w:rPr>
                <w:bCs/>
              </w:rPr>
            </w:pPr>
            <w:r w:rsidRPr="006308F0">
              <w:rPr>
                <w:rFonts w:cs="Arial"/>
              </w:rPr>
              <w:t>How will appeals be handled?</w:t>
            </w:r>
          </w:p>
        </w:tc>
        <w:tc>
          <w:tcPr>
            <w:tcW w:w="3666" w:type="pct"/>
          </w:tcPr>
          <w:p w14:paraId="5CB58CED" w14:textId="77777777" w:rsidR="006308F0" w:rsidRPr="006308F0" w:rsidRDefault="006308F0" w:rsidP="00D718EA">
            <w:pPr>
              <w:spacing w:before="120" w:after="120"/>
              <w:rPr>
                <w:bCs/>
              </w:rPr>
            </w:pPr>
            <w:r w:rsidRPr="006308F0">
              <w:rPr>
                <w:rFonts w:cs="Arial"/>
              </w:rPr>
              <w:t xml:space="preserve">A denial of an exception request may be appealed through the client’s standard appeal process. </w:t>
            </w:r>
          </w:p>
        </w:tc>
      </w:tr>
      <w:tr w:rsidR="006308F0" w:rsidRPr="006308F0" w14:paraId="455688BA" w14:textId="77777777" w:rsidTr="3561DB91">
        <w:tc>
          <w:tcPr>
            <w:tcW w:w="161" w:type="pct"/>
          </w:tcPr>
          <w:p w14:paraId="745CF0FB" w14:textId="77777777" w:rsidR="006308F0" w:rsidRPr="006308F0" w:rsidRDefault="006308F0" w:rsidP="00D718EA">
            <w:pPr>
              <w:spacing w:before="120" w:after="120"/>
              <w:jc w:val="center"/>
              <w:rPr>
                <w:b/>
              </w:rPr>
            </w:pPr>
            <w:r w:rsidRPr="006308F0">
              <w:rPr>
                <w:b/>
              </w:rPr>
              <w:t>6</w:t>
            </w:r>
          </w:p>
        </w:tc>
        <w:tc>
          <w:tcPr>
            <w:tcW w:w="1173" w:type="pct"/>
          </w:tcPr>
          <w:p w14:paraId="2C95C25F" w14:textId="77777777" w:rsidR="006308F0" w:rsidRPr="006308F0" w:rsidRDefault="006308F0" w:rsidP="00D718EA">
            <w:pPr>
              <w:spacing w:before="120" w:after="120"/>
              <w:rPr>
                <w:rFonts w:cs="Arial"/>
              </w:rPr>
            </w:pPr>
            <w:r w:rsidRPr="006308F0">
              <w:rPr>
                <w:rFonts w:cs="Arial"/>
              </w:rPr>
              <w:t xml:space="preserve">How will we handle members who need time to obtain an alternative? Will there be an allowance for an override? </w:t>
            </w:r>
          </w:p>
        </w:tc>
        <w:tc>
          <w:tcPr>
            <w:tcW w:w="3666" w:type="pct"/>
          </w:tcPr>
          <w:p w14:paraId="084E93A7" w14:textId="77777777" w:rsidR="006308F0" w:rsidRPr="006308F0" w:rsidRDefault="006308F0" w:rsidP="00D718EA">
            <w:pPr>
              <w:spacing w:before="120" w:after="120"/>
              <w:rPr>
                <w:rFonts w:cs="Arial"/>
              </w:rPr>
            </w:pPr>
            <w:r w:rsidRPr="006308F0">
              <w:rPr>
                <w:rFonts w:cs="Arial"/>
              </w:rPr>
              <w:t xml:space="preserve">We are not recommending overrides. </w:t>
            </w:r>
            <w:r w:rsidR="00D718EA">
              <w:rPr>
                <w:rFonts w:cs="Arial"/>
              </w:rPr>
              <w:t xml:space="preserve">  </w:t>
            </w:r>
            <w:r w:rsidRPr="006308F0">
              <w:rPr>
                <w:rFonts w:cs="Arial"/>
              </w:rPr>
              <w:t xml:space="preserve">A notification will be sent to impacted members in advance. This will allow them time to reach out to their prescribers for an alternative. </w:t>
            </w:r>
            <w:r w:rsidR="00D718EA">
              <w:rPr>
                <w:rFonts w:cs="Arial"/>
              </w:rPr>
              <w:t xml:space="preserve"> </w:t>
            </w:r>
            <w:r w:rsidRPr="006308F0">
              <w:rPr>
                <w:rFonts w:cs="Arial"/>
              </w:rPr>
              <w:t>If a client wants to put in a member override, the Account Team has to manage this process.</w:t>
            </w:r>
          </w:p>
          <w:p w14:paraId="498318AD" w14:textId="77777777" w:rsidR="006308F0" w:rsidRPr="006308F0" w:rsidRDefault="006308F0" w:rsidP="00D718EA">
            <w:pPr>
              <w:spacing w:before="120" w:after="120"/>
              <w:rPr>
                <w:rFonts w:cs="Arial"/>
              </w:rPr>
            </w:pPr>
          </w:p>
        </w:tc>
      </w:tr>
      <w:tr w:rsidR="006308F0" w:rsidRPr="006308F0" w14:paraId="2F1B47D5" w14:textId="77777777" w:rsidTr="3561DB91">
        <w:tc>
          <w:tcPr>
            <w:tcW w:w="161" w:type="pct"/>
          </w:tcPr>
          <w:p w14:paraId="23C82648" w14:textId="77777777" w:rsidR="006308F0" w:rsidRPr="006308F0" w:rsidRDefault="006308F0" w:rsidP="00D718EA">
            <w:pPr>
              <w:spacing w:before="120" w:after="120"/>
              <w:jc w:val="center"/>
              <w:rPr>
                <w:b/>
              </w:rPr>
            </w:pPr>
            <w:r w:rsidRPr="006308F0">
              <w:rPr>
                <w:b/>
              </w:rPr>
              <w:t>7</w:t>
            </w:r>
          </w:p>
        </w:tc>
        <w:tc>
          <w:tcPr>
            <w:tcW w:w="1173" w:type="pct"/>
          </w:tcPr>
          <w:p w14:paraId="50716269" w14:textId="77777777" w:rsidR="006308F0" w:rsidRPr="006308F0" w:rsidRDefault="006308F0" w:rsidP="00D718EA">
            <w:pPr>
              <w:spacing w:before="120" w:after="120"/>
              <w:rPr>
                <w:rFonts w:cs="Arial"/>
              </w:rPr>
            </w:pPr>
            <w:r w:rsidRPr="006308F0">
              <w:rPr>
                <w:rFonts w:cs="Arial"/>
              </w:rPr>
              <w:t>How do we notify members and physicians about this change?</w:t>
            </w:r>
          </w:p>
        </w:tc>
        <w:tc>
          <w:tcPr>
            <w:tcW w:w="3666" w:type="pct"/>
          </w:tcPr>
          <w:p w14:paraId="28D93036" w14:textId="2B1CBF87" w:rsidR="006308F0" w:rsidRPr="006308F0" w:rsidRDefault="006308F0" w:rsidP="00D718EA">
            <w:pPr>
              <w:spacing w:before="120" w:after="120"/>
              <w:rPr>
                <w:rFonts w:cs="Arial"/>
              </w:rPr>
            </w:pPr>
            <w:r w:rsidRPr="006308F0">
              <w:rPr>
                <w:rFonts w:cs="Arial"/>
              </w:rPr>
              <w:t xml:space="preserve">CVS Caremark has letter templates that clients may use to provide advance member and prescriber notification of new coverage restrictions. Reference the sample </w:t>
            </w:r>
            <w:hyperlink r:id="rId14" w:anchor="!/view?docid=9822e730-2958-4e24-8020-1206994ef492" w:history="1">
              <w:r w:rsidR="00331BF3">
                <w:rPr>
                  <w:rFonts w:cs="Arial"/>
                  <w:color w:val="0000FF"/>
                  <w:u w:val="single"/>
                </w:rPr>
                <w:t>Member Letter (107865)</w:t>
              </w:r>
            </w:hyperlink>
            <w:r w:rsidRPr="006308F0">
              <w:rPr>
                <w:rFonts w:cs="Arial"/>
              </w:rPr>
              <w:t xml:space="preserve"> and sample </w:t>
            </w:r>
            <w:hyperlink r:id="rId15" w:anchor="!/view?docid=c9910127-2418-4bad-bee7-d775a8bf946f" w:history="1">
              <w:r w:rsidR="00E31E1C">
                <w:rPr>
                  <w:rFonts w:cs="Arial"/>
                  <w:color w:val="0000FF"/>
                  <w:u w:val="single"/>
                </w:rPr>
                <w:t>Prescriber Letter (107864)</w:t>
              </w:r>
            </w:hyperlink>
            <w:r w:rsidRPr="006308F0">
              <w:rPr>
                <w:rFonts w:cs="Arial"/>
              </w:rPr>
              <w:t xml:space="preserve">. </w:t>
            </w:r>
          </w:p>
        </w:tc>
      </w:tr>
    </w:tbl>
    <w:p w14:paraId="449F8368" w14:textId="77777777" w:rsidR="006308F0" w:rsidRPr="00AD025E" w:rsidRDefault="006308F0" w:rsidP="00C74406">
      <w:pPr>
        <w:rPr>
          <w:b/>
        </w:rPr>
      </w:pPr>
    </w:p>
    <w:p w14:paraId="3680FC22" w14:textId="1AFE5109" w:rsidR="009F6B07" w:rsidRPr="006308F0" w:rsidRDefault="00F81783" w:rsidP="009F6B07">
      <w:pPr>
        <w:jc w:val="right"/>
      </w:pPr>
      <w:hyperlink w:anchor="_top" w:history="1">
        <w:r w:rsidRPr="0085209D">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9F6B07" w:rsidRPr="006308F0" w14:paraId="20253A06" w14:textId="77777777" w:rsidTr="00D718EA">
        <w:tc>
          <w:tcPr>
            <w:tcW w:w="5000" w:type="pct"/>
            <w:shd w:val="clear" w:color="auto" w:fill="C0C0C0"/>
          </w:tcPr>
          <w:p w14:paraId="0D55658B" w14:textId="77777777" w:rsidR="009F6B07" w:rsidRPr="006308F0" w:rsidRDefault="003C3E52" w:rsidP="00D718EA">
            <w:pPr>
              <w:keepNext/>
              <w:spacing w:before="120" w:after="120"/>
              <w:outlineLvl w:val="1"/>
              <w:rPr>
                <w:rFonts w:cs="Arial"/>
                <w:b/>
                <w:bCs/>
                <w:sz w:val="28"/>
                <w:szCs w:val="28"/>
              </w:rPr>
            </w:pPr>
            <w:bookmarkStart w:id="7" w:name="_Toc121743293"/>
            <w:r>
              <w:rPr>
                <w:rFonts w:cs="Arial"/>
                <w:b/>
                <w:bCs/>
                <w:sz w:val="28"/>
                <w:szCs w:val="28"/>
              </w:rPr>
              <w:t>Related Documents</w:t>
            </w:r>
            <w:bookmarkEnd w:id="7"/>
          </w:p>
        </w:tc>
      </w:tr>
    </w:tbl>
    <w:p w14:paraId="4F2FB851" w14:textId="08EC7650" w:rsidR="00D718EA" w:rsidRPr="003C3E52" w:rsidRDefault="006019D4" w:rsidP="00D718EA">
      <w:pPr>
        <w:spacing w:before="120" w:after="120"/>
        <w:rPr>
          <w:b/>
        </w:rPr>
      </w:pPr>
      <w:hyperlink r:id="rId16" w:history="1">
        <w:r w:rsidR="00D718EA">
          <w:rPr>
            <w:rStyle w:val="Hyperlink"/>
          </w:rPr>
          <w:t>Customer Care Abbreviations, Definitions, and Term</w:t>
        </w:r>
        <w:r w:rsidR="00D955DF">
          <w:rPr>
            <w:rStyle w:val="Hyperlink"/>
          </w:rPr>
          <w:t>s Index (017428)</w:t>
        </w:r>
      </w:hyperlink>
    </w:p>
    <w:p w14:paraId="74BEE7D8" w14:textId="7E73C5ED" w:rsidR="003C3E52" w:rsidRDefault="003C3E52" w:rsidP="00D718EA">
      <w:pPr>
        <w:spacing w:before="120" w:after="120"/>
      </w:pPr>
      <w:r w:rsidRPr="003C3E52">
        <w:rPr>
          <w:b/>
        </w:rPr>
        <w:t xml:space="preserve">Parent </w:t>
      </w:r>
      <w:r w:rsidR="00D718EA">
        <w:rPr>
          <w:b/>
        </w:rPr>
        <w:t>Document</w:t>
      </w:r>
      <w:r w:rsidRPr="003C3E52">
        <w:rPr>
          <w:b/>
        </w:rPr>
        <w:t>:</w:t>
      </w:r>
      <w:r w:rsidR="0085209D">
        <w:rPr>
          <w:b/>
        </w:rPr>
        <w:t xml:space="preserve"> </w:t>
      </w:r>
      <w:r>
        <w:rPr>
          <w:b/>
        </w:rPr>
        <w:t xml:space="preserve"> </w:t>
      </w:r>
      <w:hyperlink r:id="rId17" w:tgtFrame="_blank" w:history="1">
        <w:r w:rsidR="009F6B07">
          <w:rPr>
            <w:rStyle w:val="Hyperlink"/>
          </w:rPr>
          <w:t>CALL 0049 Customer Care Internal and External Call Handling</w:t>
        </w:r>
      </w:hyperlink>
    </w:p>
    <w:p w14:paraId="5AD1434D" w14:textId="388BF32D" w:rsidR="009F6B07" w:rsidRPr="0058134F" w:rsidRDefault="009F6B07" w:rsidP="009F6B07">
      <w:pPr>
        <w:jc w:val="right"/>
      </w:pPr>
      <w:hyperlink w:anchor="_top" w:history="1">
        <w:r w:rsidRPr="0085209D">
          <w:rPr>
            <w:rStyle w:val="Hyperlink"/>
          </w:rPr>
          <w:t>Top of the Document</w:t>
        </w:r>
      </w:hyperlink>
    </w:p>
    <w:p w14:paraId="290FC84D" w14:textId="77777777" w:rsidR="00710E68" w:rsidRPr="0058134F" w:rsidRDefault="00710E68" w:rsidP="00C247CB">
      <w:pPr>
        <w:jc w:val="center"/>
        <w:rPr>
          <w:sz w:val="16"/>
          <w:szCs w:val="16"/>
        </w:rPr>
      </w:pPr>
      <w:r w:rsidRPr="0058134F">
        <w:rPr>
          <w:sz w:val="16"/>
          <w:szCs w:val="16"/>
        </w:rPr>
        <w:t>Not To Be Reproduced Or Disclosed to Others Without Prior Written Approval</w:t>
      </w:r>
    </w:p>
    <w:p w14:paraId="5D83F7F4" w14:textId="77777777" w:rsidR="005A64DA" w:rsidRPr="0058134F" w:rsidRDefault="00710E68" w:rsidP="00C247CB">
      <w:pPr>
        <w:jc w:val="center"/>
        <w:rPr>
          <w:sz w:val="16"/>
          <w:szCs w:val="16"/>
        </w:rPr>
      </w:pPr>
      <w:r w:rsidRPr="0058134F">
        <w:rPr>
          <w:b/>
          <w:color w:val="000000"/>
          <w:sz w:val="16"/>
          <w:szCs w:val="16"/>
        </w:rPr>
        <w:t>ELECTRONIC DATA = OFFICIAL VERSION – PAPER COPY – INFORMATIONAL ONLY</w:t>
      </w:r>
    </w:p>
    <w:sectPr w:rsidR="005A64DA" w:rsidRPr="0058134F" w:rsidSect="00EB1F94">
      <w:footerReference w:type="default" r:id="rId18"/>
      <w:headerReference w:type="first" r:id="rId19"/>
      <w:footerReference w:type="first" r:id="rId20"/>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A1CFCE" w14:textId="77777777" w:rsidR="004A1783" w:rsidRDefault="004A1783">
      <w:r>
        <w:separator/>
      </w:r>
    </w:p>
  </w:endnote>
  <w:endnote w:type="continuationSeparator" w:id="0">
    <w:p w14:paraId="07DB4D2C" w14:textId="77777777" w:rsidR="004A1783" w:rsidRDefault="004A1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B408D" w14:textId="77777777" w:rsidR="00C476E1" w:rsidRPr="00C32D18" w:rsidRDefault="00C32D18" w:rsidP="00C32D18">
    <w:pPr>
      <w:pStyle w:val="Footer"/>
      <w:jc w:val="right"/>
      <w:rPr>
        <w:szCs w:val="18"/>
      </w:rPr>
    </w:pPr>
    <w:r>
      <w:rPr>
        <w:rStyle w:val="PageNumber"/>
      </w:rPr>
      <w:fldChar w:fldCharType="begin"/>
    </w:r>
    <w:r>
      <w:rPr>
        <w:rStyle w:val="PageNumber"/>
      </w:rPr>
      <w:instrText xml:space="preserve"> PAGE </w:instrText>
    </w:r>
    <w:r>
      <w:rPr>
        <w:rStyle w:val="PageNumber"/>
      </w:rPr>
      <w:fldChar w:fldCharType="separate"/>
    </w:r>
    <w:r w:rsidR="00C74406">
      <w:rPr>
        <w:rStyle w:val="PageNumber"/>
        <w:noProof/>
      </w:rPr>
      <w:t>8</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FA39C"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20AB51" w14:textId="77777777" w:rsidR="004A1783" w:rsidRDefault="004A1783">
      <w:r>
        <w:separator/>
      </w:r>
    </w:p>
  </w:footnote>
  <w:footnote w:type="continuationSeparator" w:id="0">
    <w:p w14:paraId="6C1CD431" w14:textId="77777777" w:rsidR="004A1783" w:rsidRDefault="004A17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7A345"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57571"/>
    <w:multiLevelType w:val="hybridMultilevel"/>
    <w:tmpl w:val="987AFDFA"/>
    <w:lvl w:ilvl="0" w:tplc="D77EA342">
      <w:start w:val="1"/>
      <w:numFmt w:val="bullet"/>
      <w:lvlText w:val=""/>
      <w:lvlJc w:val="left"/>
      <w:pPr>
        <w:tabs>
          <w:tab w:val="num" w:pos="440"/>
        </w:tabs>
        <w:ind w:left="440" w:hanging="360"/>
      </w:pPr>
      <w:rPr>
        <w:rFonts w:ascii="Symbol" w:hAnsi="Symbol" w:hint="default"/>
        <w:color w:val="auto"/>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abstractNum w:abstractNumId="1"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2" w15:restartNumberingAfterBreak="0">
    <w:nsid w:val="15995224"/>
    <w:multiLevelType w:val="hybridMultilevel"/>
    <w:tmpl w:val="2A28A3B4"/>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B55B2F"/>
    <w:multiLevelType w:val="hybridMultilevel"/>
    <w:tmpl w:val="B798E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DA3AB6"/>
    <w:multiLevelType w:val="hybridMultilevel"/>
    <w:tmpl w:val="2B50E18A"/>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3801EE"/>
    <w:multiLevelType w:val="hybridMultilevel"/>
    <w:tmpl w:val="5084270E"/>
    <w:lvl w:ilvl="0" w:tplc="BFC2E8A6">
      <w:start w:val="1"/>
      <w:numFmt w:val="decimal"/>
      <w:lvlText w:val="%1."/>
      <w:lvlJc w:val="left"/>
      <w:pPr>
        <w:tabs>
          <w:tab w:val="num" w:pos="720"/>
        </w:tabs>
        <w:ind w:left="720" w:hanging="360"/>
      </w:pPr>
      <w:rPr>
        <w:position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5B84971"/>
    <w:multiLevelType w:val="hybridMultilevel"/>
    <w:tmpl w:val="80026C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E36786F"/>
    <w:multiLevelType w:val="hybridMultilevel"/>
    <w:tmpl w:val="472CDEC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3E6017CB"/>
    <w:multiLevelType w:val="hybridMultilevel"/>
    <w:tmpl w:val="E012C512"/>
    <w:lvl w:ilvl="0" w:tplc="7FD6A68C">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50F91C1D"/>
    <w:multiLevelType w:val="hybridMultilevel"/>
    <w:tmpl w:val="E1B8E304"/>
    <w:lvl w:ilvl="0" w:tplc="8BD8586C">
      <w:start w:val="1"/>
      <w:numFmt w:val="bullet"/>
      <w:lvlText w:val=""/>
      <w:lvlJc w:val="left"/>
      <w:pPr>
        <w:tabs>
          <w:tab w:val="num" w:pos="720"/>
        </w:tabs>
        <w:ind w:left="720" w:hanging="360"/>
      </w:pPr>
      <w:rPr>
        <w:rFonts w:ascii="Symbol" w:hAnsi="Symbol" w:hint="default"/>
        <w:color w:val="auto"/>
      </w:rPr>
    </w:lvl>
    <w:lvl w:ilvl="1" w:tplc="06A40C36">
      <w:start w:val="1"/>
      <w:numFmt w:val="bullet"/>
      <w:lvlText w:val="o"/>
      <w:lvlJc w:val="left"/>
      <w:pPr>
        <w:tabs>
          <w:tab w:val="num" w:pos="1440"/>
        </w:tabs>
        <w:ind w:left="1440" w:hanging="360"/>
      </w:pPr>
      <w:rPr>
        <w:rFonts w:ascii="Courier New" w:hAnsi="Courier New" w:cs="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62C2157"/>
    <w:multiLevelType w:val="hybridMultilevel"/>
    <w:tmpl w:val="A26EC0FE"/>
    <w:lvl w:ilvl="0" w:tplc="3B6E5224">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E2F698C"/>
    <w:multiLevelType w:val="hybridMultilevel"/>
    <w:tmpl w:val="DAC675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B5F79B2"/>
    <w:multiLevelType w:val="hybridMultilevel"/>
    <w:tmpl w:val="D3666E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741C14E7"/>
    <w:multiLevelType w:val="hybridMultilevel"/>
    <w:tmpl w:val="3B48BE0E"/>
    <w:lvl w:ilvl="0" w:tplc="BFC2E8A6">
      <w:start w:val="1"/>
      <w:numFmt w:val="decimal"/>
      <w:lvlText w:val="%1."/>
      <w:lvlJc w:val="left"/>
      <w:pPr>
        <w:tabs>
          <w:tab w:val="num" w:pos="720"/>
        </w:tabs>
        <w:ind w:left="720" w:hanging="360"/>
      </w:pPr>
      <w:rPr>
        <w:rFonts w:hint="default"/>
        <w:position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49734961">
    <w:abstractNumId w:val="9"/>
  </w:num>
  <w:num w:numId="2" w16cid:durableId="271938927">
    <w:abstractNumId w:val="3"/>
  </w:num>
  <w:num w:numId="3" w16cid:durableId="847015709">
    <w:abstractNumId w:val="11"/>
  </w:num>
  <w:num w:numId="4" w16cid:durableId="959647467">
    <w:abstractNumId w:val="12"/>
  </w:num>
  <w:num w:numId="5" w16cid:durableId="1495418949">
    <w:abstractNumId w:val="1"/>
  </w:num>
  <w:num w:numId="6" w16cid:durableId="1852724180">
    <w:abstractNumId w:val="13"/>
  </w:num>
  <w:num w:numId="7" w16cid:durableId="1713724426">
    <w:abstractNumId w:val="8"/>
  </w:num>
  <w:num w:numId="8" w16cid:durableId="10171914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01629584">
    <w:abstractNumId w:val="5"/>
  </w:num>
  <w:num w:numId="10" w16cid:durableId="118649265">
    <w:abstractNumId w:val="0"/>
  </w:num>
  <w:num w:numId="11" w16cid:durableId="1195465764">
    <w:abstractNumId w:val="4"/>
  </w:num>
  <w:num w:numId="12" w16cid:durableId="53357756">
    <w:abstractNumId w:val="2"/>
  </w:num>
  <w:num w:numId="13" w16cid:durableId="1502964829">
    <w:abstractNumId w:val="7"/>
  </w:num>
  <w:num w:numId="14" w16cid:durableId="2075816071">
    <w:abstractNumId w:val="6"/>
  </w:num>
  <w:num w:numId="15" w16cid:durableId="18324829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view w:val="web"/>
  <w:zoom w:percent="100"/>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1525A"/>
    <w:rsid w:val="00015A2E"/>
    <w:rsid w:val="00035BED"/>
    <w:rsid w:val="0004181B"/>
    <w:rsid w:val="0005025E"/>
    <w:rsid w:val="00061AD2"/>
    <w:rsid w:val="000706D4"/>
    <w:rsid w:val="00077558"/>
    <w:rsid w:val="000863D4"/>
    <w:rsid w:val="0008665F"/>
    <w:rsid w:val="00095AB5"/>
    <w:rsid w:val="000A51E0"/>
    <w:rsid w:val="000A6B88"/>
    <w:rsid w:val="000B3C4C"/>
    <w:rsid w:val="000B656F"/>
    <w:rsid w:val="000B72DF"/>
    <w:rsid w:val="000C3EDF"/>
    <w:rsid w:val="000D1870"/>
    <w:rsid w:val="000D2E81"/>
    <w:rsid w:val="000D4BA2"/>
    <w:rsid w:val="000D6714"/>
    <w:rsid w:val="000F0D1B"/>
    <w:rsid w:val="000F54AF"/>
    <w:rsid w:val="00104CDE"/>
    <w:rsid w:val="00115944"/>
    <w:rsid w:val="0012373E"/>
    <w:rsid w:val="001360A5"/>
    <w:rsid w:val="0016273A"/>
    <w:rsid w:val="00181B1A"/>
    <w:rsid w:val="0018681D"/>
    <w:rsid w:val="0019130B"/>
    <w:rsid w:val="001A5256"/>
    <w:rsid w:val="001B3879"/>
    <w:rsid w:val="001E7746"/>
    <w:rsid w:val="001F0774"/>
    <w:rsid w:val="001F1218"/>
    <w:rsid w:val="001F5947"/>
    <w:rsid w:val="002016B4"/>
    <w:rsid w:val="002055CF"/>
    <w:rsid w:val="00237FF3"/>
    <w:rsid w:val="00243EBB"/>
    <w:rsid w:val="00255C6B"/>
    <w:rsid w:val="002604FB"/>
    <w:rsid w:val="00265D86"/>
    <w:rsid w:val="00270A5C"/>
    <w:rsid w:val="002750DC"/>
    <w:rsid w:val="00291CE8"/>
    <w:rsid w:val="00296127"/>
    <w:rsid w:val="00296278"/>
    <w:rsid w:val="00296765"/>
    <w:rsid w:val="002A37B7"/>
    <w:rsid w:val="002A673F"/>
    <w:rsid w:val="002B593E"/>
    <w:rsid w:val="002C7CA4"/>
    <w:rsid w:val="002D0E97"/>
    <w:rsid w:val="002E6E58"/>
    <w:rsid w:val="002F1F92"/>
    <w:rsid w:val="002F2EFE"/>
    <w:rsid w:val="002F6F9E"/>
    <w:rsid w:val="00320D42"/>
    <w:rsid w:val="0032244E"/>
    <w:rsid w:val="0033143E"/>
    <w:rsid w:val="00331BF3"/>
    <w:rsid w:val="0034318F"/>
    <w:rsid w:val="0034552B"/>
    <w:rsid w:val="003725A1"/>
    <w:rsid w:val="003868A2"/>
    <w:rsid w:val="00392A5B"/>
    <w:rsid w:val="00397886"/>
    <w:rsid w:val="003A6D70"/>
    <w:rsid w:val="003B1F86"/>
    <w:rsid w:val="003B6A84"/>
    <w:rsid w:val="003C28EC"/>
    <w:rsid w:val="003C3E52"/>
    <w:rsid w:val="003C4627"/>
    <w:rsid w:val="003E6C1A"/>
    <w:rsid w:val="003F778E"/>
    <w:rsid w:val="0040640A"/>
    <w:rsid w:val="00406DB5"/>
    <w:rsid w:val="0042336D"/>
    <w:rsid w:val="00457EAE"/>
    <w:rsid w:val="004768BE"/>
    <w:rsid w:val="00477F73"/>
    <w:rsid w:val="0048355A"/>
    <w:rsid w:val="00484781"/>
    <w:rsid w:val="004853F0"/>
    <w:rsid w:val="00486108"/>
    <w:rsid w:val="004A1783"/>
    <w:rsid w:val="004D0AF2"/>
    <w:rsid w:val="004D3C53"/>
    <w:rsid w:val="004D419E"/>
    <w:rsid w:val="004E49F4"/>
    <w:rsid w:val="004F7F34"/>
    <w:rsid w:val="005014E4"/>
    <w:rsid w:val="00505588"/>
    <w:rsid w:val="00512486"/>
    <w:rsid w:val="0052465B"/>
    <w:rsid w:val="00524CDD"/>
    <w:rsid w:val="00547C68"/>
    <w:rsid w:val="00551629"/>
    <w:rsid w:val="00565A58"/>
    <w:rsid w:val="00574A0C"/>
    <w:rsid w:val="00577909"/>
    <w:rsid w:val="0058134F"/>
    <w:rsid w:val="00582E85"/>
    <w:rsid w:val="00587EE4"/>
    <w:rsid w:val="005910B5"/>
    <w:rsid w:val="005A6118"/>
    <w:rsid w:val="005A64DA"/>
    <w:rsid w:val="005B446E"/>
    <w:rsid w:val="005C1D83"/>
    <w:rsid w:val="005E650E"/>
    <w:rsid w:val="006019D4"/>
    <w:rsid w:val="0062203F"/>
    <w:rsid w:val="00622D77"/>
    <w:rsid w:val="00627F34"/>
    <w:rsid w:val="006308F0"/>
    <w:rsid w:val="006309F2"/>
    <w:rsid w:val="00630D9E"/>
    <w:rsid w:val="00636B18"/>
    <w:rsid w:val="00637CA1"/>
    <w:rsid w:val="00640B0C"/>
    <w:rsid w:val="00647CDD"/>
    <w:rsid w:val="00662334"/>
    <w:rsid w:val="0066617F"/>
    <w:rsid w:val="00674A16"/>
    <w:rsid w:val="00691E10"/>
    <w:rsid w:val="006A0481"/>
    <w:rsid w:val="006B1A78"/>
    <w:rsid w:val="006C653F"/>
    <w:rsid w:val="006F7DFC"/>
    <w:rsid w:val="00704AF2"/>
    <w:rsid w:val="0070776C"/>
    <w:rsid w:val="00710E68"/>
    <w:rsid w:val="00714BA0"/>
    <w:rsid w:val="00725B82"/>
    <w:rsid w:val="007269B6"/>
    <w:rsid w:val="00726E7A"/>
    <w:rsid w:val="0073294A"/>
    <w:rsid w:val="00732E52"/>
    <w:rsid w:val="00736607"/>
    <w:rsid w:val="00752801"/>
    <w:rsid w:val="00785118"/>
    <w:rsid w:val="00785C47"/>
    <w:rsid w:val="00786BEB"/>
    <w:rsid w:val="007A403E"/>
    <w:rsid w:val="007A6DCF"/>
    <w:rsid w:val="007A75EA"/>
    <w:rsid w:val="007B710F"/>
    <w:rsid w:val="007C2536"/>
    <w:rsid w:val="007C77DD"/>
    <w:rsid w:val="007E3EA6"/>
    <w:rsid w:val="007F04AB"/>
    <w:rsid w:val="00803AE3"/>
    <w:rsid w:val="008042E1"/>
    <w:rsid w:val="00804D63"/>
    <w:rsid w:val="00806B9D"/>
    <w:rsid w:val="00812777"/>
    <w:rsid w:val="008230FA"/>
    <w:rsid w:val="00823BD7"/>
    <w:rsid w:val="00823D54"/>
    <w:rsid w:val="0084129E"/>
    <w:rsid w:val="00843390"/>
    <w:rsid w:val="00846373"/>
    <w:rsid w:val="00846ECB"/>
    <w:rsid w:val="0085209D"/>
    <w:rsid w:val="008568AE"/>
    <w:rsid w:val="00860590"/>
    <w:rsid w:val="00861316"/>
    <w:rsid w:val="008614E8"/>
    <w:rsid w:val="00867EDF"/>
    <w:rsid w:val="00872061"/>
    <w:rsid w:val="008734D7"/>
    <w:rsid w:val="00875F0D"/>
    <w:rsid w:val="00877414"/>
    <w:rsid w:val="008825E7"/>
    <w:rsid w:val="008A03B7"/>
    <w:rsid w:val="008C2197"/>
    <w:rsid w:val="008C3493"/>
    <w:rsid w:val="008D11A6"/>
    <w:rsid w:val="008D1F7B"/>
    <w:rsid w:val="008D2D64"/>
    <w:rsid w:val="008E21BE"/>
    <w:rsid w:val="00902E07"/>
    <w:rsid w:val="00913B1B"/>
    <w:rsid w:val="00927861"/>
    <w:rsid w:val="0094148C"/>
    <w:rsid w:val="00942635"/>
    <w:rsid w:val="00947783"/>
    <w:rsid w:val="00954FE8"/>
    <w:rsid w:val="00967866"/>
    <w:rsid w:val="009726E0"/>
    <w:rsid w:val="00990822"/>
    <w:rsid w:val="009A058A"/>
    <w:rsid w:val="009B1B11"/>
    <w:rsid w:val="009C4A31"/>
    <w:rsid w:val="009E00C2"/>
    <w:rsid w:val="009F6B07"/>
    <w:rsid w:val="009F6FD2"/>
    <w:rsid w:val="009F78D3"/>
    <w:rsid w:val="00A31F37"/>
    <w:rsid w:val="00A3399C"/>
    <w:rsid w:val="00A4732A"/>
    <w:rsid w:val="00A57D26"/>
    <w:rsid w:val="00A64487"/>
    <w:rsid w:val="00A7166B"/>
    <w:rsid w:val="00A71B4C"/>
    <w:rsid w:val="00A72DEB"/>
    <w:rsid w:val="00A816B8"/>
    <w:rsid w:val="00A83BA0"/>
    <w:rsid w:val="00A84F18"/>
    <w:rsid w:val="00A85045"/>
    <w:rsid w:val="00A95738"/>
    <w:rsid w:val="00A97B7D"/>
    <w:rsid w:val="00AA2252"/>
    <w:rsid w:val="00AA4825"/>
    <w:rsid w:val="00AB33E1"/>
    <w:rsid w:val="00AC1C3B"/>
    <w:rsid w:val="00AC4214"/>
    <w:rsid w:val="00AC6E70"/>
    <w:rsid w:val="00AD025E"/>
    <w:rsid w:val="00AD1646"/>
    <w:rsid w:val="00AD7AB4"/>
    <w:rsid w:val="00AF038B"/>
    <w:rsid w:val="00AF78FA"/>
    <w:rsid w:val="00B0618F"/>
    <w:rsid w:val="00B078F6"/>
    <w:rsid w:val="00B17CF3"/>
    <w:rsid w:val="00B26045"/>
    <w:rsid w:val="00B44C55"/>
    <w:rsid w:val="00B46A95"/>
    <w:rsid w:val="00B5114C"/>
    <w:rsid w:val="00B5123C"/>
    <w:rsid w:val="00B544C2"/>
    <w:rsid w:val="00B5566F"/>
    <w:rsid w:val="00B630A6"/>
    <w:rsid w:val="00B70CC4"/>
    <w:rsid w:val="00B84708"/>
    <w:rsid w:val="00BA01AB"/>
    <w:rsid w:val="00BA0E77"/>
    <w:rsid w:val="00BB02DE"/>
    <w:rsid w:val="00BB371A"/>
    <w:rsid w:val="00BD5E06"/>
    <w:rsid w:val="00BD7B25"/>
    <w:rsid w:val="00BE1AFF"/>
    <w:rsid w:val="00BF74E9"/>
    <w:rsid w:val="00C247CB"/>
    <w:rsid w:val="00C300A8"/>
    <w:rsid w:val="00C32D18"/>
    <w:rsid w:val="00C360BD"/>
    <w:rsid w:val="00C362C9"/>
    <w:rsid w:val="00C476E1"/>
    <w:rsid w:val="00C52E77"/>
    <w:rsid w:val="00C566B3"/>
    <w:rsid w:val="00C65249"/>
    <w:rsid w:val="00C67B32"/>
    <w:rsid w:val="00C72007"/>
    <w:rsid w:val="00C74406"/>
    <w:rsid w:val="00C75C83"/>
    <w:rsid w:val="00C80F5D"/>
    <w:rsid w:val="00C837BA"/>
    <w:rsid w:val="00C95346"/>
    <w:rsid w:val="00CA3B23"/>
    <w:rsid w:val="00CA62F6"/>
    <w:rsid w:val="00CB0C1D"/>
    <w:rsid w:val="00CC5AA2"/>
    <w:rsid w:val="00CC721A"/>
    <w:rsid w:val="00CD0963"/>
    <w:rsid w:val="00CD5C71"/>
    <w:rsid w:val="00CE3D42"/>
    <w:rsid w:val="00CE53E6"/>
    <w:rsid w:val="00CE53F7"/>
    <w:rsid w:val="00CE66B6"/>
    <w:rsid w:val="00CF539A"/>
    <w:rsid w:val="00CF6131"/>
    <w:rsid w:val="00D06EAA"/>
    <w:rsid w:val="00D07859"/>
    <w:rsid w:val="00D36733"/>
    <w:rsid w:val="00D45EA2"/>
    <w:rsid w:val="00D471B5"/>
    <w:rsid w:val="00D471C4"/>
    <w:rsid w:val="00D571DB"/>
    <w:rsid w:val="00D6774D"/>
    <w:rsid w:val="00D718EA"/>
    <w:rsid w:val="00D75191"/>
    <w:rsid w:val="00D76195"/>
    <w:rsid w:val="00D80929"/>
    <w:rsid w:val="00D85254"/>
    <w:rsid w:val="00D92FCF"/>
    <w:rsid w:val="00D955DF"/>
    <w:rsid w:val="00DB15A5"/>
    <w:rsid w:val="00DC1D2F"/>
    <w:rsid w:val="00DC4FFC"/>
    <w:rsid w:val="00DE79F7"/>
    <w:rsid w:val="00DF6BE4"/>
    <w:rsid w:val="00E157BC"/>
    <w:rsid w:val="00E20744"/>
    <w:rsid w:val="00E31E1C"/>
    <w:rsid w:val="00E414EC"/>
    <w:rsid w:val="00E50E4A"/>
    <w:rsid w:val="00E56C3F"/>
    <w:rsid w:val="00E600D6"/>
    <w:rsid w:val="00E650D0"/>
    <w:rsid w:val="00E76334"/>
    <w:rsid w:val="00E91F5F"/>
    <w:rsid w:val="00EB12DD"/>
    <w:rsid w:val="00EB153E"/>
    <w:rsid w:val="00EB1F94"/>
    <w:rsid w:val="00EB57EB"/>
    <w:rsid w:val="00EB5FEF"/>
    <w:rsid w:val="00ED50CF"/>
    <w:rsid w:val="00EE5945"/>
    <w:rsid w:val="00F1152F"/>
    <w:rsid w:val="00F207B3"/>
    <w:rsid w:val="00F5486B"/>
    <w:rsid w:val="00F62BC4"/>
    <w:rsid w:val="00F658E0"/>
    <w:rsid w:val="00F6686D"/>
    <w:rsid w:val="00F81783"/>
    <w:rsid w:val="00F859B7"/>
    <w:rsid w:val="00F877B4"/>
    <w:rsid w:val="00FB0924"/>
    <w:rsid w:val="00FB2D67"/>
    <w:rsid w:val="00FB3DBC"/>
    <w:rsid w:val="00FC1C44"/>
    <w:rsid w:val="00FF343E"/>
    <w:rsid w:val="00FF636B"/>
    <w:rsid w:val="3561D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25E5C1"/>
  <w15:chartTrackingRefBased/>
  <w15:docId w15:val="{D94E59ED-079B-4940-8573-CCDF8F7B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0744"/>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rsid w:val="00255C6B"/>
    <w:pPr>
      <w:spacing w:before="100" w:beforeAutospacing="1" w:after="100" w:afterAutospacing="1"/>
    </w:pPr>
  </w:style>
  <w:style w:type="paragraph" w:customStyle="1" w:styleId="Dotbullet">
    <w:name w:val="Dot bullet"/>
    <w:basedOn w:val="Normal"/>
    <w:rsid w:val="00725B82"/>
    <w:pPr>
      <w:widowControl w:val="0"/>
      <w:numPr>
        <w:numId w:val="5"/>
      </w:numPr>
      <w:tabs>
        <w:tab w:val="clear" w:pos="360"/>
        <w:tab w:val="num" w:pos="720"/>
      </w:tabs>
      <w:ind w:left="720"/>
    </w:pPr>
    <w:rPr>
      <w:snapToGrid w:val="0"/>
      <w:szCs w:val="20"/>
    </w:rPr>
  </w:style>
  <w:style w:type="character" w:customStyle="1" w:styleId="Heading2Char">
    <w:name w:val="Heading 2 Char"/>
    <w:link w:val="Heading2"/>
    <w:semiHidden/>
    <w:locked/>
    <w:rsid w:val="00AD7AB4"/>
    <w:rPr>
      <w:rFonts w:ascii="Arial" w:hAnsi="Arial" w:cs="Arial"/>
      <w:b/>
      <w:bCs/>
      <w:i/>
      <w:iCs/>
      <w:sz w:val="28"/>
      <w:szCs w:val="28"/>
      <w:lang w:val="en-US" w:eastAsia="en-US" w:bidi="ar-SA"/>
    </w:rPr>
  </w:style>
  <w:style w:type="character" w:styleId="PageNumber">
    <w:name w:val="page number"/>
    <w:basedOn w:val="DefaultParagraphFont"/>
    <w:rsid w:val="00C32D18"/>
  </w:style>
  <w:style w:type="paragraph" w:styleId="BalloonText">
    <w:name w:val="Balloon Text"/>
    <w:basedOn w:val="Normal"/>
    <w:link w:val="BalloonTextChar"/>
    <w:rsid w:val="009F6B07"/>
    <w:rPr>
      <w:rFonts w:ascii="Segoe UI" w:hAnsi="Segoe UI" w:cs="Segoe UI"/>
      <w:sz w:val="18"/>
      <w:szCs w:val="18"/>
    </w:rPr>
  </w:style>
  <w:style w:type="paragraph" w:styleId="TOC2">
    <w:name w:val="toc 2"/>
    <w:basedOn w:val="Normal"/>
    <w:next w:val="Normal"/>
    <w:autoRedefine/>
    <w:uiPriority w:val="39"/>
    <w:rsid w:val="006308F0"/>
    <w:pPr>
      <w:tabs>
        <w:tab w:val="right" w:leader="dot" w:pos="12950"/>
      </w:tabs>
    </w:pPr>
    <w:rPr>
      <w:rFonts w:cs="Arial"/>
      <w:bCs/>
      <w:noProof/>
      <w:color w:val="0000FF"/>
      <w:u w:val="single"/>
    </w:rPr>
  </w:style>
  <w:style w:type="character" w:customStyle="1" w:styleId="BalloonTextChar">
    <w:name w:val="Balloon Text Char"/>
    <w:link w:val="BalloonText"/>
    <w:rsid w:val="009F6B07"/>
    <w:rPr>
      <w:rFonts w:ascii="Segoe UI" w:hAnsi="Segoe UI" w:cs="Segoe UI"/>
      <w:sz w:val="18"/>
      <w:szCs w:val="18"/>
    </w:rPr>
  </w:style>
  <w:style w:type="character" w:styleId="UnresolvedMention">
    <w:name w:val="Unresolved Mention"/>
    <w:basedOn w:val="DefaultParagraphFont"/>
    <w:uiPriority w:val="99"/>
    <w:semiHidden/>
    <w:unhideWhenUsed/>
    <w:rsid w:val="0085209D"/>
    <w:rPr>
      <w:color w:val="605E5C"/>
      <w:shd w:val="clear" w:color="auto" w:fill="E1DFDD"/>
    </w:rPr>
  </w:style>
  <w:style w:type="paragraph" w:styleId="Revision">
    <w:name w:val="Revision"/>
    <w:hidden/>
    <w:uiPriority w:val="99"/>
    <w:semiHidden/>
    <w:rsid w:val="0005025E"/>
    <w:rPr>
      <w:rFonts w:ascii="Verdana" w:hAnsi="Verdana"/>
      <w:sz w:val="24"/>
      <w:szCs w:val="24"/>
    </w:rPr>
  </w:style>
  <w:style w:type="character" w:styleId="CommentReference">
    <w:name w:val="annotation reference"/>
    <w:basedOn w:val="DefaultParagraphFont"/>
    <w:rsid w:val="006019D4"/>
    <w:rPr>
      <w:sz w:val="16"/>
      <w:szCs w:val="16"/>
    </w:rPr>
  </w:style>
  <w:style w:type="paragraph" w:styleId="CommentText">
    <w:name w:val="annotation text"/>
    <w:basedOn w:val="Normal"/>
    <w:link w:val="CommentTextChar"/>
    <w:rsid w:val="006019D4"/>
    <w:rPr>
      <w:sz w:val="20"/>
      <w:szCs w:val="20"/>
    </w:rPr>
  </w:style>
  <w:style w:type="character" w:customStyle="1" w:styleId="CommentTextChar">
    <w:name w:val="Comment Text Char"/>
    <w:basedOn w:val="DefaultParagraphFont"/>
    <w:link w:val="CommentText"/>
    <w:rsid w:val="006019D4"/>
    <w:rPr>
      <w:rFonts w:ascii="Verdana" w:hAnsi="Verdana"/>
    </w:rPr>
  </w:style>
  <w:style w:type="paragraph" w:styleId="CommentSubject">
    <w:name w:val="annotation subject"/>
    <w:basedOn w:val="CommentText"/>
    <w:next w:val="CommentText"/>
    <w:link w:val="CommentSubjectChar"/>
    <w:rsid w:val="006019D4"/>
    <w:rPr>
      <w:b/>
      <w:bCs/>
    </w:rPr>
  </w:style>
  <w:style w:type="character" w:customStyle="1" w:styleId="CommentSubjectChar">
    <w:name w:val="Comment Subject Char"/>
    <w:basedOn w:val="CommentTextChar"/>
    <w:link w:val="CommentSubject"/>
    <w:rsid w:val="006019D4"/>
    <w:rPr>
      <w:rFonts w:ascii="Verdana" w:hAnsi="Verdana"/>
      <w:b/>
      <w:bCs/>
    </w:rPr>
  </w:style>
  <w:style w:type="character" w:styleId="Mention">
    <w:name w:val="Mention"/>
    <w:basedOn w:val="DefaultParagraphFont"/>
    <w:uiPriority w:val="99"/>
    <w:unhideWhenUsed/>
    <w:rsid w:val="006019D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886602243">
      <w:bodyDiv w:val="1"/>
      <w:marLeft w:val="0"/>
      <w:marRight w:val="0"/>
      <w:marTop w:val="0"/>
      <w:marBottom w:val="0"/>
      <w:divBdr>
        <w:top w:val="none" w:sz="0" w:space="0" w:color="auto"/>
        <w:left w:val="none" w:sz="0" w:space="0" w:color="auto"/>
        <w:bottom w:val="none" w:sz="0" w:space="0" w:color="auto"/>
        <w:right w:val="none" w:sz="0" w:space="0" w:color="auto"/>
      </w:divBdr>
    </w:div>
    <w:div w:id="1082945819">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331640898">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88208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policy.corp.cvscaremark.com/pnp/faces/DocRenderer?documentId=CALL-0049" TargetMode="External"/><Relationship Id="rId2" Type="http://schemas.openxmlformats.org/officeDocument/2006/relationships/customXml" Target="../customXml/item2.xml"/><Relationship Id="rId16" Type="http://schemas.openxmlformats.org/officeDocument/2006/relationships/hyperlink" Target="file:///C:/Users/DDavis6/AppData/Local/Microsoft/Windows/UJ30FJ4/AppData/Local/Microsoft/Windows/Temporary%20Internet%20Files/Content.Outlook/H3E3P1M2/CMS-2-017428"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B49505AAF66544B3991E59A726D05A" ma:contentTypeVersion="4" ma:contentTypeDescription="Create a new document." ma:contentTypeScope="" ma:versionID="c490d5300bcc29ccb8b6c915c59431fd">
  <xsd:schema xmlns:xsd="http://www.w3.org/2001/XMLSchema" xmlns:xs="http://www.w3.org/2001/XMLSchema" xmlns:p="http://schemas.microsoft.com/office/2006/metadata/properties" xmlns:ns2="105b4efb-3be6-4b39-a776-8a7d43adc0ca" targetNamespace="http://schemas.microsoft.com/office/2006/metadata/properties" ma:root="true" ma:fieldsID="845fad1c6d5081b7ee8f1539f5ad5338" ns2:_="">
    <xsd:import namespace="105b4efb-3be6-4b39-a776-8a7d43adc0c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5b4efb-3be6-4b39-a776-8a7d43adc0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0B0880-DA60-4A41-9D9F-B7706D07F0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5b4efb-3be6-4b39-a776-8a7d43adc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BF10CF-A854-4875-A582-03C7304A907C}">
  <ds:schemaRefs>
    <ds:schemaRef ds:uri="http://schemas.openxmlformats.org/officeDocument/2006/bibliography"/>
  </ds:schemaRefs>
</ds:datastoreItem>
</file>

<file path=customXml/itemProps3.xml><?xml version="1.0" encoding="utf-8"?>
<ds:datastoreItem xmlns:ds="http://schemas.openxmlformats.org/officeDocument/2006/customXml" ds:itemID="{3705864F-BFD6-46B1-997B-34672B96857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B6FEE64-742D-4EFE-A061-FB1A2D5B93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4</TotalTime>
  <Pages>1</Pages>
  <Words>756</Words>
  <Characters>4311</Characters>
  <Application>Microsoft Office Word</Application>
  <DocSecurity>2</DocSecurity>
  <Lines>35</Lines>
  <Paragraphs>10</Paragraphs>
  <ScaleCrop>false</ScaleCrop>
  <Company>Caremark RX</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Dugdale, Brienna</cp:lastModifiedBy>
  <cp:revision>12</cp:revision>
  <cp:lastPrinted>2007-01-03T17:56:00Z</cp:lastPrinted>
  <dcterms:created xsi:type="dcterms:W3CDTF">2022-12-12T18:35:00Z</dcterms:created>
  <dcterms:modified xsi:type="dcterms:W3CDTF">2024-11-08T06:07:00Z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0x010100ACB49505AAF66544B3991E59A726D05A</vt:lpwstr>
  </property>
  <property fmtid="{D5CDD505-2E9C-101B-9397-08002B2CF9AE}" pid="3" name="MSIP_Label_67599526-06ca-49cc-9fa9-5307800a949a_Enabled">
    <vt:lpwstr>true</vt:lpwstr>
  </property>
  <property fmtid="{D5CDD505-2E9C-101B-9397-08002B2CF9AE}" pid="4" name="MSIP_Label_67599526-06ca-49cc-9fa9-5307800a949a_SetDate">
    <vt:lpwstr>2022-12-02T20:02:46Z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63b827e2-3cee-4550-a1c2-009590a12987</vt:lpwstr>
  </property>
  <property fmtid="{D5CDD505-2E9C-101B-9397-08002B2CF9AE}" pid="9" name="MSIP_Label_67599526-06ca-49cc-9fa9-5307800a949a_ContentBits">
    <vt:lpwstr>0</vt:lpwstr>
  </property>
</Properties>
</file>