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D1305" w14:textId="2852E26D" w:rsidR="00255C6B" w:rsidRPr="0058134F" w:rsidRDefault="001F4249" w:rsidP="00255C6B">
      <w:pPr>
        <w:pStyle w:val="Heading1"/>
        <w:rPr>
          <w:rFonts w:ascii="Verdana" w:hAnsi="Verdana"/>
          <w:color w:val="000000"/>
          <w:sz w:val="36"/>
          <w:szCs w:val="36"/>
        </w:rPr>
      </w:pPr>
      <w:bookmarkStart w:id="0" w:name="_top"/>
      <w:bookmarkStart w:id="1" w:name="OLE_LINK8"/>
      <w:bookmarkEnd w:id="0"/>
      <w:r>
        <w:rPr>
          <w:rFonts w:ascii="Verdana" w:hAnsi="Verdana"/>
          <w:color w:val="000000"/>
          <w:sz w:val="36"/>
          <w:szCs w:val="36"/>
        </w:rPr>
        <w:t xml:space="preserve">PeopleSafe - </w:t>
      </w:r>
      <w:r w:rsidR="0000781D">
        <w:rPr>
          <w:rFonts w:ascii="Verdana" w:hAnsi="Verdana"/>
          <w:color w:val="000000"/>
          <w:sz w:val="36"/>
          <w:szCs w:val="36"/>
        </w:rPr>
        <w:t>V</w:t>
      </w:r>
      <w:r w:rsidR="00E0031E">
        <w:rPr>
          <w:rFonts w:ascii="Verdana" w:hAnsi="Verdana"/>
          <w:color w:val="000000"/>
          <w:sz w:val="36"/>
          <w:szCs w:val="36"/>
        </w:rPr>
        <w:t>alue Formulary Utilization Management Step Therapy,</w:t>
      </w:r>
      <w:r w:rsidR="0000781D">
        <w:rPr>
          <w:rFonts w:ascii="Verdana" w:hAnsi="Verdana"/>
          <w:color w:val="000000"/>
          <w:sz w:val="36"/>
          <w:szCs w:val="36"/>
        </w:rPr>
        <w:t xml:space="preserve"> Prior Authorization,</w:t>
      </w:r>
      <w:r w:rsidR="00E0031E">
        <w:rPr>
          <w:rFonts w:ascii="Verdana" w:hAnsi="Verdana"/>
          <w:color w:val="000000"/>
          <w:sz w:val="36"/>
          <w:szCs w:val="36"/>
        </w:rPr>
        <w:t xml:space="preserve"> Quantity Limits,</w:t>
      </w:r>
      <w:r w:rsidR="0000781D">
        <w:rPr>
          <w:rFonts w:ascii="Verdana" w:hAnsi="Verdana"/>
          <w:color w:val="000000"/>
          <w:sz w:val="36"/>
          <w:szCs w:val="36"/>
        </w:rPr>
        <w:t xml:space="preserve"> Exceptions</w:t>
      </w:r>
      <w:r w:rsidR="00E0031E">
        <w:rPr>
          <w:rFonts w:ascii="Verdana" w:hAnsi="Verdana"/>
          <w:color w:val="000000"/>
          <w:sz w:val="36"/>
          <w:szCs w:val="36"/>
        </w:rPr>
        <w:t>,</w:t>
      </w:r>
      <w:r w:rsidR="0000781D">
        <w:rPr>
          <w:rFonts w:ascii="Verdana" w:hAnsi="Verdana"/>
          <w:color w:val="000000"/>
          <w:sz w:val="36"/>
          <w:szCs w:val="36"/>
        </w:rPr>
        <w:t xml:space="preserve"> and Appeals for Customer Care</w:t>
      </w:r>
    </w:p>
    <w:bookmarkEnd w:id="1"/>
    <w:p w14:paraId="60D90C79" w14:textId="77777777" w:rsidR="00433355" w:rsidRDefault="00433355" w:rsidP="00433355">
      <w:pPr>
        <w:pStyle w:val="TOC2"/>
      </w:pPr>
    </w:p>
    <w:p w14:paraId="6CED323F" w14:textId="18E33E48" w:rsidR="002C7FAD" w:rsidRDefault="0058134F" w:rsidP="00433355">
      <w:pPr>
        <w:pStyle w:val="TOC2"/>
        <w:rPr>
          <w:rFonts w:asciiTheme="minorHAnsi" w:eastAsiaTheme="minorEastAsia" w:hAnsiTheme="minorHAnsi" w:cstheme="minorBidi"/>
          <w:noProof/>
          <w:color w:val="auto"/>
          <w:sz w:val="22"/>
          <w:szCs w:val="22"/>
          <w:u w:val="none"/>
        </w:rPr>
      </w:pPr>
      <w:r>
        <w:fldChar w:fldCharType="begin"/>
      </w:r>
      <w:r>
        <w:instrText xml:space="preserve"> TOC \o "2-2" \n \h \z \u </w:instrText>
      </w:r>
      <w:r>
        <w:fldChar w:fldCharType="separate"/>
      </w:r>
      <w:hyperlink w:anchor="_Toc134530275" w:history="1">
        <w:r w:rsidR="002C7FAD" w:rsidRPr="00D00F15">
          <w:rPr>
            <w:rStyle w:val="Hyperlink"/>
            <w:noProof/>
          </w:rPr>
          <w:t>Prior Authorization / Exception Requests</w:t>
        </w:r>
      </w:hyperlink>
    </w:p>
    <w:p w14:paraId="62AD988A" w14:textId="23411EB8" w:rsidR="002C7FAD" w:rsidRDefault="00000000" w:rsidP="00433355">
      <w:pPr>
        <w:pStyle w:val="TOC2"/>
        <w:rPr>
          <w:rFonts w:asciiTheme="minorHAnsi" w:eastAsiaTheme="minorEastAsia" w:hAnsiTheme="minorHAnsi" w:cstheme="minorBidi"/>
          <w:noProof/>
          <w:color w:val="auto"/>
          <w:sz w:val="22"/>
          <w:szCs w:val="22"/>
          <w:u w:val="none"/>
        </w:rPr>
      </w:pPr>
      <w:hyperlink w:anchor="_Toc134530276" w:history="1">
        <w:r w:rsidR="002C7FAD" w:rsidRPr="00D00F15">
          <w:rPr>
            <w:rStyle w:val="Hyperlink"/>
            <w:noProof/>
          </w:rPr>
          <w:t>When to Contact the Senior Team</w:t>
        </w:r>
      </w:hyperlink>
    </w:p>
    <w:p w14:paraId="38C1D780" w14:textId="1A8F877C" w:rsidR="002C7FAD" w:rsidRDefault="00000000" w:rsidP="00433355">
      <w:pPr>
        <w:pStyle w:val="TOC2"/>
        <w:rPr>
          <w:rFonts w:asciiTheme="minorHAnsi" w:eastAsiaTheme="minorEastAsia" w:hAnsiTheme="minorHAnsi" w:cstheme="minorBidi"/>
          <w:noProof/>
          <w:color w:val="auto"/>
          <w:sz w:val="22"/>
          <w:szCs w:val="22"/>
          <w:u w:val="none"/>
        </w:rPr>
      </w:pPr>
      <w:hyperlink w:anchor="_Toc134530277" w:history="1">
        <w:r w:rsidR="002C7FAD" w:rsidRPr="00D00F15">
          <w:rPr>
            <w:rStyle w:val="Hyperlink"/>
            <w:noProof/>
          </w:rPr>
          <w:t>Identifying Value Formulary Targeted Drugs and Providing Alternatives or Explaining Clinical Requirements</w:t>
        </w:r>
      </w:hyperlink>
    </w:p>
    <w:p w14:paraId="7F751C84" w14:textId="2550646E" w:rsidR="002C7FAD" w:rsidRDefault="00000000" w:rsidP="00433355">
      <w:pPr>
        <w:pStyle w:val="TOC2"/>
        <w:rPr>
          <w:rFonts w:asciiTheme="minorHAnsi" w:eastAsiaTheme="minorEastAsia" w:hAnsiTheme="minorHAnsi" w:cstheme="minorBidi"/>
          <w:noProof/>
          <w:color w:val="auto"/>
          <w:sz w:val="22"/>
          <w:szCs w:val="22"/>
          <w:u w:val="none"/>
        </w:rPr>
      </w:pPr>
      <w:hyperlink w:anchor="_Toc134530278" w:history="1">
        <w:r w:rsidR="002C7FAD" w:rsidRPr="00D00F15">
          <w:rPr>
            <w:rStyle w:val="Hyperlink"/>
            <w:noProof/>
          </w:rPr>
          <w:t>Reject Messages</w:t>
        </w:r>
      </w:hyperlink>
    </w:p>
    <w:p w14:paraId="4AD3FE0C" w14:textId="0EF42B36" w:rsidR="002C7FAD" w:rsidRDefault="00000000" w:rsidP="00433355">
      <w:pPr>
        <w:pStyle w:val="TOC2"/>
        <w:rPr>
          <w:rFonts w:asciiTheme="minorHAnsi" w:eastAsiaTheme="minorEastAsia" w:hAnsiTheme="minorHAnsi" w:cstheme="minorBidi"/>
          <w:noProof/>
          <w:color w:val="auto"/>
          <w:sz w:val="22"/>
          <w:szCs w:val="22"/>
          <w:u w:val="none"/>
        </w:rPr>
      </w:pPr>
      <w:hyperlink w:anchor="_Toc134530279" w:history="1">
        <w:r w:rsidR="002C7FAD" w:rsidRPr="00D00F15">
          <w:rPr>
            <w:rStyle w:val="Hyperlink"/>
            <w:noProof/>
          </w:rPr>
          <w:t>Related Documents</w:t>
        </w:r>
      </w:hyperlink>
    </w:p>
    <w:p w14:paraId="48E61D3D" w14:textId="41C5E335" w:rsidR="00067C38" w:rsidRDefault="0058134F" w:rsidP="00350A32">
      <w:r>
        <w:fldChar w:fldCharType="end"/>
      </w:r>
    </w:p>
    <w:p w14:paraId="55508FFC" w14:textId="77777777" w:rsidR="00433355" w:rsidRPr="00067C38" w:rsidRDefault="00433355" w:rsidP="00350A32"/>
    <w:p w14:paraId="4135CD8C" w14:textId="0214C775" w:rsidR="00350A32" w:rsidRPr="0058134F" w:rsidRDefault="00B72B54" w:rsidP="006E7EC4">
      <w:pPr>
        <w:spacing w:before="120" w:after="120"/>
      </w:pPr>
      <w:bookmarkStart w:id="2" w:name="_Overview"/>
      <w:bookmarkEnd w:id="2"/>
      <w:r w:rsidRPr="006E7EC4">
        <w:rPr>
          <w:b/>
          <w:bCs/>
        </w:rPr>
        <w:t>Description:</w:t>
      </w:r>
      <w:r w:rsidR="001177DB">
        <w:t xml:space="preserve">  </w:t>
      </w:r>
      <w:r w:rsidR="00A01502">
        <w:t>I</w:t>
      </w:r>
      <w:r w:rsidR="004420DE" w:rsidRPr="0003232C">
        <w:t xml:space="preserve">nformation about </w:t>
      </w:r>
      <w:r w:rsidR="0057245E">
        <w:t>P</w:t>
      </w:r>
      <w:r w:rsidR="0057245E" w:rsidRPr="0003232C">
        <w:t xml:space="preserve">rior </w:t>
      </w:r>
      <w:r w:rsidR="0057245E">
        <w:t>A</w:t>
      </w:r>
      <w:r w:rsidR="0057245E" w:rsidRPr="0003232C">
        <w:t>uthorizations</w:t>
      </w:r>
      <w:r w:rsidR="004420DE" w:rsidRPr="0003232C">
        <w:t>, exceptions,</w:t>
      </w:r>
      <w:r w:rsidR="00E0031E">
        <w:t xml:space="preserve"> quantity limits,</w:t>
      </w:r>
      <w:r w:rsidR="004420DE" w:rsidRPr="0003232C">
        <w:t xml:space="preserve"> and appeals under Value Formulary (VF).</w:t>
      </w:r>
      <w:hyperlink w:anchor="_top" w:history="1"/>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58134F" w14:paraId="57E2DBD5" w14:textId="77777777" w:rsidTr="00E3776D">
        <w:tc>
          <w:tcPr>
            <w:tcW w:w="5000" w:type="pct"/>
            <w:shd w:val="clear" w:color="auto" w:fill="C0C0C0"/>
          </w:tcPr>
          <w:p w14:paraId="481B3C3D" w14:textId="617C1BC4" w:rsidR="00F81783" w:rsidRPr="0058134F" w:rsidRDefault="004420DE" w:rsidP="006E7EC4">
            <w:pPr>
              <w:pStyle w:val="Heading2"/>
              <w:tabs>
                <w:tab w:val="left" w:pos="11985"/>
              </w:tabs>
              <w:spacing w:before="120" w:after="120"/>
              <w:rPr>
                <w:rFonts w:ascii="Verdana" w:hAnsi="Verdana"/>
                <w:i w:val="0"/>
                <w:iCs w:val="0"/>
              </w:rPr>
            </w:pPr>
            <w:bookmarkStart w:id="3" w:name="_Toc134530275"/>
            <w:r>
              <w:rPr>
                <w:rFonts w:ascii="Verdana" w:hAnsi="Verdana"/>
                <w:i w:val="0"/>
                <w:iCs w:val="0"/>
              </w:rPr>
              <w:t>Prior Authorization / Exception Requests</w:t>
            </w:r>
            <w:bookmarkEnd w:id="3"/>
          </w:p>
        </w:tc>
      </w:tr>
    </w:tbl>
    <w:p w14:paraId="351854E5" w14:textId="5D6C4065" w:rsidR="00B72B54" w:rsidRPr="0058134F" w:rsidRDefault="00DA226F" w:rsidP="006E7EC4">
      <w:pPr>
        <w:spacing w:before="120" w:after="120"/>
      </w:pPr>
      <w:r>
        <w:rPr>
          <w:b/>
          <w:noProof/>
        </w:rPr>
        <w:drawing>
          <wp:inline distT="0" distB="0" distL="0" distR="0" wp14:anchorId="00D97658" wp14:editId="1F31AAAF">
            <wp:extent cx="304762" cy="304762"/>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671DD">
        <w:rPr>
          <w:b/>
        </w:rPr>
        <w:t xml:space="preserve"> </w:t>
      </w:r>
      <w:r w:rsidR="00B72B54" w:rsidRPr="00985C5F">
        <w:rPr>
          <w:b/>
        </w:rPr>
        <w:t>Note:</w:t>
      </w:r>
      <w:r w:rsidR="00B72B54" w:rsidRPr="00985C5F">
        <w:t xml:space="preserve">  Some clients will have a </w:t>
      </w:r>
      <w:r w:rsidR="007E40A8" w:rsidRPr="00985C5F">
        <w:t>non-</w:t>
      </w:r>
      <w:r w:rsidR="00EB2CE0">
        <w:t>f</w:t>
      </w:r>
      <w:r w:rsidR="007E40A8" w:rsidRPr="00985C5F">
        <w:t>ormulary</w:t>
      </w:r>
      <w:r w:rsidR="00B72B54" w:rsidRPr="00985C5F">
        <w:t xml:space="preserve"> exceptions process for medications that get a “NDC Not Covered” reject in the rejections message. You can determine</w:t>
      </w:r>
      <w:r w:rsidR="0057245E">
        <w:t xml:space="preserve"> this</w:t>
      </w:r>
      <w:r w:rsidR="00B72B54" w:rsidRPr="00985C5F">
        <w:t xml:space="preserve"> when </w:t>
      </w:r>
      <w:r w:rsidR="0057245E">
        <w:t>performing a</w:t>
      </w:r>
      <w:r w:rsidR="00B72B54" w:rsidRPr="00985C5F">
        <w:t xml:space="preserve"> test claim for </w:t>
      </w:r>
      <w:r w:rsidR="0057245E">
        <w:t xml:space="preserve">the </w:t>
      </w:r>
      <w:r w:rsidR="00B72B54" w:rsidRPr="00985C5F">
        <w:t>medication</w:t>
      </w:r>
      <w:r w:rsidR="0057245E">
        <w:t xml:space="preserve">. The rejection message </w:t>
      </w:r>
      <w:r w:rsidR="00B72B54" w:rsidRPr="00985C5F">
        <w:t xml:space="preserve">indicates a 1-800-type phone number to call for a non-formulary exception. However, if the </w:t>
      </w:r>
      <w:r w:rsidR="0057245E">
        <w:t>T</w:t>
      </w:r>
      <w:r w:rsidR="00B72B54" w:rsidRPr="00985C5F">
        <w:t xml:space="preserve">est </w:t>
      </w:r>
      <w:r w:rsidR="0057245E">
        <w:t>C</w:t>
      </w:r>
      <w:r w:rsidR="00B72B54" w:rsidRPr="00985C5F">
        <w:t xml:space="preserve">laim for a non-formulary medication does NOT indicate a phone number to call for an exception, and the reject is for “NDC Not Covered,” advise the </w:t>
      </w:r>
      <w:r w:rsidR="00064A81">
        <w:t xml:space="preserve">Prior Authorization process or </w:t>
      </w:r>
      <w:r w:rsidR="00B72B54" w:rsidRPr="00985C5F">
        <w:t>appeals process</w:t>
      </w:r>
      <w:r w:rsidR="00FA6661">
        <w:t xml:space="preserve"> </w:t>
      </w:r>
      <w:r w:rsidR="00064A81">
        <w:t>(if a PA has already been denied)</w:t>
      </w:r>
      <w:r w:rsidR="00B72B54" w:rsidRPr="00985C5F">
        <w:t xml:space="preserve"> for the plan</w:t>
      </w:r>
      <w:r w:rsidR="00B9132F">
        <w:t xml:space="preserve">; </w:t>
      </w:r>
      <w:r w:rsidR="00E603FB">
        <w:t>but with ANY reject 70</w:t>
      </w:r>
      <w:r w:rsidR="00E671DD">
        <w:t xml:space="preserve">, </w:t>
      </w:r>
      <w:r w:rsidR="00E603FB">
        <w:t>follow PA process</w:t>
      </w:r>
      <w:r w:rsidR="00064A81">
        <w:t xml:space="preserve"> first</w:t>
      </w:r>
      <w:r w:rsidR="00E603FB">
        <w:t>.</w:t>
      </w:r>
      <w:r w:rsidR="00377089">
        <w:t xml:space="preserve"> Refer to</w:t>
      </w:r>
      <w:r w:rsidR="003936A9">
        <w:t xml:space="preserve"> the</w:t>
      </w:r>
      <w:r w:rsidR="00377089">
        <w:t xml:space="preserve"> </w:t>
      </w:r>
      <w:hyperlink r:id="rId12" w:anchor="!/view?docid=657ddfe3-27d1-4a21-8f51-8cbd3961001c" w:history="1">
        <w:r w:rsidR="00BE2E77">
          <w:rPr>
            <w:rStyle w:val="Hyperlink"/>
          </w:rPr>
          <w:t>Prior Authorization, Exceptions, Appeals Guide (063978)</w:t>
        </w:r>
      </w:hyperlink>
      <w:r w:rsidR="00377089">
        <w:t xml:space="preserve"> for </w:t>
      </w:r>
      <w:r w:rsidR="003936A9">
        <w:t xml:space="preserve">further information and links to specific process documents. </w:t>
      </w:r>
      <w:r w:rsidR="00E603FB">
        <w:t xml:space="preserve"> </w:t>
      </w:r>
    </w:p>
    <w:p w14:paraId="017D98DB" w14:textId="77777777" w:rsidR="00350A32" w:rsidRDefault="00350A32" w:rsidP="006E7EC4">
      <w:pPr>
        <w:spacing w:before="120" w:after="120"/>
      </w:pPr>
    </w:p>
    <w:p w14:paraId="4A5DBDDC" w14:textId="2F6C9828" w:rsidR="004420DE" w:rsidRPr="0003232C" w:rsidRDefault="0057245E" w:rsidP="006E7EC4">
      <w:pPr>
        <w:spacing w:before="120" w:after="120"/>
      </w:pPr>
      <w:r>
        <w:t>Value Formulary</w:t>
      </w:r>
      <w:r w:rsidRPr="0003232C">
        <w:t xml:space="preserve"> </w:t>
      </w:r>
      <w:r w:rsidR="004420DE" w:rsidRPr="0003232C">
        <w:t xml:space="preserve">Clinical PA and Exceptions requests will be handled by a designated team within the Prior Authorization and Exceptions departments. When either group receives a fax or call from a physician regarding a targeted VF drug, the teams assess </w:t>
      </w:r>
      <w:r>
        <w:t xml:space="preserve">if </w:t>
      </w:r>
      <w:r w:rsidR="004420DE" w:rsidRPr="0003232C">
        <w:t>the targeted drug is medically necessary. Basic requirements for medical necessity include (but are not limited to):</w:t>
      </w:r>
    </w:p>
    <w:p w14:paraId="09497286" w14:textId="7B9C1BB8" w:rsidR="004420DE" w:rsidRPr="0003232C" w:rsidRDefault="004420DE" w:rsidP="006E7EC4">
      <w:pPr>
        <w:numPr>
          <w:ilvl w:val="0"/>
          <w:numId w:val="16"/>
        </w:numPr>
        <w:spacing w:before="120" w:after="120"/>
      </w:pPr>
      <w:r w:rsidRPr="0003232C">
        <w:t>Documented contraindication or potential drug interaction with the available alternatives</w:t>
      </w:r>
      <w:r w:rsidR="002F5B95">
        <w:t>.</w:t>
      </w:r>
    </w:p>
    <w:p w14:paraId="61BB3633" w14:textId="74FC73A4" w:rsidR="004420DE" w:rsidRPr="0003232C" w:rsidRDefault="004420DE" w:rsidP="006E7EC4">
      <w:pPr>
        <w:numPr>
          <w:ilvl w:val="0"/>
          <w:numId w:val="16"/>
        </w:numPr>
        <w:spacing w:before="120" w:after="120"/>
      </w:pPr>
      <w:r w:rsidRPr="0003232C">
        <w:t>Intolerance or confirmed adverse event with the available alternatives</w:t>
      </w:r>
      <w:r w:rsidR="002F5B95">
        <w:t>.</w:t>
      </w:r>
    </w:p>
    <w:p w14:paraId="661B3338" w14:textId="5A98B8EF" w:rsidR="004420DE" w:rsidRPr="0003232C" w:rsidRDefault="004420DE" w:rsidP="006E7EC4">
      <w:pPr>
        <w:numPr>
          <w:ilvl w:val="0"/>
          <w:numId w:val="16"/>
        </w:numPr>
        <w:spacing w:before="120" w:after="120"/>
      </w:pPr>
      <w:r w:rsidRPr="0003232C">
        <w:t>Inadequate treatment response with 2-3 available alternatives</w:t>
      </w:r>
      <w:r w:rsidR="002F5B95">
        <w:t>.</w:t>
      </w:r>
    </w:p>
    <w:p w14:paraId="3C88CC60" w14:textId="0E9E6C88" w:rsidR="004420DE" w:rsidRDefault="004420DE" w:rsidP="006E7EC4">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9"/>
        <w:gridCol w:w="9241"/>
      </w:tblGrid>
      <w:tr w:rsidR="00563009" w14:paraId="08DDDC0D" w14:textId="77777777" w:rsidTr="00C23D30">
        <w:tc>
          <w:tcPr>
            <w:tcW w:w="1432" w:type="pct"/>
            <w:shd w:val="clear" w:color="auto" w:fill="D9D9D9" w:themeFill="background1" w:themeFillShade="D9"/>
          </w:tcPr>
          <w:p w14:paraId="663EB251" w14:textId="55124413" w:rsidR="006E7EC4" w:rsidRPr="00563009" w:rsidRDefault="006E7EC4" w:rsidP="00563009">
            <w:pPr>
              <w:spacing w:before="120" w:after="120"/>
              <w:jc w:val="center"/>
              <w:rPr>
                <w:b/>
                <w:bCs/>
              </w:rPr>
            </w:pPr>
            <w:r w:rsidRPr="00563009">
              <w:rPr>
                <w:b/>
                <w:bCs/>
              </w:rPr>
              <w:t>If the physician…</w:t>
            </w:r>
          </w:p>
        </w:tc>
        <w:tc>
          <w:tcPr>
            <w:tcW w:w="3568" w:type="pct"/>
            <w:shd w:val="clear" w:color="auto" w:fill="D9D9D9" w:themeFill="background1" w:themeFillShade="D9"/>
          </w:tcPr>
          <w:p w14:paraId="0E4BB14F" w14:textId="72AF30FB" w:rsidR="006E7EC4" w:rsidRPr="00563009" w:rsidRDefault="006E7EC4" w:rsidP="00563009">
            <w:pPr>
              <w:spacing w:before="120" w:after="120"/>
              <w:jc w:val="center"/>
              <w:rPr>
                <w:b/>
                <w:bCs/>
              </w:rPr>
            </w:pPr>
            <w:r w:rsidRPr="00563009">
              <w:rPr>
                <w:b/>
                <w:bCs/>
              </w:rPr>
              <w:t>Then…</w:t>
            </w:r>
          </w:p>
        </w:tc>
      </w:tr>
      <w:tr w:rsidR="00563009" w14:paraId="1F14F4A9" w14:textId="77777777" w:rsidTr="00563009">
        <w:tc>
          <w:tcPr>
            <w:tcW w:w="1432" w:type="pct"/>
            <w:shd w:val="clear" w:color="auto" w:fill="auto"/>
          </w:tcPr>
          <w:p w14:paraId="424F829D" w14:textId="4C2F08BD" w:rsidR="006E7EC4" w:rsidRDefault="006E7EC4" w:rsidP="00563009">
            <w:pPr>
              <w:spacing w:before="120" w:after="120"/>
            </w:pPr>
            <w:r>
              <w:t>C</w:t>
            </w:r>
            <w:r w:rsidRPr="0003232C">
              <w:t xml:space="preserve">alls our PA team and agrees to prescribe an alternative and the plan member utilizes </w:t>
            </w:r>
            <w:r>
              <w:t>home delivery</w:t>
            </w:r>
            <w:r w:rsidRPr="0003232C">
              <w:t xml:space="preserve"> </w:t>
            </w:r>
          </w:p>
        </w:tc>
        <w:tc>
          <w:tcPr>
            <w:tcW w:w="3568" w:type="pct"/>
            <w:shd w:val="clear" w:color="auto" w:fill="auto"/>
          </w:tcPr>
          <w:p w14:paraId="7F529B18" w14:textId="1CEF40CE" w:rsidR="006E7EC4" w:rsidRDefault="006E7EC4" w:rsidP="00563009">
            <w:pPr>
              <w:spacing w:before="120" w:after="120"/>
            </w:pPr>
            <w:r>
              <w:t>T</w:t>
            </w:r>
            <w:r w:rsidRPr="0003232C">
              <w:t xml:space="preserve">he PA Team can offer to connect the physician with FastStart to obtain a new prescription. </w:t>
            </w:r>
          </w:p>
        </w:tc>
      </w:tr>
      <w:tr w:rsidR="00563009" w14:paraId="1D3DCF93" w14:textId="77777777" w:rsidTr="00563009">
        <w:tc>
          <w:tcPr>
            <w:tcW w:w="1432" w:type="pct"/>
            <w:shd w:val="clear" w:color="auto" w:fill="auto"/>
          </w:tcPr>
          <w:p w14:paraId="01FAC480" w14:textId="014358C0" w:rsidR="006E7EC4" w:rsidRDefault="006E7EC4" w:rsidP="00563009">
            <w:pPr>
              <w:spacing w:before="120" w:after="120"/>
            </w:pPr>
            <w:r>
              <w:t>P</w:t>
            </w:r>
            <w:r w:rsidRPr="0003232C">
              <w:t>refers that the plan member use the targeted drug</w:t>
            </w:r>
          </w:p>
        </w:tc>
        <w:tc>
          <w:tcPr>
            <w:tcW w:w="3568" w:type="pct"/>
            <w:shd w:val="clear" w:color="auto" w:fill="auto"/>
          </w:tcPr>
          <w:p w14:paraId="0C511275" w14:textId="2195D7B5" w:rsidR="006E7EC4" w:rsidRDefault="006E7EC4" w:rsidP="00563009">
            <w:pPr>
              <w:spacing w:before="120" w:after="120"/>
            </w:pPr>
            <w:r>
              <w:t>T</w:t>
            </w:r>
            <w:r w:rsidRPr="0003232C">
              <w:t>he PA team will begin the Clinical Prior Authorization process.</w:t>
            </w:r>
            <w:r>
              <w:t xml:space="preserve"> </w:t>
            </w:r>
          </w:p>
        </w:tc>
      </w:tr>
    </w:tbl>
    <w:p w14:paraId="6EB6687C" w14:textId="77777777" w:rsidR="006E7EC4" w:rsidRPr="0003232C" w:rsidRDefault="006E7EC4" w:rsidP="006E7EC4">
      <w:pPr>
        <w:spacing w:before="120" w:after="1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9"/>
        <w:gridCol w:w="9241"/>
      </w:tblGrid>
      <w:tr w:rsidR="00563009" w:rsidRPr="00563009" w14:paraId="452B9F0C" w14:textId="77777777" w:rsidTr="00315951">
        <w:tc>
          <w:tcPr>
            <w:tcW w:w="1432" w:type="pct"/>
            <w:shd w:val="clear" w:color="auto" w:fill="D9D9D9" w:themeFill="background1" w:themeFillShade="D9"/>
          </w:tcPr>
          <w:p w14:paraId="46277877" w14:textId="764330B7" w:rsidR="006E7EC4" w:rsidRPr="00563009" w:rsidRDefault="006E7EC4" w:rsidP="00563009">
            <w:pPr>
              <w:spacing w:before="120" w:after="120"/>
              <w:jc w:val="center"/>
              <w:rPr>
                <w:b/>
                <w:bCs/>
              </w:rPr>
            </w:pPr>
            <w:r w:rsidRPr="00563009">
              <w:rPr>
                <w:b/>
                <w:bCs/>
              </w:rPr>
              <w:t>If contacting the…</w:t>
            </w:r>
          </w:p>
        </w:tc>
        <w:tc>
          <w:tcPr>
            <w:tcW w:w="3568" w:type="pct"/>
            <w:shd w:val="clear" w:color="auto" w:fill="D9D9D9" w:themeFill="background1" w:themeFillShade="D9"/>
          </w:tcPr>
          <w:p w14:paraId="7345506F" w14:textId="77777777" w:rsidR="006E7EC4" w:rsidRPr="00563009" w:rsidRDefault="006E7EC4" w:rsidP="00563009">
            <w:pPr>
              <w:spacing w:before="120" w:after="120"/>
              <w:jc w:val="center"/>
              <w:rPr>
                <w:b/>
                <w:bCs/>
              </w:rPr>
            </w:pPr>
            <w:r w:rsidRPr="00563009">
              <w:rPr>
                <w:b/>
                <w:bCs/>
              </w:rPr>
              <w:t>Then…</w:t>
            </w:r>
          </w:p>
        </w:tc>
      </w:tr>
      <w:tr w:rsidR="00563009" w14:paraId="618B2568" w14:textId="77777777" w:rsidTr="00315951">
        <w:trPr>
          <w:trHeight w:val="1349"/>
        </w:trPr>
        <w:tc>
          <w:tcPr>
            <w:tcW w:w="1432" w:type="pct"/>
            <w:shd w:val="clear" w:color="auto" w:fill="auto"/>
          </w:tcPr>
          <w:p w14:paraId="53954070" w14:textId="649CD48C" w:rsidR="006E7EC4" w:rsidRPr="00563009" w:rsidRDefault="006E7EC4" w:rsidP="00563009">
            <w:pPr>
              <w:spacing w:before="120" w:after="120"/>
              <w:rPr>
                <w:b/>
              </w:rPr>
            </w:pPr>
            <w:r w:rsidRPr="00563009">
              <w:rPr>
                <w:b/>
              </w:rPr>
              <w:t xml:space="preserve">VF PA Team </w:t>
            </w:r>
          </w:p>
          <w:p w14:paraId="3581586A" w14:textId="2E2BA340" w:rsidR="006E7EC4" w:rsidRDefault="006E7EC4" w:rsidP="00563009">
            <w:pPr>
              <w:spacing w:before="120" w:after="120"/>
            </w:pPr>
          </w:p>
        </w:tc>
        <w:tc>
          <w:tcPr>
            <w:tcW w:w="3568" w:type="pct"/>
            <w:shd w:val="clear" w:color="auto" w:fill="auto"/>
          </w:tcPr>
          <w:p w14:paraId="03D44EFD" w14:textId="5D730CD9" w:rsidR="006E7EC4" w:rsidRDefault="006E7EC4" w:rsidP="00563009">
            <w:pPr>
              <w:spacing w:before="120" w:after="120"/>
            </w:pPr>
            <w:r w:rsidRPr="0003232C">
              <w:t xml:space="preserve">The designated toll-free phone number for the VF PA Team is </w:t>
            </w:r>
            <w:r w:rsidRPr="00563009">
              <w:rPr>
                <w:b/>
                <w:bCs/>
              </w:rPr>
              <w:t>1-877-203-1681</w:t>
            </w:r>
            <w:r w:rsidRPr="0003232C">
              <w:t>.</w:t>
            </w:r>
          </w:p>
          <w:p w14:paraId="1C9F0DEF" w14:textId="77777777" w:rsidR="006E7EC4" w:rsidRPr="0003232C" w:rsidRDefault="006E7EC4" w:rsidP="00563009">
            <w:pPr>
              <w:spacing w:before="120" w:after="120"/>
            </w:pPr>
            <w:r w:rsidRPr="00563009">
              <w:rPr>
                <w:b/>
                <w:bCs/>
              </w:rPr>
              <w:t xml:space="preserve">Note:  </w:t>
            </w:r>
            <w:r w:rsidRPr="0003232C">
              <w:t>Do not transfer to the regular PA Team.</w:t>
            </w:r>
          </w:p>
          <w:p w14:paraId="3E29B82B" w14:textId="0C810F6D" w:rsidR="006E7EC4" w:rsidRDefault="006E7EC4" w:rsidP="00315951">
            <w:pPr>
              <w:pStyle w:val="ListParagraph"/>
              <w:numPr>
                <w:ilvl w:val="0"/>
                <w:numId w:val="40"/>
              </w:numPr>
              <w:autoSpaceDE w:val="0"/>
              <w:autoSpaceDN w:val="0"/>
              <w:adjustRightInd w:val="0"/>
              <w:spacing w:before="120" w:after="120"/>
            </w:pPr>
            <w:r w:rsidRPr="0003232C">
              <w:t>If you receive a call from a physician requesting approval for a targeted VF drug, warm transfer the physician to this number.</w:t>
            </w:r>
            <w:r>
              <w:t xml:space="preserve"> </w:t>
            </w:r>
          </w:p>
        </w:tc>
      </w:tr>
      <w:tr w:rsidR="00563009" w14:paraId="24469BA1" w14:textId="77777777" w:rsidTr="00315951">
        <w:tc>
          <w:tcPr>
            <w:tcW w:w="1432" w:type="pct"/>
            <w:shd w:val="clear" w:color="auto" w:fill="auto"/>
          </w:tcPr>
          <w:p w14:paraId="12C0E27E" w14:textId="0CBDB386" w:rsidR="006E7EC4" w:rsidRPr="00563009" w:rsidRDefault="006E7EC4" w:rsidP="00563009">
            <w:pPr>
              <w:spacing w:before="120" w:after="120"/>
              <w:rPr>
                <w:b/>
              </w:rPr>
            </w:pPr>
            <w:r w:rsidRPr="00563009">
              <w:rPr>
                <w:b/>
              </w:rPr>
              <w:t xml:space="preserve">VF Exceptions Team </w:t>
            </w:r>
          </w:p>
          <w:p w14:paraId="1B7243AF" w14:textId="77777777" w:rsidR="006E7EC4" w:rsidRDefault="006E7EC4" w:rsidP="00563009">
            <w:pPr>
              <w:spacing w:before="120" w:after="120"/>
            </w:pPr>
          </w:p>
        </w:tc>
        <w:tc>
          <w:tcPr>
            <w:tcW w:w="3568" w:type="pct"/>
            <w:shd w:val="clear" w:color="auto" w:fill="auto"/>
          </w:tcPr>
          <w:p w14:paraId="4BDABA8D" w14:textId="77777777" w:rsidR="006E7EC4" w:rsidRDefault="006E7EC4" w:rsidP="00563009">
            <w:pPr>
              <w:spacing w:before="120" w:after="120"/>
            </w:pPr>
            <w:r w:rsidRPr="0003232C">
              <w:t xml:space="preserve">The designated toll-free </w:t>
            </w:r>
            <w:r w:rsidRPr="00563009">
              <w:rPr>
                <w:b/>
              </w:rPr>
              <w:t>fax</w:t>
            </w:r>
            <w:r w:rsidRPr="0003232C">
              <w:t xml:space="preserve"> number for the VF Exceptions Team is </w:t>
            </w:r>
            <w:r w:rsidRPr="00563009">
              <w:rPr>
                <w:b/>
                <w:bCs/>
              </w:rPr>
              <w:t>1-888-487-9257</w:t>
            </w:r>
            <w:r w:rsidRPr="002F5B95">
              <w:t xml:space="preserve">. </w:t>
            </w:r>
          </w:p>
          <w:p w14:paraId="21339216" w14:textId="4E3985D0" w:rsidR="006E7EC4" w:rsidRPr="00BB4D81" w:rsidRDefault="006E7EC4" w:rsidP="00563009">
            <w:pPr>
              <w:spacing w:before="120" w:after="120"/>
            </w:pPr>
            <w:r w:rsidRPr="00563009">
              <w:rPr>
                <w:b/>
              </w:rPr>
              <w:t>Note</w:t>
            </w:r>
            <w:r w:rsidRPr="005652FE">
              <w:rPr>
                <w:b/>
                <w:bCs/>
              </w:rPr>
              <w:t>:</w:t>
            </w:r>
            <w:r>
              <w:t xml:space="preserve">  </w:t>
            </w:r>
            <w:r w:rsidRPr="00BB4D81">
              <w:t xml:space="preserve">This number only applies to </w:t>
            </w:r>
            <w:r w:rsidR="002F5B95">
              <w:t>physicians</w:t>
            </w:r>
            <w:r w:rsidR="002F5B95" w:rsidRPr="00BB4D81">
              <w:t xml:space="preserve"> </w:t>
            </w:r>
            <w:r w:rsidRPr="00BB4D81">
              <w:t>who complete Tiering Exceptions Requests for non-formulary medications, that is, medicines that pay to a high copay/coinsurance.</w:t>
            </w:r>
          </w:p>
          <w:p w14:paraId="61D0D51C" w14:textId="0FCF65C4" w:rsidR="006E7EC4" w:rsidRPr="0003232C" w:rsidRDefault="00E3776D" w:rsidP="00E671DD">
            <w:pPr>
              <w:numPr>
                <w:ilvl w:val="0"/>
                <w:numId w:val="19"/>
              </w:numPr>
              <w:spacing w:before="120" w:after="120"/>
              <w:ind w:left="720"/>
            </w:pPr>
            <w:r>
              <w:rPr>
                <w:b/>
              </w:rPr>
              <w:t xml:space="preserve"> </w:t>
            </w:r>
            <w:r w:rsidR="006E7EC4" w:rsidRPr="0003232C">
              <w:t>If you receive a call from a physician requesting approval for a VF drug on this high copay/coinsurance, direct the physician to</w:t>
            </w:r>
            <w:r w:rsidR="006E7EC4">
              <w:t xml:space="preserve"> the VF Homepage at:  </w:t>
            </w:r>
            <w:hyperlink r:id="rId13" w:history="1">
              <w:r w:rsidR="006E7EC4" w:rsidRPr="00FC0607">
                <w:rPr>
                  <w:rStyle w:val="Hyperlink"/>
                </w:rPr>
                <w:t>Http://info.caremark.com/highvalueplan</w:t>
              </w:r>
            </w:hyperlink>
            <w:r w:rsidR="006E7EC4">
              <w:t xml:space="preserve">.  </w:t>
            </w:r>
            <w:r w:rsidR="006E7EC4">
              <w:rPr>
                <w:noProof/>
              </w:rPr>
              <w:t xml:space="preserve"> </w:t>
            </w:r>
          </w:p>
          <w:p w14:paraId="099B422E" w14:textId="4FBB9D2E" w:rsidR="006E7EC4" w:rsidRDefault="006E7EC4" w:rsidP="00563009">
            <w:pPr>
              <w:numPr>
                <w:ilvl w:val="0"/>
                <w:numId w:val="19"/>
              </w:numPr>
              <w:spacing w:before="120" w:after="120"/>
              <w:ind w:left="720"/>
            </w:pPr>
            <w:r w:rsidRPr="0003232C">
              <w:t>Do not transfer the call to the VF PA Team or to the regular PA Team</w:t>
            </w:r>
            <w:r>
              <w:t xml:space="preserve">, as this process must be completed by fax only. </w:t>
            </w:r>
          </w:p>
        </w:tc>
      </w:tr>
    </w:tbl>
    <w:p w14:paraId="4B99481B" w14:textId="77777777" w:rsidR="00433355" w:rsidRDefault="00433355" w:rsidP="00433355">
      <w:pPr>
        <w:pStyle w:val="ListParagraph"/>
        <w:spacing w:before="120" w:after="120"/>
        <w:contextualSpacing w:val="0"/>
      </w:pPr>
    </w:p>
    <w:p w14:paraId="29765C47" w14:textId="77777777" w:rsidR="0057245E" w:rsidRPr="0003232C" w:rsidRDefault="0057245E" w:rsidP="006E7EC4">
      <w:pPr>
        <w:ind w:left="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2"/>
        <w:gridCol w:w="9228"/>
      </w:tblGrid>
      <w:tr w:rsidR="00143ECC" w:rsidRPr="00267357" w14:paraId="56945141" w14:textId="77777777" w:rsidTr="00EB2CE0">
        <w:trPr>
          <w:trHeight w:val="440"/>
        </w:trPr>
        <w:tc>
          <w:tcPr>
            <w:tcW w:w="1437" w:type="pct"/>
            <w:shd w:val="clear" w:color="auto" w:fill="D9D9D9" w:themeFill="background1" w:themeFillShade="D9"/>
          </w:tcPr>
          <w:p w14:paraId="3CBEE822" w14:textId="04E70A1C" w:rsidR="00143ECC" w:rsidRPr="00267357" w:rsidRDefault="006E7EC4" w:rsidP="00E306DC">
            <w:pPr>
              <w:spacing w:before="120" w:after="120"/>
              <w:jc w:val="center"/>
              <w:rPr>
                <w:b/>
              </w:rPr>
            </w:pPr>
            <w:r>
              <w:rPr>
                <w:b/>
              </w:rPr>
              <w:t xml:space="preserve">If the </w:t>
            </w:r>
            <w:r w:rsidR="00143ECC" w:rsidRPr="00267357">
              <w:rPr>
                <w:b/>
              </w:rPr>
              <w:t>Prior Authorization is...</w:t>
            </w:r>
          </w:p>
        </w:tc>
        <w:tc>
          <w:tcPr>
            <w:tcW w:w="3563" w:type="pct"/>
            <w:shd w:val="clear" w:color="auto" w:fill="D9D9D9" w:themeFill="background1" w:themeFillShade="D9"/>
          </w:tcPr>
          <w:p w14:paraId="02DC401D" w14:textId="77777777" w:rsidR="00143ECC" w:rsidRPr="00267357" w:rsidRDefault="00143ECC" w:rsidP="00E306DC">
            <w:pPr>
              <w:spacing w:before="120" w:after="120"/>
              <w:jc w:val="center"/>
              <w:rPr>
                <w:b/>
              </w:rPr>
            </w:pPr>
            <w:r w:rsidRPr="00267357">
              <w:rPr>
                <w:b/>
              </w:rPr>
              <w:t>Then...</w:t>
            </w:r>
          </w:p>
        </w:tc>
      </w:tr>
      <w:tr w:rsidR="00143ECC" w:rsidRPr="00267357" w14:paraId="0CFADB8D" w14:textId="77777777" w:rsidTr="00EB2CE0">
        <w:tc>
          <w:tcPr>
            <w:tcW w:w="1437" w:type="pct"/>
          </w:tcPr>
          <w:p w14:paraId="12FE17B7" w14:textId="77777777" w:rsidR="00143ECC" w:rsidRPr="00267357" w:rsidRDefault="00143ECC" w:rsidP="00E306DC">
            <w:pPr>
              <w:spacing w:before="120" w:after="120"/>
              <w:rPr>
                <w:b/>
              </w:rPr>
            </w:pPr>
            <w:r w:rsidRPr="00267357">
              <w:rPr>
                <w:b/>
              </w:rPr>
              <w:t>Approved</w:t>
            </w:r>
          </w:p>
          <w:p w14:paraId="38E07D94" w14:textId="77777777" w:rsidR="00143ECC" w:rsidRPr="00B72B54" w:rsidRDefault="00143ECC" w:rsidP="00E306DC">
            <w:pPr>
              <w:spacing w:before="120" w:after="120"/>
              <w:rPr>
                <w:b/>
              </w:rPr>
            </w:pPr>
            <w:r w:rsidRPr="00B72B54">
              <w:t xml:space="preserve">or formulary exception, for non-formulary brands on </w:t>
            </w:r>
            <w:r w:rsidRPr="006E7EC4">
              <w:t>Value Formulary standard and Narrow plans</w:t>
            </w:r>
          </w:p>
        </w:tc>
        <w:tc>
          <w:tcPr>
            <w:tcW w:w="3563" w:type="pct"/>
          </w:tcPr>
          <w:p w14:paraId="173E7627" w14:textId="77777777" w:rsidR="00143ECC" w:rsidRPr="0003232C" w:rsidRDefault="00143ECC" w:rsidP="00E306DC">
            <w:pPr>
              <w:spacing w:before="120" w:after="120"/>
            </w:pPr>
            <w:r>
              <w:t>P</w:t>
            </w:r>
            <w:r w:rsidRPr="0003232C">
              <w:t>lan member will be able to obtain the targeted drug at the plan designated copay.</w:t>
            </w:r>
          </w:p>
          <w:p w14:paraId="52477269" w14:textId="0DA6E66F" w:rsidR="00143ECC" w:rsidRPr="0003232C" w:rsidRDefault="00143ECC" w:rsidP="005652FE">
            <w:pPr>
              <w:pStyle w:val="ListParagraph"/>
              <w:numPr>
                <w:ilvl w:val="0"/>
                <w:numId w:val="41"/>
              </w:numPr>
              <w:spacing w:before="120" w:after="120"/>
              <w:contextualSpacing w:val="0"/>
            </w:pPr>
            <w:r w:rsidRPr="0003232C">
              <w:t>The approval will be on file for 1-3 years, depending on the standard duration period for the drug.</w:t>
            </w:r>
          </w:p>
          <w:p w14:paraId="1A2EB5A3" w14:textId="6B89C06E" w:rsidR="00143ECC" w:rsidRPr="005652FE" w:rsidRDefault="00143ECC" w:rsidP="005652FE">
            <w:pPr>
              <w:pStyle w:val="ListParagraph"/>
              <w:numPr>
                <w:ilvl w:val="0"/>
                <w:numId w:val="41"/>
              </w:numPr>
              <w:spacing w:before="120" w:after="120"/>
              <w:contextualSpacing w:val="0"/>
              <w:rPr>
                <w:b/>
              </w:rPr>
            </w:pPr>
            <w:r w:rsidRPr="0003232C">
              <w:t xml:space="preserve">After this period has elapsed, the member will need to attempt to meet the clinical requirements, or have the </w:t>
            </w:r>
            <w:r w:rsidR="00EB2CE0" w:rsidRPr="0003232C">
              <w:t>physician</w:t>
            </w:r>
            <w:r w:rsidR="00EB2CE0" w:rsidRPr="0003232C" w:rsidDel="00EB2CE0">
              <w:t xml:space="preserve"> </w:t>
            </w:r>
            <w:r w:rsidRPr="0003232C">
              <w:t>initiate a renewal request for the prior authorization.</w:t>
            </w:r>
          </w:p>
        </w:tc>
      </w:tr>
      <w:tr w:rsidR="00143ECC" w:rsidRPr="00267357" w14:paraId="7CA4EC3A" w14:textId="77777777" w:rsidTr="00EB2CE0">
        <w:tc>
          <w:tcPr>
            <w:tcW w:w="1437" w:type="pct"/>
          </w:tcPr>
          <w:p w14:paraId="0EC55F95" w14:textId="77777777" w:rsidR="00143ECC" w:rsidRPr="00267357" w:rsidRDefault="00143ECC" w:rsidP="00E306DC">
            <w:pPr>
              <w:spacing w:before="120" w:after="120"/>
              <w:rPr>
                <w:b/>
              </w:rPr>
            </w:pPr>
            <w:r w:rsidRPr="00267357">
              <w:rPr>
                <w:b/>
              </w:rPr>
              <w:t>Denied</w:t>
            </w:r>
          </w:p>
        </w:tc>
        <w:tc>
          <w:tcPr>
            <w:tcW w:w="3563" w:type="pct"/>
          </w:tcPr>
          <w:p w14:paraId="44F082D0" w14:textId="77777777" w:rsidR="00143ECC" w:rsidRPr="0003232C" w:rsidRDefault="00143ECC" w:rsidP="00E306DC">
            <w:pPr>
              <w:spacing w:before="120" w:after="120"/>
            </w:pPr>
            <w:r>
              <w:t>P</w:t>
            </w:r>
            <w:r w:rsidRPr="0003232C">
              <w:t xml:space="preserve">lan member has three options: </w:t>
            </w:r>
          </w:p>
          <w:p w14:paraId="59D73B6E" w14:textId="72CE1A69" w:rsidR="00143ECC" w:rsidRPr="0003232C" w:rsidRDefault="00143ECC" w:rsidP="001046AD">
            <w:pPr>
              <w:pStyle w:val="ListParagraph"/>
              <w:numPr>
                <w:ilvl w:val="0"/>
                <w:numId w:val="39"/>
              </w:numPr>
              <w:spacing w:before="120" w:after="120"/>
              <w:contextualSpacing w:val="0"/>
            </w:pPr>
            <w:r w:rsidRPr="0003232C">
              <w:t>Try one of the listed alternatives</w:t>
            </w:r>
            <w:r w:rsidR="00E671DD">
              <w:t>.</w:t>
            </w:r>
          </w:p>
          <w:p w14:paraId="310FCAF2" w14:textId="67D82128" w:rsidR="00143ECC" w:rsidRPr="0003232C" w:rsidRDefault="00143ECC" w:rsidP="001046AD">
            <w:pPr>
              <w:pStyle w:val="ListParagraph"/>
              <w:numPr>
                <w:ilvl w:val="0"/>
                <w:numId w:val="39"/>
              </w:numPr>
              <w:spacing w:before="120" w:after="120"/>
              <w:contextualSpacing w:val="0"/>
            </w:pPr>
            <w:r w:rsidRPr="0003232C">
              <w:t>Purchase the targeted drug at 100% of the cost</w:t>
            </w:r>
            <w:r w:rsidR="00E671DD">
              <w:t>.</w:t>
            </w:r>
          </w:p>
          <w:p w14:paraId="280255DE" w14:textId="6FAC65F6" w:rsidR="00143ECC" w:rsidRPr="0003232C" w:rsidRDefault="00143ECC" w:rsidP="001046AD">
            <w:pPr>
              <w:pStyle w:val="ListParagraph"/>
              <w:numPr>
                <w:ilvl w:val="0"/>
                <w:numId w:val="39"/>
              </w:numPr>
              <w:spacing w:before="120" w:after="120"/>
              <w:contextualSpacing w:val="0"/>
            </w:pPr>
            <w:r w:rsidRPr="0003232C">
              <w:t xml:space="preserve">Initiate the </w:t>
            </w:r>
            <w:hyperlink r:id="rId14" w:anchor="!/view?docid=cd7126d2-19b7-4743-913c-8e9dd7329c08" w:history="1">
              <w:r w:rsidR="002F5B95">
                <w:rPr>
                  <w:rStyle w:val="Hyperlink"/>
                </w:rPr>
                <w:t>Appeals (007339)</w:t>
              </w:r>
            </w:hyperlink>
            <w:r w:rsidRPr="0003232C">
              <w:t xml:space="preserve"> process if allowed by the client’s plan design</w:t>
            </w:r>
            <w:r w:rsidR="00E671DD">
              <w:t>.</w:t>
            </w:r>
          </w:p>
        </w:tc>
      </w:tr>
    </w:tbl>
    <w:p w14:paraId="5E077151" w14:textId="77777777" w:rsidR="004420DE" w:rsidRPr="0003232C" w:rsidRDefault="004420DE" w:rsidP="00433355">
      <w:pPr>
        <w:spacing w:before="120" w:after="120"/>
      </w:pPr>
    </w:p>
    <w:p w14:paraId="31FAF701" w14:textId="77777777" w:rsidR="006E7EC4" w:rsidRDefault="006E7EC4" w:rsidP="004420DE">
      <w:pPr>
        <w:rPr>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32"/>
        <w:gridCol w:w="9218"/>
      </w:tblGrid>
      <w:tr w:rsidR="006E7EC4" w:rsidRPr="00267357" w14:paraId="55C39F9E" w14:textId="77777777" w:rsidTr="00EB2CE0">
        <w:trPr>
          <w:trHeight w:val="440"/>
        </w:trPr>
        <w:tc>
          <w:tcPr>
            <w:tcW w:w="1441" w:type="pct"/>
            <w:shd w:val="clear" w:color="auto" w:fill="D9D9D9" w:themeFill="background1" w:themeFillShade="D9"/>
          </w:tcPr>
          <w:p w14:paraId="60D92187" w14:textId="7CFF1887" w:rsidR="006E7EC4" w:rsidRPr="00267357" w:rsidRDefault="006E7EC4" w:rsidP="00E306DC">
            <w:pPr>
              <w:spacing w:before="120" w:after="120"/>
              <w:jc w:val="center"/>
              <w:rPr>
                <w:b/>
              </w:rPr>
            </w:pPr>
            <w:r>
              <w:rPr>
                <w:b/>
              </w:rPr>
              <w:t>If Tiering Exception(s)…</w:t>
            </w:r>
          </w:p>
        </w:tc>
        <w:tc>
          <w:tcPr>
            <w:tcW w:w="3559" w:type="pct"/>
            <w:shd w:val="clear" w:color="auto" w:fill="D9D9D9" w:themeFill="background1" w:themeFillShade="D9"/>
          </w:tcPr>
          <w:p w14:paraId="04E8103D" w14:textId="5FD6925F" w:rsidR="006E7EC4" w:rsidRPr="00267357" w:rsidRDefault="006E7EC4" w:rsidP="00E306DC">
            <w:pPr>
              <w:spacing w:before="120" w:after="120"/>
              <w:jc w:val="center"/>
              <w:rPr>
                <w:b/>
              </w:rPr>
            </w:pPr>
            <w:r>
              <w:rPr>
                <w:b/>
              </w:rPr>
              <w:t>Then…</w:t>
            </w:r>
          </w:p>
        </w:tc>
      </w:tr>
      <w:tr w:rsidR="006E7EC4" w:rsidRPr="00267357" w14:paraId="50AAF401" w14:textId="77777777" w:rsidTr="00EB2CE0">
        <w:tc>
          <w:tcPr>
            <w:tcW w:w="1441" w:type="pct"/>
          </w:tcPr>
          <w:p w14:paraId="4965408E" w14:textId="510679A8" w:rsidR="006E7EC4" w:rsidRPr="00B72B54" w:rsidRDefault="006E7EC4" w:rsidP="00E306DC">
            <w:pPr>
              <w:spacing w:before="120" w:after="120"/>
              <w:rPr>
                <w:b/>
              </w:rPr>
            </w:pPr>
            <w:r>
              <w:rPr>
                <w:b/>
              </w:rPr>
              <w:t>Approved</w:t>
            </w:r>
          </w:p>
        </w:tc>
        <w:tc>
          <w:tcPr>
            <w:tcW w:w="3559" w:type="pct"/>
          </w:tcPr>
          <w:p w14:paraId="036C48AA" w14:textId="77777777" w:rsidR="006E7EC4" w:rsidRDefault="006E7EC4" w:rsidP="00E306DC">
            <w:pPr>
              <w:spacing w:before="120" w:after="120"/>
            </w:pPr>
            <w:r w:rsidRPr="0003232C">
              <w:t>If the Tiering Exception for Value Formulary</w:t>
            </w:r>
            <w:r w:rsidRPr="0003232C">
              <w:rPr>
                <w:i/>
              </w:rPr>
              <w:t xml:space="preserve"> </w:t>
            </w:r>
            <w:r w:rsidRPr="0003232C">
              <w:t>Tiered plans is approved, the plan member will be able to obtain the targeted drug at the plan’s preferred brand copay/coinsurance.</w:t>
            </w:r>
          </w:p>
          <w:p w14:paraId="61EAAD69" w14:textId="367196AE" w:rsidR="00E14DEF" w:rsidRPr="0003232C" w:rsidRDefault="00BE2E77" w:rsidP="001046AD">
            <w:pPr>
              <w:spacing w:before="120" w:after="120"/>
            </w:pPr>
            <w:r>
              <w:rPr>
                <w:b/>
                <w:noProof/>
              </w:rPr>
              <w:drawing>
                <wp:inline distT="0" distB="0" distL="0" distR="0" wp14:anchorId="3EAE65BB" wp14:editId="43818C94">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046AD" w:rsidRPr="001046AD">
              <w:rPr>
                <w:b/>
                <w:bCs/>
              </w:rPr>
              <w:t>Note:</w:t>
            </w:r>
            <w:r w:rsidR="001046AD">
              <w:t xml:space="preserve">  </w:t>
            </w:r>
            <w:r w:rsidR="00BB515E">
              <w:t xml:space="preserve">If the </w:t>
            </w:r>
            <w:r w:rsidR="004078F6">
              <w:t>plan member</w:t>
            </w:r>
            <w:r w:rsidR="00BB515E">
              <w:t>’s deductible has not been met</w:t>
            </w:r>
            <w:r w:rsidR="005958FA">
              <w:t xml:space="preserve">, the tiering exception WILL NOT lower </w:t>
            </w:r>
            <w:r w:rsidR="00C62233">
              <w:t>the cost of the drug.</w:t>
            </w:r>
          </w:p>
          <w:p w14:paraId="6C2C48F1" w14:textId="77777777" w:rsidR="006E7EC4" w:rsidRPr="0003232C" w:rsidRDefault="006E7EC4" w:rsidP="005652FE">
            <w:pPr>
              <w:pStyle w:val="ListParagraph"/>
              <w:numPr>
                <w:ilvl w:val="0"/>
                <w:numId w:val="42"/>
              </w:numPr>
              <w:spacing w:before="120" w:after="120"/>
              <w:contextualSpacing w:val="0"/>
            </w:pPr>
            <w:r w:rsidRPr="0003232C">
              <w:t>The approval will be on file for 1-3 years, depending on the standard duration period for the drug.</w:t>
            </w:r>
          </w:p>
          <w:p w14:paraId="0E2586A4" w14:textId="009B7D96" w:rsidR="006E7EC4" w:rsidRPr="005652FE" w:rsidRDefault="006E7EC4" w:rsidP="005652FE">
            <w:pPr>
              <w:pStyle w:val="ListParagraph"/>
              <w:numPr>
                <w:ilvl w:val="0"/>
                <w:numId w:val="42"/>
              </w:numPr>
              <w:spacing w:before="120" w:after="120"/>
              <w:contextualSpacing w:val="0"/>
              <w:rPr>
                <w:b/>
              </w:rPr>
            </w:pPr>
            <w:r w:rsidRPr="0003232C">
              <w:t xml:space="preserve">After this period has elapsed, the member will need to attempt to meet the clinical requirements, or have the </w:t>
            </w:r>
            <w:r w:rsidR="00EB2CE0" w:rsidRPr="0003232C">
              <w:t>physician</w:t>
            </w:r>
            <w:r w:rsidR="00EB2CE0" w:rsidRPr="0003232C" w:rsidDel="00EB2CE0">
              <w:t xml:space="preserve"> </w:t>
            </w:r>
            <w:r w:rsidRPr="0003232C">
              <w:t>initiate a renewal request for the exception.</w:t>
            </w:r>
          </w:p>
        </w:tc>
      </w:tr>
      <w:tr w:rsidR="006E7EC4" w:rsidRPr="0003232C" w14:paraId="58992EED" w14:textId="77777777" w:rsidTr="00EB2CE0">
        <w:tc>
          <w:tcPr>
            <w:tcW w:w="1441" w:type="pct"/>
          </w:tcPr>
          <w:p w14:paraId="6BE38249" w14:textId="77777777" w:rsidR="006E7EC4" w:rsidRPr="00143ECC" w:rsidRDefault="006E7EC4" w:rsidP="00E306DC">
            <w:pPr>
              <w:spacing w:before="120" w:after="120"/>
              <w:rPr>
                <w:b/>
              </w:rPr>
            </w:pPr>
            <w:r w:rsidRPr="00143ECC">
              <w:rPr>
                <w:b/>
              </w:rPr>
              <w:t>Tiering Exceptions Reimbursement (following Exception Approval)</w:t>
            </w:r>
          </w:p>
          <w:p w14:paraId="495FAD91" w14:textId="1DE18FEF" w:rsidR="006E7EC4" w:rsidRPr="00267357" w:rsidRDefault="006E7EC4" w:rsidP="00E306DC">
            <w:pPr>
              <w:spacing w:before="120" w:after="120"/>
              <w:rPr>
                <w:b/>
              </w:rPr>
            </w:pPr>
          </w:p>
        </w:tc>
        <w:tc>
          <w:tcPr>
            <w:tcW w:w="3559" w:type="pct"/>
          </w:tcPr>
          <w:p w14:paraId="5BDB2D2B" w14:textId="77777777" w:rsidR="006E7EC4" w:rsidRPr="0003232C" w:rsidRDefault="006E7EC4" w:rsidP="00E306DC">
            <w:pPr>
              <w:spacing w:before="120" w:after="120"/>
            </w:pPr>
            <w:r w:rsidRPr="0003232C">
              <w:t>Members may request reimbursement for paying the Tier 3 coinsurance for the brand for which they have recently received a Tiering Exception. Perform the following steps to ensure the validity of this request:</w:t>
            </w:r>
          </w:p>
          <w:p w14:paraId="0260C4AF" w14:textId="682D9013" w:rsidR="006E7EC4" w:rsidRPr="0003232C" w:rsidRDefault="00E306DC" w:rsidP="005652FE">
            <w:pPr>
              <w:numPr>
                <w:ilvl w:val="0"/>
                <w:numId w:val="43"/>
              </w:numPr>
              <w:spacing w:before="120" w:after="120"/>
            </w:pPr>
            <w:r>
              <w:t xml:space="preserve">Access the </w:t>
            </w:r>
            <w:r w:rsidR="006E7EC4" w:rsidRPr="0003232C">
              <w:t xml:space="preserve">member’s </w:t>
            </w:r>
            <w:r w:rsidR="006E7EC4" w:rsidRPr="00E306DC">
              <w:rPr>
                <w:b/>
                <w:bCs/>
              </w:rPr>
              <w:t>PeopleSafe Main Screen</w:t>
            </w:r>
            <w:r w:rsidR="006E7EC4" w:rsidRPr="0003232C">
              <w:t xml:space="preserve">, click </w:t>
            </w:r>
            <w:r w:rsidR="006E7EC4" w:rsidRPr="00E306DC">
              <w:rPr>
                <w:b/>
                <w:bCs/>
              </w:rPr>
              <w:t>Plan Benefit Override</w:t>
            </w:r>
            <w:r>
              <w:t>.</w:t>
            </w:r>
          </w:p>
          <w:p w14:paraId="55661CEE" w14:textId="36FD05AA" w:rsidR="006E7EC4" w:rsidRPr="0003232C" w:rsidRDefault="006E7EC4" w:rsidP="005652FE">
            <w:pPr>
              <w:numPr>
                <w:ilvl w:val="0"/>
                <w:numId w:val="43"/>
              </w:numPr>
              <w:spacing w:before="120" w:after="120"/>
            </w:pPr>
            <w:r w:rsidRPr="0003232C">
              <w:t xml:space="preserve">Identify any “OD – Override all except DUR” overrides and click </w:t>
            </w:r>
            <w:r w:rsidRPr="00E306DC">
              <w:rPr>
                <w:b/>
                <w:bCs/>
              </w:rPr>
              <w:t>View PA Status</w:t>
            </w:r>
            <w:r w:rsidR="00E306DC">
              <w:t>.</w:t>
            </w:r>
          </w:p>
          <w:p w14:paraId="4970A882" w14:textId="2D3342D1" w:rsidR="006E7EC4" w:rsidRPr="0003232C" w:rsidRDefault="006E7EC4" w:rsidP="005652FE">
            <w:pPr>
              <w:numPr>
                <w:ilvl w:val="0"/>
                <w:numId w:val="43"/>
              </w:numPr>
              <w:spacing w:before="120" w:after="120"/>
            </w:pPr>
            <w:r w:rsidRPr="0003232C">
              <w:t>Check the Status and Resolution columns to confirm an approval of a Tiering Exception</w:t>
            </w:r>
            <w:r w:rsidR="00E306DC">
              <w:t>.</w:t>
            </w:r>
          </w:p>
          <w:p w14:paraId="01FD701A" w14:textId="22971CB3" w:rsidR="006E7EC4" w:rsidRPr="0003232C" w:rsidRDefault="006E7EC4" w:rsidP="005652FE">
            <w:pPr>
              <w:numPr>
                <w:ilvl w:val="0"/>
                <w:numId w:val="43"/>
              </w:numPr>
              <w:spacing w:before="120" w:after="120"/>
            </w:pPr>
            <w:r w:rsidRPr="0003232C">
              <w:t>Confirm the start date of the override for the Tiering Exception to ensure that the claim for which reimbursement is requested falls within those dates</w:t>
            </w:r>
            <w:r w:rsidR="00E306DC">
              <w:t>.</w:t>
            </w:r>
          </w:p>
          <w:p w14:paraId="0D53881B" w14:textId="13403AD6" w:rsidR="006E7EC4" w:rsidRPr="0003232C" w:rsidRDefault="006E7EC4" w:rsidP="005652FE">
            <w:pPr>
              <w:numPr>
                <w:ilvl w:val="1"/>
                <w:numId w:val="43"/>
              </w:numPr>
              <w:spacing w:before="120" w:after="120"/>
            </w:pPr>
            <w:r w:rsidRPr="0003232C">
              <w:t>Overrides are typically back-dated 1 month, and if a claim falls outside of that time frame the claim should not be reimbursed (or the client should be consulted under special circumstances)</w:t>
            </w:r>
            <w:r w:rsidR="00E306DC">
              <w:t>.</w:t>
            </w:r>
          </w:p>
        </w:tc>
      </w:tr>
    </w:tbl>
    <w:p w14:paraId="5E932131" w14:textId="5DB5E800" w:rsidR="004420DE" w:rsidRDefault="00D93741" w:rsidP="00433355">
      <w:pPr>
        <w:spacing w:before="120" w:after="120"/>
        <w:rPr>
          <w:bCs/>
        </w:rPr>
      </w:pPr>
      <w:r w:rsidRPr="00E671DD">
        <w:rPr>
          <w:b/>
        </w:rPr>
        <w:t>N</w:t>
      </w:r>
      <w:r w:rsidR="00E671DD" w:rsidRPr="00E671DD">
        <w:rPr>
          <w:b/>
        </w:rPr>
        <w:t>ote</w:t>
      </w:r>
      <w:r w:rsidRPr="00E671DD">
        <w:rPr>
          <w:b/>
        </w:rPr>
        <w:t>:</w:t>
      </w:r>
      <w:r>
        <w:rPr>
          <w:bCs/>
        </w:rPr>
        <w:t xml:space="preserve"> </w:t>
      </w:r>
      <w:r w:rsidR="00E671DD">
        <w:rPr>
          <w:bCs/>
        </w:rPr>
        <w:t xml:space="preserve"> </w:t>
      </w:r>
      <w:r>
        <w:rPr>
          <w:bCs/>
        </w:rPr>
        <w:t>If PA has been approved, unlike Medicare D, tiering exception process is still available if allowed by client.</w:t>
      </w:r>
    </w:p>
    <w:p w14:paraId="327C0D95" w14:textId="77777777" w:rsidR="00D93741" w:rsidRPr="00E671DD" w:rsidRDefault="00D93741" w:rsidP="004420DE">
      <w:pPr>
        <w:rPr>
          <w:bCs/>
        </w:rPr>
      </w:pPr>
    </w:p>
    <w:p w14:paraId="628BAD4E" w14:textId="3A9AA461" w:rsidR="00143ECC" w:rsidRDefault="004420DE" w:rsidP="00E306DC">
      <w:pPr>
        <w:spacing w:before="120" w:after="120"/>
      </w:pPr>
      <w:r w:rsidRPr="0003232C">
        <w:t xml:space="preserve">Once you have confirmed that the Tiering Exception applies to the member’s prescription, </w:t>
      </w:r>
      <w:r w:rsidR="00E306DC">
        <w:t>complete as appropriate: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6"/>
        <w:gridCol w:w="9684"/>
      </w:tblGrid>
      <w:tr w:rsidR="00AA2E25" w:rsidRPr="00267357" w14:paraId="3FACEEA6" w14:textId="77777777" w:rsidTr="00C23D30">
        <w:tc>
          <w:tcPr>
            <w:tcW w:w="1261" w:type="pct"/>
            <w:shd w:val="clear" w:color="auto" w:fill="D9D9D9" w:themeFill="background1" w:themeFillShade="D9"/>
          </w:tcPr>
          <w:p w14:paraId="23846C78" w14:textId="77777777" w:rsidR="00AA2E25" w:rsidRPr="00267357" w:rsidRDefault="00AA2E25" w:rsidP="00E306DC">
            <w:pPr>
              <w:spacing w:before="120" w:after="120"/>
              <w:jc w:val="center"/>
              <w:rPr>
                <w:b/>
              </w:rPr>
            </w:pPr>
            <w:r>
              <w:rPr>
                <w:b/>
              </w:rPr>
              <w:t>If</w:t>
            </w:r>
            <w:r w:rsidR="00E87A44">
              <w:rPr>
                <w:b/>
              </w:rPr>
              <w:t xml:space="preserve"> it is a</w:t>
            </w:r>
            <w:r>
              <w:rPr>
                <w:b/>
              </w:rPr>
              <w:t>..</w:t>
            </w:r>
            <w:r w:rsidR="00E87A44">
              <w:rPr>
                <w:b/>
              </w:rPr>
              <w:t>.</w:t>
            </w:r>
          </w:p>
        </w:tc>
        <w:tc>
          <w:tcPr>
            <w:tcW w:w="3739" w:type="pct"/>
            <w:shd w:val="clear" w:color="auto" w:fill="D9D9D9" w:themeFill="background1" w:themeFillShade="D9"/>
          </w:tcPr>
          <w:p w14:paraId="2A41F6FC" w14:textId="77777777" w:rsidR="00AA2E25" w:rsidRPr="00267357" w:rsidRDefault="00AA2E25" w:rsidP="00E306DC">
            <w:pPr>
              <w:spacing w:before="120" w:after="120"/>
              <w:jc w:val="center"/>
              <w:rPr>
                <w:b/>
              </w:rPr>
            </w:pPr>
            <w:r>
              <w:rPr>
                <w:b/>
              </w:rPr>
              <w:t>Then..</w:t>
            </w:r>
            <w:r w:rsidR="00E87A44">
              <w:rPr>
                <w:b/>
              </w:rPr>
              <w:t>.</w:t>
            </w:r>
          </w:p>
        </w:tc>
      </w:tr>
      <w:tr w:rsidR="00AA2E25" w14:paraId="457EF590" w14:textId="77777777" w:rsidTr="00350A32">
        <w:trPr>
          <w:trHeight w:val="1367"/>
        </w:trPr>
        <w:tc>
          <w:tcPr>
            <w:tcW w:w="1261" w:type="pct"/>
          </w:tcPr>
          <w:p w14:paraId="684C2C9F" w14:textId="77777777" w:rsidR="00AA2E25" w:rsidRPr="00FC23E4" w:rsidRDefault="00E87A44" w:rsidP="00E306DC">
            <w:pPr>
              <w:spacing w:before="120" w:after="120"/>
            </w:pPr>
            <w:r>
              <w:t>R</w:t>
            </w:r>
            <w:r w:rsidR="00AA2E25" w:rsidRPr="0003232C">
              <w:t>etail claim</w:t>
            </w:r>
          </w:p>
        </w:tc>
        <w:tc>
          <w:tcPr>
            <w:tcW w:w="3739" w:type="pct"/>
          </w:tcPr>
          <w:p w14:paraId="4D58B331" w14:textId="26923A7E" w:rsidR="00AA2E25" w:rsidRDefault="00AA2E25" w:rsidP="00E306DC">
            <w:pPr>
              <w:spacing w:before="120" w:after="120"/>
            </w:pPr>
            <w:r>
              <w:t>Call</w:t>
            </w:r>
            <w:r w:rsidRPr="0003232C">
              <w:t xml:space="preserve"> the dispensing retail pharmacy and ask them to reprocess the claim. This should be for claims that have occurred within 2 weeks of your current activity</w:t>
            </w:r>
            <w:r w:rsidR="00E306DC">
              <w:t>.</w:t>
            </w:r>
          </w:p>
          <w:p w14:paraId="72668DBB" w14:textId="52DABC3A" w:rsidR="00E306DC" w:rsidRDefault="00AA2E25" w:rsidP="00E306DC">
            <w:pPr>
              <w:numPr>
                <w:ilvl w:val="0"/>
                <w:numId w:val="22"/>
              </w:numPr>
              <w:spacing w:before="120" w:after="120"/>
              <w:ind w:left="631"/>
            </w:pPr>
            <w:r w:rsidRPr="0003232C">
              <w:t xml:space="preserve">If the pharmacy can’t reprocess the claim, </w:t>
            </w:r>
            <w:r>
              <w:t xml:space="preserve">inquire if the pharmacy can contact their </w:t>
            </w:r>
            <w:r w:rsidR="00854722">
              <w:t>third-party</w:t>
            </w:r>
            <w:r>
              <w:t xml:space="preserve"> billing company. </w:t>
            </w:r>
          </w:p>
          <w:p w14:paraId="34C35ACB" w14:textId="59A0E6AB" w:rsidR="00AA2E25" w:rsidRDefault="00AA2E25" w:rsidP="00E306DC">
            <w:pPr>
              <w:numPr>
                <w:ilvl w:val="1"/>
                <w:numId w:val="22"/>
              </w:numPr>
              <w:spacing w:before="120" w:after="120"/>
              <w:ind w:left="991"/>
            </w:pPr>
            <w:r>
              <w:t xml:space="preserve">If the pharmacy refuses or does not have a way to contact them, contact the </w:t>
            </w:r>
            <w:r w:rsidR="00E306DC">
              <w:t>S</w:t>
            </w:r>
            <w:r>
              <w:t>enior team.</w:t>
            </w:r>
          </w:p>
        </w:tc>
      </w:tr>
      <w:tr w:rsidR="00AA2E25" w14:paraId="4C20D1B9" w14:textId="77777777" w:rsidTr="00350A32">
        <w:trPr>
          <w:trHeight w:val="1160"/>
        </w:trPr>
        <w:tc>
          <w:tcPr>
            <w:tcW w:w="1261" w:type="pct"/>
          </w:tcPr>
          <w:p w14:paraId="329F6AA8" w14:textId="77777777" w:rsidR="00AA2E25" w:rsidRPr="0003232C" w:rsidRDefault="00E87A44" w:rsidP="00E306DC">
            <w:pPr>
              <w:spacing w:before="120" w:after="120"/>
            </w:pPr>
            <w:r>
              <w:t>M</w:t>
            </w:r>
            <w:r w:rsidR="00AA2E25">
              <w:t>ail order claim and the claim is less than 90 days old, or 120 days old in New York</w:t>
            </w:r>
          </w:p>
        </w:tc>
        <w:tc>
          <w:tcPr>
            <w:tcW w:w="3739" w:type="pct"/>
          </w:tcPr>
          <w:p w14:paraId="22AACC0F" w14:textId="060D2945" w:rsidR="00AA2E25" w:rsidRDefault="00AA2E25" w:rsidP="00E306DC">
            <w:pPr>
              <w:spacing w:before="120" w:after="120"/>
            </w:pPr>
            <w:r>
              <w:t>Submit a</w:t>
            </w:r>
            <w:r w:rsidR="002F5B95">
              <w:t xml:space="preserve"> Reverse and Reprocess</w:t>
            </w:r>
            <w:r>
              <w:t xml:space="preserve"> </w:t>
            </w:r>
            <w:hyperlink r:id="rId15" w:anchor="!/view?docid=5d4876c1-e43f-41d8-ba45-0e4a72aee882" w:history="1">
              <w:r w:rsidR="002F5B95">
                <w:rPr>
                  <w:rStyle w:val="Hyperlink"/>
                </w:rPr>
                <w:t xml:space="preserve">(Copay </w:t>
              </w:r>
              <w:r w:rsidR="00C8583E">
                <w:rPr>
                  <w:rStyle w:val="Hyperlink"/>
                </w:rPr>
                <w:t>–</w:t>
              </w:r>
              <w:r w:rsidR="002F5B95">
                <w:rPr>
                  <w:rStyle w:val="Hyperlink"/>
                </w:rPr>
                <w:t xml:space="preserve"> Mail Order Reverse and Reprocess Claim) (021894)</w:t>
              </w:r>
            </w:hyperlink>
            <w:r>
              <w:t xml:space="preserve"> task.  </w:t>
            </w:r>
          </w:p>
          <w:p w14:paraId="0D631333" w14:textId="77777777" w:rsidR="00AA2E25" w:rsidRDefault="00AA2E25" w:rsidP="00E306DC">
            <w:pPr>
              <w:spacing w:before="120" w:after="120"/>
            </w:pPr>
          </w:p>
          <w:p w14:paraId="2CE44466" w14:textId="77777777" w:rsidR="00AA2E25" w:rsidRDefault="00AA2E25" w:rsidP="00E306DC">
            <w:pPr>
              <w:spacing w:before="120" w:after="120"/>
            </w:pPr>
          </w:p>
        </w:tc>
      </w:tr>
      <w:tr w:rsidR="00AA2E25" w14:paraId="1281701A" w14:textId="77777777" w:rsidTr="00E306DC">
        <w:trPr>
          <w:trHeight w:val="1520"/>
        </w:trPr>
        <w:tc>
          <w:tcPr>
            <w:tcW w:w="1261" w:type="pct"/>
          </w:tcPr>
          <w:p w14:paraId="221A89CA" w14:textId="77777777" w:rsidR="00AA2E25" w:rsidRDefault="00E87A44" w:rsidP="00E306DC">
            <w:pPr>
              <w:spacing w:before="120" w:after="120"/>
            </w:pPr>
            <w:r>
              <w:t>M</w:t>
            </w:r>
            <w:r w:rsidR="00AA2E25">
              <w:t xml:space="preserve">ail order claim and it is more than 90 days old, or 120 days old in </w:t>
            </w:r>
            <w:r w:rsidR="00AA2E25" w:rsidRPr="001177DB">
              <w:rPr>
                <w:b/>
                <w:bCs/>
              </w:rPr>
              <w:t>New York</w:t>
            </w:r>
          </w:p>
        </w:tc>
        <w:tc>
          <w:tcPr>
            <w:tcW w:w="3739" w:type="pct"/>
          </w:tcPr>
          <w:p w14:paraId="6F24CD37" w14:textId="4E212544" w:rsidR="00AA2E25" w:rsidRDefault="0057245E" w:rsidP="00E306DC">
            <w:pPr>
              <w:spacing w:before="120" w:after="120"/>
            </w:pPr>
            <w:r>
              <w:t xml:space="preserve">Warm Transfer to the </w:t>
            </w:r>
            <w:r w:rsidR="00AA2E25">
              <w:t>Senior team.</w:t>
            </w:r>
          </w:p>
          <w:p w14:paraId="70BCB53A" w14:textId="0070D06D" w:rsidR="00AA2E25" w:rsidRDefault="00B72B54" w:rsidP="00E306DC">
            <w:pPr>
              <w:pStyle w:val="ListParagraph"/>
              <w:spacing w:before="120" w:after="120"/>
              <w:ind w:left="0"/>
            </w:pPr>
            <w:r>
              <w:t xml:space="preserve"> </w:t>
            </w:r>
            <w:r w:rsidR="00AA2E25" w:rsidRPr="0003232C">
              <w:t xml:space="preserve"> </w:t>
            </w:r>
          </w:p>
        </w:tc>
      </w:tr>
    </w:tbl>
    <w:p w14:paraId="111AB4C0" w14:textId="77777777" w:rsidR="004420DE" w:rsidRPr="0003232C" w:rsidRDefault="004420DE" w:rsidP="00E306DC">
      <w:pPr>
        <w:spacing w:before="120" w:after="120"/>
      </w:pPr>
    </w:p>
    <w:p w14:paraId="4894E4DE" w14:textId="57823B4F" w:rsidR="004420DE" w:rsidRPr="0003232C" w:rsidRDefault="004420DE" w:rsidP="00E306DC">
      <w:pPr>
        <w:spacing w:before="120" w:after="120"/>
        <w:rPr>
          <w:b/>
        </w:rPr>
      </w:pPr>
      <w:r w:rsidRPr="0003232C">
        <w:rPr>
          <w:b/>
        </w:rPr>
        <w:t>Tiering Exception Denied</w:t>
      </w:r>
      <w:r w:rsidR="001177DB">
        <w:rPr>
          <w:b/>
        </w:rPr>
        <w:t>:</w:t>
      </w:r>
      <w:r w:rsidRPr="0003232C">
        <w:rPr>
          <w:b/>
        </w:rPr>
        <w:t xml:space="preserve"> </w:t>
      </w:r>
    </w:p>
    <w:p w14:paraId="131CFE8E" w14:textId="77777777" w:rsidR="004420DE" w:rsidRPr="0003232C" w:rsidRDefault="004420DE" w:rsidP="00E306DC">
      <w:pPr>
        <w:spacing w:before="120" w:after="120"/>
      </w:pPr>
      <w:r w:rsidRPr="0003232C">
        <w:t xml:space="preserve">If the exception is not approved, the plan member has three options: </w:t>
      </w:r>
    </w:p>
    <w:p w14:paraId="5A5E4242" w14:textId="1C5BF11C" w:rsidR="004420DE" w:rsidRPr="0003232C" w:rsidRDefault="004420DE" w:rsidP="00E306DC">
      <w:pPr>
        <w:numPr>
          <w:ilvl w:val="0"/>
          <w:numId w:val="17"/>
        </w:numPr>
        <w:spacing w:before="120" w:after="120"/>
        <w:ind w:left="540"/>
      </w:pPr>
      <w:r w:rsidRPr="0003232C">
        <w:t>Try one of the listed alternatives</w:t>
      </w:r>
      <w:r w:rsidR="00E671DD">
        <w:t>.</w:t>
      </w:r>
    </w:p>
    <w:p w14:paraId="6D20D26A" w14:textId="0E3D708E" w:rsidR="004420DE" w:rsidRPr="0003232C" w:rsidRDefault="004420DE" w:rsidP="00E306DC">
      <w:pPr>
        <w:numPr>
          <w:ilvl w:val="0"/>
          <w:numId w:val="17"/>
        </w:numPr>
        <w:spacing w:before="120" w:after="120"/>
        <w:ind w:left="540"/>
      </w:pPr>
      <w:r w:rsidRPr="0003232C">
        <w:t>Purchase the targeted drug at 100% of the cost</w:t>
      </w:r>
      <w:r w:rsidR="00E671DD">
        <w:t>.</w:t>
      </w:r>
    </w:p>
    <w:p w14:paraId="1F3510B0" w14:textId="66139F98" w:rsidR="004420DE" w:rsidRPr="0003232C" w:rsidRDefault="004420DE" w:rsidP="00E306DC">
      <w:pPr>
        <w:numPr>
          <w:ilvl w:val="0"/>
          <w:numId w:val="17"/>
        </w:numPr>
        <w:spacing w:before="120" w:after="120"/>
        <w:ind w:left="540"/>
      </w:pPr>
      <w:r w:rsidRPr="0003232C">
        <w:t>Initiate the Appeals process if allowed by the client’s plan design</w:t>
      </w:r>
      <w:r w:rsidR="00E671DD">
        <w:t>.</w:t>
      </w:r>
      <w:r w:rsidRPr="0003232C">
        <w:t xml:space="preserve"> </w:t>
      </w:r>
    </w:p>
    <w:p w14:paraId="51CE043B" w14:textId="77777777" w:rsidR="004420DE" w:rsidRPr="0003232C" w:rsidRDefault="004420DE" w:rsidP="00E306DC">
      <w:pPr>
        <w:spacing w:before="120" w:after="120"/>
        <w:ind w:left="720"/>
      </w:pPr>
    </w:p>
    <w:p w14:paraId="67853288" w14:textId="77777777" w:rsidR="004420DE" w:rsidRPr="0003232C" w:rsidRDefault="004420DE" w:rsidP="00E306DC">
      <w:pPr>
        <w:spacing w:before="120" w:after="120"/>
        <w:rPr>
          <w:b/>
        </w:rPr>
      </w:pPr>
      <w:r w:rsidRPr="0003232C">
        <w:rPr>
          <w:b/>
        </w:rPr>
        <w:t xml:space="preserve">Appeals Requests: </w:t>
      </w:r>
    </w:p>
    <w:p w14:paraId="7BF08935" w14:textId="18A1C821" w:rsidR="004420DE" w:rsidRDefault="004420DE" w:rsidP="00E306DC">
      <w:pPr>
        <w:spacing w:before="120" w:after="120"/>
      </w:pPr>
      <w:r w:rsidRPr="0003232C">
        <w:t xml:space="preserve">All VF clients should be set up for the standard PBM appeals process. </w:t>
      </w:r>
      <w:r w:rsidR="0057245E">
        <w:t>R</w:t>
      </w:r>
      <w:r w:rsidRPr="0003232C">
        <w:t xml:space="preserve">efer to the </w:t>
      </w:r>
      <w:hyperlink r:id="rId16" w:anchor="!/view?docid=cd7126d2-19b7-4743-913c-8e9dd7329c08" w:history="1">
        <w:r w:rsidR="00C8583E">
          <w:rPr>
            <w:rStyle w:val="Hyperlink"/>
            <w:u w:val="none"/>
          </w:rPr>
          <w:t>Appeals (007339)</w:t>
        </w:r>
      </w:hyperlink>
      <w:r w:rsidR="00C8583E">
        <w:rPr>
          <w:rStyle w:val="Hyperlink"/>
          <w:u w:val="none"/>
        </w:rPr>
        <w:t xml:space="preserve"> </w:t>
      </w:r>
      <w:r w:rsidR="00D94EE9" w:rsidRPr="00D94EE9">
        <w:rPr>
          <w:rStyle w:val="Hyperlink"/>
          <w:color w:val="auto"/>
          <w:u w:val="none"/>
        </w:rPr>
        <w:t xml:space="preserve">work instruction </w:t>
      </w:r>
      <w:r w:rsidRPr="0003232C">
        <w:t>to assist members in understanding the process for the filing of claims and the process for Appeals.</w:t>
      </w:r>
    </w:p>
    <w:p w14:paraId="55CCB57B" w14:textId="77777777" w:rsidR="00610917" w:rsidRDefault="00610917" w:rsidP="004420DE"/>
    <w:bookmarkStart w:id="4" w:name="OLE_LINK73"/>
    <w:p w14:paraId="27018EE7" w14:textId="4BBC8D8E" w:rsidR="00E0031E" w:rsidRDefault="00A01502" w:rsidP="00985C5F">
      <w:pPr>
        <w:jc w:val="right"/>
        <w:rPr>
          <w:rStyle w:val="Hyperlink"/>
        </w:rPr>
      </w:pPr>
      <w:r>
        <w:fldChar w:fldCharType="begin"/>
      </w:r>
      <w:r>
        <w:instrText xml:space="preserve"> HYPERLINK  \l "_top" </w:instrText>
      </w:r>
      <w:r>
        <w:fldChar w:fldCharType="separate"/>
      </w:r>
      <w:r w:rsidR="00985C5F" w:rsidRPr="00A01502">
        <w:rPr>
          <w:rStyle w:val="Hyperlink"/>
        </w:rPr>
        <w:t>Top of the Document</w:t>
      </w:r>
      <w: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095EF3" w14:paraId="031B35CC" w14:textId="77777777" w:rsidTr="00A0150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C19C158" w14:textId="020F86B2" w:rsidR="00095EF3" w:rsidRPr="0069419F" w:rsidRDefault="00095EF3">
            <w:pPr>
              <w:pStyle w:val="Heading2"/>
              <w:tabs>
                <w:tab w:val="left" w:pos="11985"/>
              </w:tabs>
              <w:spacing w:before="120" w:after="120"/>
              <w:rPr>
                <w:rFonts w:ascii="Verdana" w:hAnsi="Verdana"/>
                <w:i w:val="0"/>
                <w:iCs w:val="0"/>
              </w:rPr>
            </w:pPr>
            <w:bookmarkStart w:id="5" w:name="_Toc134530276"/>
            <w:bookmarkEnd w:id="4"/>
            <w:r w:rsidRPr="0069419F">
              <w:rPr>
                <w:rFonts w:ascii="Verdana" w:hAnsi="Verdana"/>
                <w:i w:val="0"/>
                <w:iCs w:val="0"/>
              </w:rPr>
              <w:t>W</w:t>
            </w:r>
            <w:r w:rsidRPr="00C23D30">
              <w:rPr>
                <w:rFonts w:ascii="Verdana" w:hAnsi="Verdana"/>
                <w:i w:val="0"/>
                <w:iCs w:val="0"/>
              </w:rPr>
              <w:t>hen to Contact the Senior Team</w:t>
            </w:r>
            <w:bookmarkEnd w:id="5"/>
          </w:p>
        </w:tc>
      </w:tr>
    </w:tbl>
    <w:p w14:paraId="45EB8B15" w14:textId="77777777" w:rsidR="00095EF3" w:rsidRDefault="00095EF3" w:rsidP="00095EF3"/>
    <w:p w14:paraId="05AC1B8B" w14:textId="4D8D6F6A" w:rsidR="00C41611" w:rsidRPr="001046AD" w:rsidRDefault="00095EF3" w:rsidP="00C23D30">
      <w:pPr>
        <w:spacing w:before="120" w:after="120"/>
        <w:textAlignment w:val="top"/>
        <w:rPr>
          <w:rStyle w:val="Hyperlink"/>
          <w:rFonts w:cs="Arial"/>
          <w:bCs/>
          <w:color w:val="auto"/>
          <w:u w:val="none"/>
        </w:rPr>
      </w:pPr>
      <w:r w:rsidRPr="001046AD">
        <w:rPr>
          <w:rFonts w:cs="Arial"/>
          <w:bCs/>
        </w:rPr>
        <w:t>Contact the Senior Team in the following situations:</w:t>
      </w:r>
    </w:p>
    <w:p w14:paraId="148EB5C4" w14:textId="0E57A40B" w:rsidR="00095EF3" w:rsidRDefault="001046AD" w:rsidP="00C8583E">
      <w:pPr>
        <w:pStyle w:val="ListParagraph"/>
        <w:numPr>
          <w:ilvl w:val="0"/>
          <w:numId w:val="34"/>
        </w:numPr>
        <w:spacing w:before="120" w:after="120"/>
        <w:contextualSpacing w:val="0"/>
        <w:rPr>
          <w:rFonts w:ascii="Calibri" w:hAnsi="Calibri"/>
          <w:b/>
          <w:bCs/>
          <w:color w:val="000000"/>
          <w:sz w:val="22"/>
          <w:szCs w:val="22"/>
        </w:rPr>
      </w:pPr>
      <w:r>
        <w:rPr>
          <w:color w:val="000000"/>
        </w:rPr>
        <w:t>The t</w:t>
      </w:r>
      <w:r w:rsidR="00095EF3">
        <w:rPr>
          <w:color w:val="000000"/>
        </w:rPr>
        <w:t xml:space="preserve">iering exception is </w:t>
      </w:r>
      <w:proofErr w:type="gramStart"/>
      <w:r w:rsidR="00095EF3">
        <w:rPr>
          <w:color w:val="000000"/>
        </w:rPr>
        <w:t>approved</w:t>
      </w:r>
      <w:proofErr w:type="gramEnd"/>
      <w:r w:rsidR="00095EF3">
        <w:rPr>
          <w:color w:val="000000"/>
        </w:rPr>
        <w:t xml:space="preserve"> and pharmacy refuses to reverse and reprocess the claim</w:t>
      </w:r>
      <w:r>
        <w:rPr>
          <w:color w:val="000000"/>
        </w:rPr>
        <w:t>.</w:t>
      </w:r>
    </w:p>
    <w:p w14:paraId="41DFDB19" w14:textId="65E1B06F" w:rsidR="00095EF3" w:rsidRDefault="001046AD" w:rsidP="00C8583E">
      <w:pPr>
        <w:pStyle w:val="ListParagraph"/>
        <w:numPr>
          <w:ilvl w:val="0"/>
          <w:numId w:val="34"/>
        </w:numPr>
        <w:spacing w:before="120" w:after="120"/>
        <w:contextualSpacing w:val="0"/>
        <w:rPr>
          <w:b/>
          <w:bCs/>
          <w:color w:val="000000"/>
        </w:rPr>
      </w:pPr>
      <w:r>
        <w:rPr>
          <w:color w:val="000000"/>
        </w:rPr>
        <w:t>T</w:t>
      </w:r>
      <w:r w:rsidR="00095EF3">
        <w:rPr>
          <w:color w:val="000000"/>
        </w:rPr>
        <w:t xml:space="preserve">he Tiering exception is </w:t>
      </w:r>
      <w:proofErr w:type="gramStart"/>
      <w:r w:rsidR="00095EF3">
        <w:rPr>
          <w:color w:val="000000"/>
        </w:rPr>
        <w:t>approved</w:t>
      </w:r>
      <w:proofErr w:type="gramEnd"/>
      <w:r w:rsidR="00095EF3">
        <w:rPr>
          <w:color w:val="000000"/>
        </w:rPr>
        <w:t xml:space="preserve"> and the pharmacy refuses to contact their Third-Party Billing Company</w:t>
      </w:r>
      <w:r>
        <w:rPr>
          <w:color w:val="000000"/>
        </w:rPr>
        <w:t>.</w:t>
      </w:r>
    </w:p>
    <w:p w14:paraId="43E51F14" w14:textId="1E3A820B" w:rsidR="00095EF3" w:rsidRDefault="001046AD" w:rsidP="00C8583E">
      <w:pPr>
        <w:pStyle w:val="ListParagraph"/>
        <w:numPr>
          <w:ilvl w:val="0"/>
          <w:numId w:val="34"/>
        </w:numPr>
        <w:spacing w:before="120" w:after="120"/>
        <w:contextualSpacing w:val="0"/>
        <w:rPr>
          <w:b/>
          <w:bCs/>
          <w:color w:val="000000"/>
        </w:rPr>
      </w:pPr>
      <w:r>
        <w:rPr>
          <w:color w:val="000000"/>
        </w:rPr>
        <w:t>T</w:t>
      </w:r>
      <w:r w:rsidR="00095EF3">
        <w:rPr>
          <w:color w:val="000000"/>
        </w:rPr>
        <w:t xml:space="preserve">he claim is a Mail order </w:t>
      </w:r>
      <w:proofErr w:type="gramStart"/>
      <w:r w:rsidR="00095EF3">
        <w:rPr>
          <w:color w:val="000000"/>
        </w:rPr>
        <w:t>claim</w:t>
      </w:r>
      <w:proofErr w:type="gramEnd"/>
      <w:r w:rsidR="00095EF3">
        <w:rPr>
          <w:color w:val="000000"/>
        </w:rPr>
        <w:t xml:space="preserve"> and it is more than 90 days old; or more than 120 days old in </w:t>
      </w:r>
      <w:r w:rsidR="00095EF3">
        <w:rPr>
          <w:b/>
          <w:bCs/>
          <w:color w:val="000000"/>
        </w:rPr>
        <w:t>New York</w:t>
      </w:r>
      <w:r w:rsidR="00095EF3" w:rsidRPr="00C23D30">
        <w:rPr>
          <w:color w:val="000000"/>
        </w:rPr>
        <w:t>.</w:t>
      </w:r>
    </w:p>
    <w:p w14:paraId="47E629AB" w14:textId="459BB32B" w:rsidR="00095EF3" w:rsidRDefault="00095EF3" w:rsidP="00C8583E">
      <w:pPr>
        <w:pStyle w:val="ListParagraph"/>
        <w:numPr>
          <w:ilvl w:val="0"/>
          <w:numId w:val="34"/>
        </w:numPr>
        <w:spacing w:before="120" w:after="120"/>
        <w:contextualSpacing w:val="0"/>
      </w:pPr>
      <w:r>
        <w:t>Member escalation</w:t>
      </w:r>
      <w:r w:rsidR="0017090F">
        <w:t>.</w:t>
      </w:r>
    </w:p>
    <w:p w14:paraId="538BC8AB" w14:textId="5764D8E1" w:rsidR="00095EF3" w:rsidRDefault="00095EF3" w:rsidP="00095EF3">
      <w:pPr>
        <w:rPr>
          <w:rStyle w:val="Hyperlink"/>
        </w:rPr>
      </w:pPr>
    </w:p>
    <w:p w14:paraId="52E10741" w14:textId="737BA3A0" w:rsidR="00095EF3" w:rsidRPr="00C23D30" w:rsidRDefault="00095EF3" w:rsidP="00095EF3">
      <w:pPr>
        <w:rPr>
          <w:rStyle w:val="Hyperlink"/>
          <w:color w:val="auto"/>
          <w:u w:val="none"/>
        </w:rPr>
      </w:pPr>
      <w:r w:rsidRPr="00C23D30">
        <w:rPr>
          <w:rStyle w:val="Hyperlink"/>
          <w:color w:val="auto"/>
          <w:u w:val="none"/>
        </w:rPr>
        <w:t xml:space="preserve">If none of the above situations apply and you still cannot resolve the situation, refer to </w:t>
      </w:r>
      <w:hyperlink r:id="rId17" w:anchor="!/view?docid=9eef064d-c7d7-42f7-9026-1497496b4d51" w:history="1">
        <w:r w:rsidR="00C8583E">
          <w:rPr>
            <w:rStyle w:val="Hyperlink"/>
            <w:rFonts w:cs="Helvetica"/>
            <w:shd w:val="clear" w:color="auto" w:fill="FFFFFF"/>
          </w:rPr>
          <w:t>When to Transfer Calls to the Senior Team (016311)</w:t>
        </w:r>
      </w:hyperlink>
      <w:r w:rsidR="00BF4C2F">
        <w:rPr>
          <w:rFonts w:cs="Helvetica"/>
          <w:shd w:val="clear" w:color="auto" w:fill="FFFFFF"/>
        </w:rPr>
        <w:t>.</w:t>
      </w:r>
    </w:p>
    <w:p w14:paraId="59C4341D" w14:textId="571016E6" w:rsidR="00095EF3" w:rsidRDefault="00095EF3" w:rsidP="00095EF3">
      <w:pPr>
        <w:rPr>
          <w:rStyle w:val="Hyperlink"/>
        </w:rPr>
      </w:pPr>
    </w:p>
    <w:p w14:paraId="1F4B51A5" w14:textId="77777777" w:rsidR="00095EF3" w:rsidRDefault="00095EF3" w:rsidP="00095EF3">
      <w:pPr>
        <w:rPr>
          <w:rStyle w:val="Hyperlink"/>
        </w:rPr>
      </w:pPr>
    </w:p>
    <w:p w14:paraId="46C0EA40" w14:textId="4B23797B" w:rsidR="00095EF3" w:rsidRDefault="00000000" w:rsidP="00095EF3">
      <w:pPr>
        <w:jc w:val="right"/>
        <w:rPr>
          <w:rStyle w:val="Hyperlink"/>
        </w:rPr>
      </w:pPr>
      <w:hyperlink w:anchor="_top" w:history="1">
        <w:r w:rsidR="00095EF3" w:rsidRPr="00A01502">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E0031E" w:rsidRPr="0058134F" w14:paraId="3B6C07D4" w14:textId="77777777" w:rsidTr="00A01502">
        <w:tc>
          <w:tcPr>
            <w:tcW w:w="5000" w:type="pct"/>
            <w:shd w:val="clear" w:color="auto" w:fill="C0C0C0"/>
          </w:tcPr>
          <w:p w14:paraId="01D3F509" w14:textId="77777777" w:rsidR="00E0031E" w:rsidRPr="0058134F" w:rsidRDefault="00432CF9" w:rsidP="00E306DC">
            <w:pPr>
              <w:pStyle w:val="Heading2"/>
              <w:tabs>
                <w:tab w:val="left" w:pos="11985"/>
              </w:tabs>
              <w:spacing w:before="120" w:after="120"/>
              <w:rPr>
                <w:rFonts w:ascii="Verdana" w:hAnsi="Verdana"/>
                <w:i w:val="0"/>
                <w:iCs w:val="0"/>
              </w:rPr>
            </w:pPr>
            <w:bookmarkStart w:id="6" w:name="_Toc524343337"/>
            <w:bookmarkStart w:id="7" w:name="_Toc134530277"/>
            <w:bookmarkStart w:id="8" w:name="OLE_LINK71"/>
            <w:bookmarkStart w:id="9" w:name="OLE_LINK2"/>
            <w:bookmarkStart w:id="10" w:name="OLE_LINK72"/>
            <w:r>
              <w:rPr>
                <w:rFonts w:ascii="Verdana" w:hAnsi="Verdana"/>
                <w:i w:val="0"/>
                <w:iCs w:val="0"/>
              </w:rPr>
              <w:t>Identifying Value Formulary Targeted Drugs and Providing Alternatives or Explaining Clinical Requirements</w:t>
            </w:r>
            <w:bookmarkEnd w:id="6"/>
            <w:bookmarkEnd w:id="7"/>
          </w:p>
        </w:tc>
      </w:tr>
      <w:bookmarkEnd w:id="8"/>
      <w:bookmarkEnd w:id="9"/>
    </w:tbl>
    <w:p w14:paraId="3A751447" w14:textId="77777777" w:rsidR="00E0031E" w:rsidRDefault="00E0031E" w:rsidP="00350A32"/>
    <w:p w14:paraId="3897C47B" w14:textId="77777777" w:rsidR="00432CF9" w:rsidRPr="0058134F" w:rsidRDefault="00432CF9" w:rsidP="00303462">
      <w:pPr>
        <w:spacing w:before="120" w:after="120"/>
        <w:textAlignment w:val="top"/>
        <w:rPr>
          <w:rFonts w:cs="Arial"/>
          <w:bCs/>
          <w:color w:val="333333"/>
        </w:rPr>
      </w:pPr>
      <w:r>
        <w:rPr>
          <w:rFonts w:cs="Arial"/>
          <w:bCs/>
          <w:color w:val="333333"/>
        </w:rPr>
        <w:t>Perform the steps below</w:t>
      </w:r>
      <w:r w:rsidRPr="0058134F">
        <w:rPr>
          <w:rFonts w:cs="Arial"/>
          <w:bCs/>
          <w:color w:val="333333"/>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4"/>
        <w:gridCol w:w="12126"/>
      </w:tblGrid>
      <w:tr w:rsidR="00432CF9" w:rsidRPr="00432CF9" w14:paraId="2E447B79" w14:textId="77777777" w:rsidTr="001177DB">
        <w:tc>
          <w:tcPr>
            <w:tcW w:w="292" w:type="pct"/>
            <w:shd w:val="clear" w:color="auto" w:fill="D9D9D9" w:themeFill="background1" w:themeFillShade="D9"/>
          </w:tcPr>
          <w:bookmarkEnd w:id="10"/>
          <w:p w14:paraId="3159709C" w14:textId="77777777" w:rsidR="00432CF9" w:rsidRPr="00432CF9" w:rsidRDefault="00432CF9" w:rsidP="00E306DC">
            <w:pPr>
              <w:spacing w:before="120" w:after="120" w:line="240" w:lineRule="atLeast"/>
              <w:jc w:val="center"/>
              <w:textAlignment w:val="top"/>
              <w:rPr>
                <w:rFonts w:cs="Arial"/>
                <w:b/>
                <w:bCs/>
                <w:color w:val="333333"/>
              </w:rPr>
            </w:pPr>
            <w:r w:rsidRPr="00432CF9">
              <w:rPr>
                <w:rFonts w:cs="Arial"/>
                <w:b/>
                <w:bCs/>
                <w:color w:val="333333"/>
              </w:rPr>
              <w:t xml:space="preserve">Step </w:t>
            </w:r>
          </w:p>
        </w:tc>
        <w:tc>
          <w:tcPr>
            <w:tcW w:w="4708" w:type="pct"/>
            <w:shd w:val="clear" w:color="auto" w:fill="D9D9D9" w:themeFill="background1" w:themeFillShade="D9"/>
          </w:tcPr>
          <w:p w14:paraId="4F41E6EA" w14:textId="77777777" w:rsidR="00432CF9" w:rsidRPr="00432CF9" w:rsidRDefault="00432CF9" w:rsidP="00E306DC">
            <w:pPr>
              <w:spacing w:before="120" w:after="120" w:line="240" w:lineRule="atLeast"/>
              <w:jc w:val="center"/>
              <w:textAlignment w:val="top"/>
              <w:rPr>
                <w:rFonts w:cs="Arial"/>
                <w:b/>
                <w:bCs/>
                <w:color w:val="333333"/>
              </w:rPr>
            </w:pPr>
            <w:r w:rsidRPr="00432CF9">
              <w:rPr>
                <w:rFonts w:cs="Arial"/>
                <w:b/>
                <w:bCs/>
                <w:color w:val="333333"/>
              </w:rPr>
              <w:t xml:space="preserve">Action </w:t>
            </w:r>
          </w:p>
        </w:tc>
      </w:tr>
      <w:tr w:rsidR="00432CF9" w:rsidRPr="00432CF9" w14:paraId="72CEE839" w14:textId="77777777" w:rsidTr="001177DB">
        <w:tc>
          <w:tcPr>
            <w:tcW w:w="292" w:type="pct"/>
          </w:tcPr>
          <w:p w14:paraId="144189FB" w14:textId="77777777" w:rsidR="00432CF9" w:rsidRPr="00432CF9" w:rsidRDefault="00432CF9" w:rsidP="00E306DC">
            <w:pPr>
              <w:spacing w:before="120" w:after="120" w:line="240" w:lineRule="atLeast"/>
              <w:jc w:val="center"/>
              <w:textAlignment w:val="top"/>
              <w:rPr>
                <w:rFonts w:cs="Arial"/>
                <w:b/>
                <w:bCs/>
                <w:color w:val="333333"/>
              </w:rPr>
            </w:pPr>
            <w:r w:rsidRPr="001046AD">
              <w:rPr>
                <w:rFonts w:cs="Arial"/>
                <w:b/>
                <w:bCs/>
              </w:rPr>
              <w:t>1</w:t>
            </w:r>
          </w:p>
        </w:tc>
        <w:tc>
          <w:tcPr>
            <w:tcW w:w="4708" w:type="pct"/>
          </w:tcPr>
          <w:p w14:paraId="140A864D" w14:textId="100C9361" w:rsidR="00432CF9" w:rsidRPr="00432CF9" w:rsidRDefault="00E306DC" w:rsidP="00E306DC">
            <w:pPr>
              <w:spacing w:before="120" w:after="120" w:line="240" w:lineRule="atLeast"/>
              <w:textAlignment w:val="top"/>
              <w:rPr>
                <w:rFonts w:cs="Arial"/>
                <w:bCs/>
                <w:color w:val="333333"/>
              </w:rPr>
            </w:pPr>
            <w:r>
              <w:rPr>
                <w:rFonts w:cs="Arial"/>
                <w:bCs/>
                <w:color w:val="333333"/>
              </w:rPr>
              <w:t xml:space="preserve">Refer to </w:t>
            </w:r>
            <w:hyperlink r:id="rId18" w:history="1">
              <w:r w:rsidR="0057245E">
                <w:rPr>
                  <w:rStyle w:val="Hyperlink"/>
                  <w:rFonts w:cs="Arial"/>
                  <w:bCs/>
                </w:rPr>
                <w:t>Value Formulary Medicines with Clinical Requirements</w:t>
              </w:r>
            </w:hyperlink>
            <w:r>
              <w:rPr>
                <w:rFonts w:cs="Arial"/>
                <w:bCs/>
                <w:color w:val="333333"/>
              </w:rPr>
              <w:t>.</w:t>
            </w:r>
          </w:p>
        </w:tc>
      </w:tr>
      <w:tr w:rsidR="00432CF9" w:rsidRPr="00432CF9" w14:paraId="5D20099B" w14:textId="77777777" w:rsidTr="001177DB">
        <w:tc>
          <w:tcPr>
            <w:tcW w:w="292" w:type="pct"/>
          </w:tcPr>
          <w:p w14:paraId="06AFD204" w14:textId="77777777" w:rsidR="00432CF9" w:rsidRPr="00432CF9" w:rsidRDefault="00432CF9" w:rsidP="00E306DC">
            <w:pPr>
              <w:spacing w:before="120" w:after="120" w:line="240" w:lineRule="atLeast"/>
              <w:jc w:val="center"/>
              <w:textAlignment w:val="top"/>
              <w:rPr>
                <w:rFonts w:cs="Arial"/>
                <w:b/>
                <w:bCs/>
                <w:color w:val="333333"/>
              </w:rPr>
            </w:pPr>
            <w:r w:rsidRPr="001046AD">
              <w:rPr>
                <w:rFonts w:cs="Arial"/>
                <w:b/>
                <w:bCs/>
              </w:rPr>
              <w:t>2</w:t>
            </w:r>
          </w:p>
        </w:tc>
        <w:tc>
          <w:tcPr>
            <w:tcW w:w="4708" w:type="pct"/>
          </w:tcPr>
          <w:p w14:paraId="22241400" w14:textId="69412ABC" w:rsidR="00432CF9" w:rsidRPr="00432CF9" w:rsidRDefault="00432CF9" w:rsidP="00E306DC">
            <w:pPr>
              <w:spacing w:before="120" w:after="120" w:line="240" w:lineRule="atLeast"/>
              <w:textAlignment w:val="top"/>
              <w:rPr>
                <w:rFonts w:cs="Arial"/>
                <w:bCs/>
                <w:color w:val="333333"/>
              </w:rPr>
            </w:pPr>
            <w:r w:rsidRPr="00432CF9">
              <w:t xml:space="preserve">Read </w:t>
            </w:r>
            <w:r w:rsidR="0057245E">
              <w:t xml:space="preserve">the </w:t>
            </w:r>
            <w:r w:rsidRPr="00432CF9">
              <w:t>introductory paragraphs to ensure that the document is appropriate to the member’s question</w:t>
            </w:r>
            <w:r w:rsidR="00B72B54">
              <w:t>.</w:t>
            </w:r>
            <w:r w:rsidRPr="00432CF9">
              <w:t xml:space="preserve"> </w:t>
            </w:r>
          </w:p>
        </w:tc>
      </w:tr>
      <w:tr w:rsidR="00B72B54" w:rsidRPr="00432CF9" w14:paraId="050601B3" w14:textId="77777777" w:rsidTr="001177DB">
        <w:trPr>
          <w:trHeight w:val="1167"/>
        </w:trPr>
        <w:tc>
          <w:tcPr>
            <w:tcW w:w="292" w:type="pct"/>
          </w:tcPr>
          <w:p w14:paraId="52390734" w14:textId="6496F8E3" w:rsidR="00B72B54" w:rsidRPr="00432CF9" w:rsidRDefault="00B72B54" w:rsidP="00E306DC">
            <w:pPr>
              <w:spacing w:before="120" w:after="120" w:line="240" w:lineRule="atLeast"/>
              <w:jc w:val="center"/>
              <w:textAlignment w:val="top"/>
              <w:rPr>
                <w:rFonts w:cs="Arial"/>
                <w:b/>
                <w:bCs/>
                <w:color w:val="333333"/>
              </w:rPr>
            </w:pPr>
            <w:r w:rsidRPr="001046AD">
              <w:rPr>
                <w:rFonts w:cs="Arial"/>
                <w:b/>
                <w:bCs/>
              </w:rPr>
              <w:t>3</w:t>
            </w:r>
          </w:p>
        </w:tc>
        <w:tc>
          <w:tcPr>
            <w:tcW w:w="4708" w:type="pct"/>
          </w:tcPr>
          <w:p w14:paraId="644B0698" w14:textId="04114C30" w:rsidR="00B72B54" w:rsidRPr="00432CF9" w:rsidRDefault="00B72B54" w:rsidP="00E306DC">
            <w:pPr>
              <w:spacing w:before="120" w:after="120" w:line="240" w:lineRule="atLeast"/>
              <w:textAlignment w:val="top"/>
            </w:pPr>
            <w:r w:rsidRPr="00432CF9">
              <w:t xml:space="preserve">Press </w:t>
            </w:r>
            <w:r w:rsidRPr="00432CF9">
              <w:rPr>
                <w:b/>
              </w:rPr>
              <w:t xml:space="preserve">Ctrl + F </w:t>
            </w:r>
            <w:r w:rsidRPr="00432CF9">
              <w:t>to open the “Find” box</w:t>
            </w:r>
            <w:r>
              <w:t xml:space="preserve"> then </w:t>
            </w:r>
            <w:r w:rsidR="00303462">
              <w:t>t</w:t>
            </w:r>
            <w:r w:rsidRPr="00432CF9">
              <w:t xml:space="preserve">ype in the name of the targeted drug and press </w:t>
            </w:r>
            <w:r w:rsidRPr="00303462">
              <w:rPr>
                <w:b/>
                <w:bCs/>
              </w:rPr>
              <w:t>Enter</w:t>
            </w:r>
            <w:r w:rsidRPr="00432CF9">
              <w:t xml:space="preserve">. </w:t>
            </w:r>
          </w:p>
          <w:p w14:paraId="6107D868" w14:textId="428AACDD" w:rsidR="00B72B54" w:rsidRPr="00432CF9" w:rsidRDefault="00B72B54" w:rsidP="00E306DC">
            <w:pPr>
              <w:spacing w:before="120" w:after="120"/>
            </w:pPr>
            <w:r w:rsidRPr="00432CF9">
              <w:rPr>
                <w:b/>
              </w:rPr>
              <w:t>Result</w:t>
            </w:r>
            <w:r w:rsidRPr="001177DB">
              <w:rPr>
                <w:b/>
                <w:bCs/>
              </w:rPr>
              <w:t>:</w:t>
            </w:r>
            <w:r w:rsidRPr="00432CF9">
              <w:t xml:space="preserve"> </w:t>
            </w:r>
            <w:r w:rsidR="00315951">
              <w:t xml:space="preserve"> </w:t>
            </w:r>
            <w:r w:rsidR="00C92EBE">
              <w:t>The b</w:t>
            </w:r>
            <w:r w:rsidRPr="00432CF9">
              <w:t>ox that</w:t>
            </w:r>
            <w:r w:rsidR="00C92EBE">
              <w:t xml:space="preserve"> lists</w:t>
            </w:r>
            <w:r w:rsidRPr="00432CF9">
              <w:t xml:space="preserve"> the drug name is selected.</w:t>
            </w:r>
          </w:p>
        </w:tc>
      </w:tr>
      <w:tr w:rsidR="00432CF9" w:rsidRPr="00432CF9" w14:paraId="00203658" w14:textId="77777777" w:rsidTr="001177DB">
        <w:tc>
          <w:tcPr>
            <w:tcW w:w="292" w:type="pct"/>
          </w:tcPr>
          <w:p w14:paraId="527BE36D" w14:textId="17BCFC6D" w:rsidR="00432CF9" w:rsidRPr="001046AD" w:rsidRDefault="00B72B54" w:rsidP="00E306DC">
            <w:pPr>
              <w:spacing w:before="120" w:after="120" w:line="240" w:lineRule="atLeast"/>
              <w:jc w:val="center"/>
              <w:textAlignment w:val="top"/>
              <w:rPr>
                <w:rFonts w:cs="Arial"/>
                <w:b/>
                <w:bCs/>
              </w:rPr>
            </w:pPr>
            <w:r w:rsidRPr="001046AD">
              <w:rPr>
                <w:rFonts w:cs="Arial"/>
                <w:b/>
                <w:bCs/>
              </w:rPr>
              <w:t>4</w:t>
            </w:r>
          </w:p>
        </w:tc>
        <w:tc>
          <w:tcPr>
            <w:tcW w:w="4708" w:type="pct"/>
          </w:tcPr>
          <w:p w14:paraId="75D0BDA9" w14:textId="77777777" w:rsidR="00432CF9" w:rsidRPr="00432CF9" w:rsidRDefault="00432CF9" w:rsidP="00E306DC">
            <w:pPr>
              <w:spacing w:before="120" w:after="120"/>
            </w:pPr>
            <w:r w:rsidRPr="00432CF9">
              <w:t xml:space="preserve">Provide the information that directly ties to the drug in question. </w:t>
            </w:r>
          </w:p>
          <w:p w14:paraId="64090044" w14:textId="2050B123" w:rsidR="00432CF9" w:rsidRPr="00432CF9" w:rsidRDefault="00432CF9" w:rsidP="00E306DC">
            <w:pPr>
              <w:spacing w:before="120" w:after="120"/>
            </w:pPr>
            <w:r w:rsidRPr="00432CF9">
              <w:rPr>
                <w:b/>
              </w:rPr>
              <w:t>Note</w:t>
            </w:r>
            <w:r w:rsidRPr="00C8583E">
              <w:rPr>
                <w:b/>
                <w:bCs/>
              </w:rPr>
              <w:t>:</w:t>
            </w:r>
            <w:r w:rsidRPr="00432CF9">
              <w:t xml:space="preserve"> </w:t>
            </w:r>
            <w:r w:rsidR="00315951">
              <w:t xml:space="preserve"> </w:t>
            </w:r>
            <w:r w:rsidRPr="00432CF9">
              <w:t>If there are numerous drug names, ask the member if they have a pen and paper to write them down.</w:t>
            </w:r>
          </w:p>
          <w:p w14:paraId="485C24EB" w14:textId="77777777" w:rsidR="00432CF9" w:rsidRPr="00432CF9" w:rsidRDefault="00432CF9" w:rsidP="00E306DC">
            <w:pPr>
              <w:spacing w:before="120" w:after="120"/>
            </w:pPr>
          </w:p>
          <w:p w14:paraId="12011AA6" w14:textId="3FFFD183" w:rsidR="00432CF9" w:rsidRPr="00432CF9" w:rsidRDefault="00432CF9" w:rsidP="005652FE">
            <w:pPr>
              <w:pStyle w:val="ListParagraph"/>
              <w:numPr>
                <w:ilvl w:val="0"/>
                <w:numId w:val="44"/>
              </w:numPr>
              <w:spacing w:before="120" w:after="120"/>
              <w:contextualSpacing w:val="0"/>
            </w:pPr>
            <w:r w:rsidRPr="005652FE">
              <w:rPr>
                <w:b/>
              </w:rPr>
              <w:t>PA</w:t>
            </w:r>
            <w:r w:rsidRPr="00432CF9">
              <w:t xml:space="preserve">: </w:t>
            </w:r>
            <w:r w:rsidR="00B72B54">
              <w:t xml:space="preserve"> </w:t>
            </w:r>
            <w:r w:rsidRPr="00432CF9">
              <w:t xml:space="preserve">Primary Clinical Requirements </w:t>
            </w:r>
            <w:r w:rsidR="007A2019" w:rsidRPr="00432CF9">
              <w:t>to</w:t>
            </w:r>
            <w:r w:rsidRPr="00432CF9">
              <w:t xml:space="preserve"> Consider column</w:t>
            </w:r>
            <w:r w:rsidR="001177DB">
              <w:t>.</w:t>
            </w:r>
          </w:p>
          <w:p w14:paraId="4F680C86" w14:textId="56144582" w:rsidR="00432CF9" w:rsidRPr="00432CF9" w:rsidRDefault="00432CF9" w:rsidP="005652FE">
            <w:pPr>
              <w:pStyle w:val="ListParagraph"/>
              <w:numPr>
                <w:ilvl w:val="0"/>
                <w:numId w:val="44"/>
              </w:numPr>
              <w:spacing w:before="120" w:after="120"/>
              <w:contextualSpacing w:val="0"/>
            </w:pPr>
            <w:r w:rsidRPr="005652FE">
              <w:rPr>
                <w:b/>
              </w:rPr>
              <w:t>ST</w:t>
            </w:r>
            <w:r w:rsidRPr="00C8583E">
              <w:rPr>
                <w:bCs/>
              </w:rPr>
              <w:t>,</w:t>
            </w:r>
            <w:r w:rsidRPr="005652FE">
              <w:rPr>
                <w:b/>
              </w:rPr>
              <w:t xml:space="preserve"> PA</w:t>
            </w:r>
            <w:r w:rsidRPr="00432CF9">
              <w:t xml:space="preserve">: </w:t>
            </w:r>
            <w:r w:rsidR="00B72B54">
              <w:t xml:space="preserve"> </w:t>
            </w:r>
            <w:r w:rsidRPr="00432CF9">
              <w:t>Plan Medicines to Consider First column</w:t>
            </w:r>
            <w:r w:rsidR="001177DB">
              <w:t>.</w:t>
            </w:r>
          </w:p>
          <w:p w14:paraId="65B54FB0" w14:textId="16A9E5D3" w:rsidR="00432CF9" w:rsidRPr="00432CF9" w:rsidRDefault="00432CF9" w:rsidP="005652FE">
            <w:pPr>
              <w:pStyle w:val="ListParagraph"/>
              <w:numPr>
                <w:ilvl w:val="0"/>
                <w:numId w:val="44"/>
              </w:numPr>
              <w:spacing w:before="120" w:after="120"/>
              <w:contextualSpacing w:val="0"/>
            </w:pPr>
            <w:r w:rsidRPr="005652FE">
              <w:rPr>
                <w:b/>
              </w:rPr>
              <w:t>QL</w:t>
            </w:r>
            <w:r w:rsidRPr="00432CF9">
              <w:t xml:space="preserve">: </w:t>
            </w:r>
            <w:r w:rsidR="00B72B54">
              <w:t xml:space="preserve"> </w:t>
            </w:r>
            <w:r w:rsidRPr="00432CF9">
              <w:t xml:space="preserve">Limit for 30-Day Prescriptions column </w:t>
            </w:r>
            <w:r w:rsidRPr="005652FE">
              <w:rPr>
                <w:b/>
              </w:rPr>
              <w:t>or</w:t>
            </w:r>
            <w:r w:rsidRPr="00432CF9">
              <w:t xml:space="preserve"> Limit for 90-Day Prescriptions column depending on whether member fills a 30-day </w:t>
            </w:r>
            <w:r w:rsidRPr="005652FE">
              <w:rPr>
                <w:b/>
              </w:rPr>
              <w:t>or</w:t>
            </w:r>
            <w:r w:rsidRPr="00432CF9">
              <w:t xml:space="preserve"> 90-day prescription</w:t>
            </w:r>
            <w:r w:rsidR="001177DB">
              <w:t>.</w:t>
            </w:r>
          </w:p>
          <w:p w14:paraId="7465CAC1" w14:textId="7D78A170" w:rsidR="00432CF9" w:rsidRPr="00432CF9" w:rsidRDefault="00432CF9" w:rsidP="005652FE">
            <w:pPr>
              <w:pStyle w:val="ListParagraph"/>
              <w:numPr>
                <w:ilvl w:val="0"/>
                <w:numId w:val="44"/>
              </w:numPr>
              <w:spacing w:before="120" w:after="120"/>
              <w:contextualSpacing w:val="0"/>
            </w:pPr>
            <w:r w:rsidRPr="005652FE">
              <w:rPr>
                <w:b/>
              </w:rPr>
              <w:t>QL</w:t>
            </w:r>
            <w:r w:rsidRPr="00C8583E">
              <w:rPr>
                <w:bCs/>
              </w:rPr>
              <w:t>,</w:t>
            </w:r>
            <w:r w:rsidRPr="005652FE">
              <w:rPr>
                <w:b/>
              </w:rPr>
              <w:t xml:space="preserve"> PA</w:t>
            </w:r>
            <w:r w:rsidRPr="00432CF9">
              <w:t xml:space="preserve">: </w:t>
            </w:r>
            <w:r w:rsidR="00B72B54">
              <w:t xml:space="preserve"> </w:t>
            </w:r>
            <w:r w:rsidRPr="00432CF9">
              <w:t xml:space="preserve">Limit for 30-Day Prescriptions column </w:t>
            </w:r>
            <w:r w:rsidRPr="005652FE">
              <w:rPr>
                <w:b/>
              </w:rPr>
              <w:t xml:space="preserve">or </w:t>
            </w:r>
            <w:r w:rsidRPr="00432CF9">
              <w:t xml:space="preserve">Limit for 90-Day Prescriptions column, depending on whether member fills a 30-day </w:t>
            </w:r>
            <w:r w:rsidRPr="00303462">
              <w:rPr>
                <w:b/>
                <w:bCs/>
              </w:rPr>
              <w:t>or</w:t>
            </w:r>
            <w:r w:rsidRPr="00432CF9">
              <w:t xml:space="preserve"> 90-day prescription</w:t>
            </w:r>
            <w:r w:rsidR="001177DB">
              <w:t>.</w:t>
            </w:r>
          </w:p>
        </w:tc>
      </w:tr>
      <w:tr w:rsidR="00432CF9" w:rsidRPr="00432CF9" w14:paraId="00AA2077" w14:textId="77777777" w:rsidTr="001177DB">
        <w:tc>
          <w:tcPr>
            <w:tcW w:w="292" w:type="pct"/>
          </w:tcPr>
          <w:p w14:paraId="6ED1748E" w14:textId="72769F07" w:rsidR="00432CF9" w:rsidRPr="001046AD" w:rsidRDefault="00B72B54" w:rsidP="00E306DC">
            <w:pPr>
              <w:spacing w:before="120" w:after="120" w:line="240" w:lineRule="atLeast"/>
              <w:jc w:val="center"/>
              <w:textAlignment w:val="top"/>
              <w:rPr>
                <w:rFonts w:cs="Arial"/>
                <w:b/>
                <w:bCs/>
              </w:rPr>
            </w:pPr>
            <w:r w:rsidRPr="001046AD">
              <w:rPr>
                <w:rFonts w:cs="Arial"/>
                <w:b/>
                <w:bCs/>
              </w:rPr>
              <w:t>5</w:t>
            </w:r>
          </w:p>
        </w:tc>
        <w:tc>
          <w:tcPr>
            <w:tcW w:w="4708" w:type="pct"/>
          </w:tcPr>
          <w:p w14:paraId="74715A54" w14:textId="0D9F5D74" w:rsidR="00432CF9" w:rsidRPr="00432CF9" w:rsidRDefault="00432CF9" w:rsidP="00E306DC">
            <w:pPr>
              <w:spacing w:before="120" w:after="120"/>
              <w:contextualSpacing/>
            </w:pPr>
            <w:r w:rsidRPr="00432CF9">
              <w:t xml:space="preserve">Advise the member to consult with their </w:t>
            </w:r>
            <w:r w:rsidR="001177DB" w:rsidRPr="0003232C">
              <w:t>physician</w:t>
            </w:r>
            <w:r w:rsidRPr="00432CF9">
              <w:t xml:space="preserve"> on these clinical requirements. The </w:t>
            </w:r>
            <w:r w:rsidR="001177DB" w:rsidRPr="0003232C">
              <w:t>physician</w:t>
            </w:r>
            <w:r w:rsidR="001177DB" w:rsidRPr="00432CF9" w:rsidDel="001177DB">
              <w:t xml:space="preserve"> </w:t>
            </w:r>
            <w:r w:rsidRPr="00432CF9">
              <w:t>may need to:</w:t>
            </w:r>
          </w:p>
          <w:p w14:paraId="3BA34293" w14:textId="35D0E73C" w:rsidR="00432CF9" w:rsidRPr="00432CF9" w:rsidRDefault="00432CF9" w:rsidP="005652FE">
            <w:pPr>
              <w:pStyle w:val="ListParagraph"/>
              <w:numPr>
                <w:ilvl w:val="0"/>
                <w:numId w:val="45"/>
              </w:numPr>
              <w:spacing w:before="120" w:after="120"/>
              <w:contextualSpacing w:val="0"/>
            </w:pPr>
            <w:r w:rsidRPr="00432CF9">
              <w:t>Change the member’s script to a plan medicine without clinical requirements (in the case of a drug that requires step therapy)</w:t>
            </w:r>
            <w:r w:rsidR="00E306DC">
              <w:t>.</w:t>
            </w:r>
          </w:p>
          <w:p w14:paraId="3C75722E" w14:textId="5EB10723" w:rsidR="00432CF9" w:rsidRPr="00432CF9" w:rsidRDefault="00432CF9" w:rsidP="005652FE">
            <w:pPr>
              <w:pStyle w:val="ListParagraph"/>
              <w:numPr>
                <w:ilvl w:val="0"/>
                <w:numId w:val="45"/>
              </w:numPr>
              <w:spacing w:before="120" w:after="120"/>
              <w:contextualSpacing w:val="0"/>
            </w:pPr>
            <w:r w:rsidRPr="00432CF9">
              <w:t>Request a prior authorization (for a drug with step therapy, or for a drug that requires a specific diagnosis, or for a drug that is restricted by quantity limits but is eligible for higher quantities)</w:t>
            </w:r>
            <w:r w:rsidR="00E306DC">
              <w:t>.</w:t>
            </w:r>
          </w:p>
        </w:tc>
      </w:tr>
      <w:tr w:rsidR="00432CF9" w:rsidRPr="00432CF9" w14:paraId="031887C2" w14:textId="77777777" w:rsidTr="001177DB">
        <w:tc>
          <w:tcPr>
            <w:tcW w:w="292" w:type="pct"/>
          </w:tcPr>
          <w:p w14:paraId="19AC1454" w14:textId="4BBFBF30" w:rsidR="00432CF9" w:rsidRPr="001046AD" w:rsidRDefault="00B72B54" w:rsidP="00E306DC">
            <w:pPr>
              <w:spacing w:before="120" w:after="120" w:line="240" w:lineRule="atLeast"/>
              <w:jc w:val="center"/>
              <w:textAlignment w:val="top"/>
              <w:rPr>
                <w:rFonts w:cs="Arial"/>
                <w:b/>
                <w:bCs/>
              </w:rPr>
            </w:pPr>
            <w:r w:rsidRPr="001046AD">
              <w:rPr>
                <w:rFonts w:cs="Arial"/>
                <w:b/>
                <w:bCs/>
              </w:rPr>
              <w:t>6</w:t>
            </w:r>
          </w:p>
          <w:p w14:paraId="79949C9A" w14:textId="77777777" w:rsidR="00432CF9" w:rsidRPr="001046AD" w:rsidRDefault="00432CF9" w:rsidP="00E306DC">
            <w:pPr>
              <w:spacing w:before="120" w:after="120" w:line="240" w:lineRule="atLeast"/>
              <w:jc w:val="center"/>
              <w:textAlignment w:val="top"/>
              <w:rPr>
                <w:rFonts w:cs="Arial"/>
                <w:b/>
                <w:bCs/>
              </w:rPr>
            </w:pPr>
          </w:p>
        </w:tc>
        <w:tc>
          <w:tcPr>
            <w:tcW w:w="4708" w:type="pct"/>
          </w:tcPr>
          <w:p w14:paraId="602A743E" w14:textId="57E5C28E" w:rsidR="00067C38" w:rsidRPr="00432CF9" w:rsidRDefault="00432CF9" w:rsidP="00E306DC">
            <w:pPr>
              <w:spacing w:before="120" w:after="120"/>
            </w:pPr>
            <w:r w:rsidRPr="00432CF9">
              <w:t xml:space="preserve">After consulting with the member on these options, if the member still strongly prefers to use a medication that has </w:t>
            </w:r>
            <w:r w:rsidRPr="00E306DC">
              <w:rPr>
                <w:bCs/>
              </w:rPr>
              <w:t>prior authorization, step therapy with post-step prior authorization, or quantity limits with post-limit prior authorization</w:t>
            </w:r>
            <w:r w:rsidRPr="00432CF9">
              <w:t>:</w:t>
            </w:r>
          </w:p>
          <w:p w14:paraId="22AD2FFB" w14:textId="066C5F21" w:rsidR="00432CF9" w:rsidRPr="00432CF9" w:rsidRDefault="00432CF9" w:rsidP="005652FE">
            <w:pPr>
              <w:pStyle w:val="ListParagraph"/>
              <w:numPr>
                <w:ilvl w:val="0"/>
                <w:numId w:val="46"/>
              </w:numPr>
              <w:spacing w:before="120" w:after="120"/>
              <w:contextualSpacing w:val="0"/>
            </w:pPr>
            <w:r w:rsidRPr="00432CF9">
              <w:t xml:space="preserve">Advise the plan member to have </w:t>
            </w:r>
            <w:r w:rsidR="00B72B54">
              <w:t>their</w:t>
            </w:r>
            <w:r w:rsidRPr="00432CF9">
              <w:t xml:space="preserve"> </w:t>
            </w:r>
            <w:r w:rsidR="001177DB" w:rsidRPr="0003232C">
              <w:t>physician</w:t>
            </w:r>
            <w:r w:rsidR="001177DB" w:rsidRPr="00432CF9" w:rsidDel="001177DB">
              <w:t xml:space="preserve"> </w:t>
            </w:r>
            <w:r w:rsidRPr="00432CF9">
              <w:t xml:space="preserve">contact our Prior Authorization Team at </w:t>
            </w:r>
            <w:r w:rsidRPr="005652FE">
              <w:rPr>
                <w:b/>
                <w:bCs/>
              </w:rPr>
              <w:t>1-877-203-1681</w:t>
            </w:r>
            <w:r w:rsidRPr="00432CF9">
              <w:t xml:space="preserve"> to initiate a PA request or start a</w:t>
            </w:r>
            <w:r w:rsidR="00514371">
              <w:t xml:space="preserve"> </w:t>
            </w:r>
            <w:bookmarkStart w:id="11" w:name="OLE_LINK1"/>
            <w:r w:rsidR="00791A27" w:rsidRPr="005652FE">
              <w:fldChar w:fldCharType="begin"/>
            </w:r>
            <w:r w:rsidR="00C8583E">
              <w:instrText>HYPERLINK "https://thesource.cvshealth.com/nuxeo/thesource/" \l "!/view?docid=657ddfe3-27d1-4a21-8f51-8cbd3961001c"</w:instrText>
            </w:r>
            <w:r w:rsidR="00791A27" w:rsidRPr="005652FE">
              <w:fldChar w:fldCharType="separate"/>
            </w:r>
            <w:r w:rsidR="00514371" w:rsidRPr="005652FE">
              <w:rPr>
                <w:color w:val="0000FF"/>
                <w:u w:val="single"/>
              </w:rPr>
              <w:t>Prior Authorization, Exception, Appeal (063978)</w:t>
            </w:r>
            <w:r w:rsidR="00791A27" w:rsidRPr="005652FE">
              <w:rPr>
                <w:color w:val="0000FF"/>
                <w:u w:val="single"/>
              </w:rPr>
              <w:fldChar w:fldCharType="end"/>
            </w:r>
            <w:bookmarkEnd w:id="11"/>
            <w:r w:rsidR="00514371" w:rsidRPr="005652FE">
              <w:rPr>
                <w:color w:val="0000FF"/>
                <w:u w:val="single"/>
              </w:rPr>
              <w:t>.</w:t>
            </w:r>
          </w:p>
          <w:p w14:paraId="3E6C8951" w14:textId="3A8746D9" w:rsidR="00432CF9" w:rsidRPr="00432CF9" w:rsidRDefault="00432CF9" w:rsidP="005652FE">
            <w:pPr>
              <w:pStyle w:val="ListParagraph"/>
              <w:numPr>
                <w:ilvl w:val="0"/>
                <w:numId w:val="46"/>
              </w:numPr>
              <w:spacing w:before="120" w:after="120"/>
              <w:contextualSpacing w:val="0"/>
            </w:pPr>
            <w:r w:rsidRPr="00432CF9">
              <w:t xml:space="preserve">Inform the member that if an exception is granted for the medication, it may then be covered under their benefit plan. If not, they may be responsible for up to the full cost of the medication if they continue to use it. </w:t>
            </w:r>
          </w:p>
          <w:p w14:paraId="64DCBBAB" w14:textId="77777777" w:rsidR="00432CF9" w:rsidRPr="00432CF9" w:rsidRDefault="00432CF9" w:rsidP="005652FE">
            <w:pPr>
              <w:pStyle w:val="ListParagraph"/>
              <w:numPr>
                <w:ilvl w:val="0"/>
                <w:numId w:val="46"/>
              </w:numPr>
              <w:spacing w:before="120" w:after="120"/>
              <w:contextualSpacing w:val="0"/>
            </w:pPr>
            <w:r w:rsidRPr="00432CF9">
              <w:t xml:space="preserve">Advise the member they can see the status of the PA (approved or denied) on Caremark.com. Single Sign on clients may not have this ability to view the status. </w:t>
            </w:r>
          </w:p>
        </w:tc>
      </w:tr>
    </w:tbl>
    <w:p w14:paraId="5F1CE1E2" w14:textId="77777777" w:rsidR="00432CF9" w:rsidRPr="0058134F" w:rsidRDefault="00432CF9" w:rsidP="00433355">
      <w:pPr>
        <w:spacing w:before="120" w:after="120"/>
      </w:pPr>
    </w:p>
    <w:p w14:paraId="4DEE52BF" w14:textId="2F4F0038" w:rsidR="00610917" w:rsidRPr="0058134F" w:rsidRDefault="00000000" w:rsidP="00610917">
      <w:pPr>
        <w:jc w:val="right"/>
      </w:pPr>
      <w:hyperlink w:anchor="_top" w:history="1">
        <w:r w:rsidR="00432CF9" w:rsidRPr="00A01502">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610917" w:rsidRPr="0058134F" w14:paraId="6FE1EF77" w14:textId="77777777" w:rsidTr="00A5717F">
        <w:tc>
          <w:tcPr>
            <w:tcW w:w="5000" w:type="pct"/>
            <w:shd w:val="clear" w:color="auto" w:fill="C0C0C0"/>
          </w:tcPr>
          <w:p w14:paraId="4AE936A3" w14:textId="27846C7E" w:rsidR="00610917" w:rsidRPr="0058134F" w:rsidRDefault="00610917" w:rsidP="00E306DC">
            <w:pPr>
              <w:pStyle w:val="Heading2"/>
              <w:tabs>
                <w:tab w:val="left" w:pos="11985"/>
              </w:tabs>
              <w:spacing w:before="120" w:after="120"/>
              <w:rPr>
                <w:rFonts w:ascii="Verdana" w:hAnsi="Verdana"/>
                <w:i w:val="0"/>
                <w:iCs w:val="0"/>
              </w:rPr>
            </w:pPr>
            <w:bookmarkStart w:id="12" w:name="_Toc134530278"/>
            <w:r>
              <w:rPr>
                <w:rFonts w:ascii="Verdana" w:hAnsi="Verdana"/>
                <w:i w:val="0"/>
                <w:iCs w:val="0"/>
              </w:rPr>
              <w:t>Reject Messages</w:t>
            </w:r>
            <w:bookmarkEnd w:id="12"/>
          </w:p>
        </w:tc>
      </w:tr>
    </w:tbl>
    <w:p w14:paraId="3464FB4D" w14:textId="77777777" w:rsidR="00303462" w:rsidRDefault="00303462" w:rsidP="00E306DC">
      <w:pPr>
        <w:spacing w:before="120" w:after="120"/>
        <w:contextualSpacing/>
      </w:pPr>
    </w:p>
    <w:p w14:paraId="5B444B4F" w14:textId="188FDBFA" w:rsidR="00610917" w:rsidRDefault="00610917" w:rsidP="00E306DC">
      <w:pPr>
        <w:spacing w:before="120" w:after="120"/>
      </w:pPr>
      <w:r>
        <w:t>Specialty: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01"/>
        <w:gridCol w:w="9049"/>
      </w:tblGrid>
      <w:tr w:rsidR="00610917" w:rsidRPr="00267357" w14:paraId="0C1070C7" w14:textId="77777777" w:rsidTr="00C23D30">
        <w:tc>
          <w:tcPr>
            <w:tcW w:w="1506" w:type="pct"/>
            <w:shd w:val="clear" w:color="auto" w:fill="D9D9D9" w:themeFill="background1" w:themeFillShade="D9"/>
          </w:tcPr>
          <w:p w14:paraId="6609EF29" w14:textId="77777777" w:rsidR="00610917" w:rsidRPr="007A0F91" w:rsidRDefault="00610917" w:rsidP="00E306DC">
            <w:pPr>
              <w:spacing w:before="120" w:after="120"/>
              <w:jc w:val="center"/>
              <w:rPr>
                <w:b/>
              </w:rPr>
            </w:pPr>
            <w:r w:rsidRPr="007A0F91">
              <w:rPr>
                <w:b/>
              </w:rPr>
              <w:t>If it is a</w:t>
            </w:r>
            <w:r w:rsidRPr="007A0F91">
              <w:t xml:space="preserve"> </w:t>
            </w:r>
            <w:r w:rsidRPr="007A0F91">
              <w:rPr>
                <w:b/>
              </w:rPr>
              <w:t>Specialty Product Managed by closed formularies</w:t>
            </w:r>
            <w:r w:rsidRPr="007A0F91">
              <w:rPr>
                <w:b/>
                <w:color w:val="000000"/>
              </w:rPr>
              <w:t xml:space="preserve"> (Value Formulary, Exchange, and select Managed Medicaid Templates) have rejected for</w:t>
            </w:r>
            <w:r w:rsidRPr="007A0F91">
              <w:rPr>
                <w:b/>
              </w:rPr>
              <w:t>...</w:t>
            </w:r>
          </w:p>
        </w:tc>
        <w:tc>
          <w:tcPr>
            <w:tcW w:w="3494" w:type="pct"/>
            <w:shd w:val="clear" w:color="auto" w:fill="D9D9D9" w:themeFill="background1" w:themeFillShade="D9"/>
          </w:tcPr>
          <w:p w14:paraId="2628F374" w14:textId="77777777" w:rsidR="00610917" w:rsidRPr="007A0F91" w:rsidRDefault="00610917" w:rsidP="00E306DC">
            <w:pPr>
              <w:spacing w:before="120" w:after="120"/>
              <w:jc w:val="center"/>
              <w:rPr>
                <w:b/>
              </w:rPr>
            </w:pPr>
            <w:r w:rsidRPr="007A0F91">
              <w:rPr>
                <w:b/>
              </w:rPr>
              <w:t>Then the new Message will include...</w:t>
            </w:r>
          </w:p>
        </w:tc>
      </w:tr>
      <w:tr w:rsidR="00610917" w14:paraId="70E33B9F" w14:textId="77777777" w:rsidTr="00A5717F">
        <w:trPr>
          <w:trHeight w:val="1367"/>
        </w:trPr>
        <w:tc>
          <w:tcPr>
            <w:tcW w:w="1506" w:type="pct"/>
          </w:tcPr>
          <w:p w14:paraId="6DC32847" w14:textId="01A93815" w:rsidR="00610917" w:rsidRPr="007A0F91" w:rsidRDefault="00610917" w:rsidP="00E306DC">
            <w:pPr>
              <w:spacing w:before="120" w:after="120"/>
            </w:pPr>
            <w:r w:rsidRPr="007A0F91">
              <w:t>Prior Authorization (PA) required</w:t>
            </w:r>
          </w:p>
        </w:tc>
        <w:tc>
          <w:tcPr>
            <w:tcW w:w="3494" w:type="pct"/>
          </w:tcPr>
          <w:p w14:paraId="72ED2F84" w14:textId="424A8897" w:rsidR="00610917" w:rsidRPr="007A0F91" w:rsidRDefault="00610917" w:rsidP="00E306DC">
            <w:pPr>
              <w:pStyle w:val="ListParagraph"/>
              <w:numPr>
                <w:ilvl w:val="0"/>
                <w:numId w:val="25"/>
              </w:numPr>
              <w:spacing w:before="120" w:after="120"/>
              <w:ind w:left="360"/>
              <w:rPr>
                <w:color w:val="000000"/>
              </w:rPr>
            </w:pPr>
            <w:r w:rsidRPr="007A0F91">
              <w:rPr>
                <w:color w:val="000000"/>
              </w:rPr>
              <w:t xml:space="preserve">If Specialty NDC is </w:t>
            </w:r>
            <w:r w:rsidRPr="007A0F91">
              <w:rPr>
                <w:b/>
                <w:bCs/>
                <w:color w:val="000000"/>
              </w:rPr>
              <w:t>formulary</w:t>
            </w:r>
            <w:r w:rsidRPr="007A0F91">
              <w:rPr>
                <w:color w:val="000000"/>
              </w:rPr>
              <w:t xml:space="preserve">, reject for R75 – Prior Authorization Required, with additional message “PA required, please call </w:t>
            </w:r>
            <w:r w:rsidRPr="00303462">
              <w:rPr>
                <w:b/>
                <w:bCs/>
                <w:color w:val="000000"/>
              </w:rPr>
              <w:t>1-</w:t>
            </w:r>
            <w:r w:rsidRPr="00C8583E">
              <w:rPr>
                <w:b/>
                <w:bCs/>
                <w:color w:val="000000"/>
              </w:rPr>
              <w:t>866-814-5506</w:t>
            </w:r>
            <w:r w:rsidRPr="007A0F91">
              <w:rPr>
                <w:color w:val="000000"/>
              </w:rPr>
              <w:t>”</w:t>
            </w:r>
            <w:r w:rsidR="00D77A51">
              <w:rPr>
                <w:color w:val="000000"/>
              </w:rPr>
              <w:t>.</w:t>
            </w:r>
          </w:p>
          <w:p w14:paraId="1044C162" w14:textId="77777777" w:rsidR="00610917" w:rsidRPr="007A0F91" w:rsidRDefault="00610917" w:rsidP="00E306DC">
            <w:pPr>
              <w:pStyle w:val="ListParagraph"/>
              <w:spacing w:before="120" w:after="120"/>
              <w:ind w:left="0"/>
              <w:rPr>
                <w:color w:val="000000"/>
              </w:rPr>
            </w:pPr>
          </w:p>
          <w:p w14:paraId="38BB8BC4" w14:textId="72B5CF11" w:rsidR="00610917" w:rsidRPr="007A0F91" w:rsidRDefault="00610917" w:rsidP="00E306DC">
            <w:pPr>
              <w:pStyle w:val="ListParagraph"/>
              <w:numPr>
                <w:ilvl w:val="0"/>
                <w:numId w:val="25"/>
              </w:numPr>
              <w:spacing w:before="120" w:after="120"/>
              <w:ind w:left="360"/>
              <w:rPr>
                <w:color w:val="000000"/>
              </w:rPr>
            </w:pPr>
            <w:r w:rsidRPr="007A0F91">
              <w:rPr>
                <w:color w:val="000000"/>
              </w:rPr>
              <w:t xml:space="preserve">If Specialty NDC is </w:t>
            </w:r>
            <w:r w:rsidRPr="007A0F91">
              <w:rPr>
                <w:b/>
                <w:bCs/>
                <w:color w:val="000000"/>
              </w:rPr>
              <w:t>non-formulary</w:t>
            </w:r>
            <w:r w:rsidRPr="007A0F91">
              <w:rPr>
                <w:color w:val="000000"/>
              </w:rPr>
              <w:t>, reject for R70 – NDC Not covered, with message “</w:t>
            </w:r>
            <w:r w:rsidR="007A2019" w:rsidRPr="007A0F91">
              <w:rPr>
                <w:color w:val="000000"/>
              </w:rPr>
              <w:t>Non-Formulary</w:t>
            </w:r>
            <w:r w:rsidRPr="007A0F91">
              <w:rPr>
                <w:color w:val="000000"/>
              </w:rPr>
              <w:t xml:space="preserve"> Specialty (SGM) Product”. Additionally, “non-formulary drug, contact prescriber” will also be displayed as part of standard messaging.</w:t>
            </w:r>
          </w:p>
          <w:p w14:paraId="0DEDBCC4" w14:textId="77777777" w:rsidR="00985C5F" w:rsidRDefault="00985C5F" w:rsidP="00E306DC">
            <w:pPr>
              <w:spacing w:before="120" w:after="120"/>
              <w:rPr>
                <w:b/>
              </w:rPr>
            </w:pPr>
          </w:p>
          <w:p w14:paraId="0C5105A8" w14:textId="4E264D0A" w:rsidR="00A5717F" w:rsidRDefault="006061C8" w:rsidP="00E306DC">
            <w:pPr>
              <w:spacing w:before="120" w:after="120"/>
            </w:pPr>
            <w:r w:rsidRPr="00985C5F">
              <w:rPr>
                <w:b/>
              </w:rPr>
              <w:t>T</w:t>
            </w:r>
            <w:r w:rsidR="00985C5F" w:rsidRPr="00985C5F">
              <w:rPr>
                <w:b/>
              </w:rPr>
              <w:t>urnaround Time</w:t>
            </w:r>
            <w:r w:rsidR="007E40A8">
              <w:rPr>
                <w:b/>
              </w:rPr>
              <w:t xml:space="preserve"> (TAT)</w:t>
            </w:r>
            <w:r w:rsidR="00985C5F" w:rsidRPr="00985C5F">
              <w:rPr>
                <w:b/>
              </w:rPr>
              <w:t xml:space="preserve">:  </w:t>
            </w:r>
            <w:r w:rsidRPr="00985C5F">
              <w:t xml:space="preserve">Standard TAT for Prior Authorizations and Tiering Exceptions done by fax is </w:t>
            </w:r>
            <w:r w:rsidR="00B72B54">
              <w:t xml:space="preserve">up to </w:t>
            </w:r>
            <w:r w:rsidRPr="00985C5F">
              <w:t>3 business days, as well for Prior Authorizations and Tiering Exceptions done by phone. However, Prior Authorizations and Tiering Exceptions done by phone have the potential TAT of 1 business day for resolution as information for the PA/Tiering Exception is being reviewed in real time; often, in that case, a determination on coverage can be made immediately.</w:t>
            </w:r>
            <w:r>
              <w:t xml:space="preserve"> </w:t>
            </w:r>
          </w:p>
          <w:p w14:paraId="746F6784" w14:textId="43D5B005" w:rsidR="00610917" w:rsidRPr="007A0F91" w:rsidRDefault="00A5717F" w:rsidP="00E306DC">
            <w:pPr>
              <w:spacing w:before="120" w:after="120"/>
            </w:pPr>
            <w:r>
              <w:rPr>
                <w:b/>
                <w:bCs/>
              </w:rPr>
              <w:t xml:space="preserve">Note: </w:t>
            </w:r>
            <w:r>
              <w:t xml:space="preserve"> </w:t>
            </w:r>
            <w:r w:rsidR="005E1BB0">
              <w:rPr>
                <w:noProof/>
              </w:rPr>
              <w:t xml:space="preserve">The processing time is dependent on </w:t>
            </w:r>
            <w:r w:rsidR="0017090F">
              <w:rPr>
                <w:noProof/>
              </w:rPr>
              <w:t xml:space="preserve">physicans </w:t>
            </w:r>
            <w:r w:rsidR="005E1BB0">
              <w:rPr>
                <w:noProof/>
              </w:rPr>
              <w:t>responsiveness and on the information provided.</w:t>
            </w:r>
          </w:p>
        </w:tc>
      </w:tr>
    </w:tbl>
    <w:p w14:paraId="58732897" w14:textId="77777777" w:rsidR="00610917" w:rsidRPr="0003232C" w:rsidRDefault="00610917" w:rsidP="00433355">
      <w:pPr>
        <w:spacing w:before="120" w:after="120"/>
      </w:pPr>
    </w:p>
    <w:p w14:paraId="093EC22B" w14:textId="612FE454" w:rsidR="009B2075" w:rsidRDefault="00000000" w:rsidP="007A0F91">
      <w:pPr>
        <w:jc w:val="right"/>
      </w:pPr>
      <w:hyperlink w:anchor="_top" w:history="1">
        <w:r w:rsidR="007A0F91" w:rsidRPr="00A01502">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9B2075" w:rsidRPr="0058134F" w14:paraId="1EE389AB" w14:textId="77777777" w:rsidTr="00514371">
        <w:tc>
          <w:tcPr>
            <w:tcW w:w="5000" w:type="pct"/>
            <w:shd w:val="clear" w:color="auto" w:fill="C0C0C0"/>
          </w:tcPr>
          <w:p w14:paraId="47ABA4F1" w14:textId="77CE7892" w:rsidR="009B2075" w:rsidRPr="0058134F" w:rsidRDefault="00432CF9" w:rsidP="00E54D98">
            <w:pPr>
              <w:pStyle w:val="Heading2"/>
              <w:spacing w:before="120" w:after="120"/>
              <w:rPr>
                <w:rFonts w:ascii="Verdana" w:hAnsi="Verdana"/>
                <w:i w:val="0"/>
                <w:iCs w:val="0"/>
              </w:rPr>
            </w:pPr>
            <w:bookmarkStart w:id="13" w:name="_Toc134530279"/>
            <w:r>
              <w:rPr>
                <w:rFonts w:ascii="Verdana" w:hAnsi="Verdana"/>
                <w:i w:val="0"/>
                <w:iCs w:val="0"/>
              </w:rPr>
              <w:t>Related Documents</w:t>
            </w:r>
            <w:bookmarkEnd w:id="13"/>
          </w:p>
        </w:tc>
      </w:tr>
    </w:tbl>
    <w:p w14:paraId="3AE8E495" w14:textId="47A24C81" w:rsidR="00303462" w:rsidRDefault="00000000" w:rsidP="005B437E">
      <w:pPr>
        <w:spacing w:before="120" w:after="120"/>
      </w:pPr>
      <w:hyperlink r:id="rId19" w:anchor="!/view?docid=555c2e42-bed9-4648-91b9-19dc103b0ff1" w:history="1">
        <w:r w:rsidR="0017090F">
          <w:rPr>
            <w:rStyle w:val="Hyperlink"/>
          </w:rPr>
          <w:t>HIPAA (Health Insurance Portability and Accountability Act) - Disclosure Reporting and Complaints (027852)</w:t>
        </w:r>
      </w:hyperlink>
    </w:p>
    <w:p w14:paraId="04921602" w14:textId="4B793D6C" w:rsidR="006E7EC4" w:rsidRDefault="00000000" w:rsidP="005B437E">
      <w:pPr>
        <w:spacing w:before="120" w:after="120"/>
      </w:pPr>
      <w:hyperlink r:id="rId20" w:anchor="!/view?docid=c1f1028b-e42c-4b4f-a4cf-cc0b42c91606" w:history="1">
        <w:r w:rsidR="0017090F">
          <w:rPr>
            <w:rStyle w:val="Hyperlink"/>
          </w:rPr>
          <w:t>Customer Care Abbreviations, Definitions, and Terms Index (017428)</w:t>
        </w:r>
      </w:hyperlink>
    </w:p>
    <w:p w14:paraId="1235EF61" w14:textId="4BDA6943" w:rsidR="00067C38" w:rsidRPr="00350A32" w:rsidRDefault="00067C38" w:rsidP="00303462">
      <w:pPr>
        <w:spacing w:before="120" w:after="120"/>
        <w:rPr>
          <w:b/>
        </w:rPr>
      </w:pPr>
      <w:r w:rsidRPr="00350A32">
        <w:rPr>
          <w:b/>
        </w:rPr>
        <w:t xml:space="preserve">Parent </w:t>
      </w:r>
      <w:r w:rsidR="00B72B54">
        <w:rPr>
          <w:b/>
        </w:rPr>
        <w:t>Document</w:t>
      </w:r>
      <w:r w:rsidRPr="00350A32">
        <w:rPr>
          <w:b/>
        </w:rPr>
        <w:t>:</w:t>
      </w:r>
      <w:r>
        <w:rPr>
          <w:b/>
        </w:rPr>
        <w:t xml:space="preserve"> </w:t>
      </w:r>
      <w:hyperlink r:id="rId21" w:tgtFrame="_blank" w:history="1">
        <w:r w:rsidR="009B2075" w:rsidRPr="009B2075">
          <w:rPr>
            <w:rStyle w:val="Hyperlink"/>
          </w:rPr>
          <w:t>CALL 0049 Customer Care Internal and External Call Handling</w:t>
        </w:r>
      </w:hyperlink>
    </w:p>
    <w:p w14:paraId="3F0A63B6" w14:textId="7489D6D2" w:rsidR="007A403E" w:rsidRPr="0058134F" w:rsidRDefault="00000000" w:rsidP="007A403E">
      <w:pPr>
        <w:jc w:val="right"/>
      </w:pPr>
      <w:hyperlink w:anchor="_top" w:history="1">
        <w:r w:rsidR="009B2075" w:rsidRPr="00A01502">
          <w:rPr>
            <w:rStyle w:val="Hyperlink"/>
          </w:rPr>
          <w:t>Top of the Document</w:t>
        </w:r>
      </w:hyperlink>
    </w:p>
    <w:p w14:paraId="0CA016A9" w14:textId="7F1E6571" w:rsidR="00710E68" w:rsidRPr="0058134F" w:rsidRDefault="00710E68" w:rsidP="00C247CB">
      <w:pPr>
        <w:jc w:val="center"/>
        <w:rPr>
          <w:sz w:val="16"/>
          <w:szCs w:val="16"/>
        </w:rPr>
      </w:pPr>
      <w:r w:rsidRPr="0058134F">
        <w:rPr>
          <w:sz w:val="16"/>
          <w:szCs w:val="16"/>
        </w:rPr>
        <w:t xml:space="preserve">Not </w:t>
      </w:r>
      <w:r w:rsidR="00854722">
        <w:rPr>
          <w:sz w:val="16"/>
          <w:szCs w:val="16"/>
        </w:rPr>
        <w:t>T</w:t>
      </w:r>
      <w:r w:rsidR="00854722" w:rsidRPr="0058134F">
        <w:rPr>
          <w:sz w:val="16"/>
          <w:szCs w:val="16"/>
        </w:rPr>
        <w:t>o</w:t>
      </w:r>
      <w:r w:rsidRPr="0058134F">
        <w:rPr>
          <w:sz w:val="16"/>
          <w:szCs w:val="16"/>
        </w:rPr>
        <w:t xml:space="preserve"> Be Reproduced </w:t>
      </w:r>
      <w:r w:rsidR="007E40A8">
        <w:rPr>
          <w:sz w:val="16"/>
          <w:szCs w:val="16"/>
        </w:rPr>
        <w:t>o</w:t>
      </w:r>
      <w:r w:rsidR="00854722" w:rsidRPr="0058134F">
        <w:rPr>
          <w:sz w:val="16"/>
          <w:szCs w:val="16"/>
        </w:rPr>
        <w:t>r</w:t>
      </w:r>
      <w:r w:rsidRPr="0058134F">
        <w:rPr>
          <w:sz w:val="16"/>
          <w:szCs w:val="16"/>
        </w:rPr>
        <w:t xml:space="preserve"> Disclosed </w:t>
      </w:r>
      <w:r w:rsidR="00C73BFA">
        <w:rPr>
          <w:sz w:val="16"/>
          <w:szCs w:val="16"/>
        </w:rPr>
        <w:t>to</w:t>
      </w:r>
      <w:r w:rsidRPr="0058134F">
        <w:rPr>
          <w:sz w:val="16"/>
          <w:szCs w:val="16"/>
        </w:rPr>
        <w:t xml:space="preserve"> Others Without Prior Written Approval</w:t>
      </w:r>
    </w:p>
    <w:p w14:paraId="74920731" w14:textId="77777777" w:rsidR="00710E68" w:rsidRPr="0058134F" w:rsidRDefault="00710E68" w:rsidP="00C247CB">
      <w:pPr>
        <w:jc w:val="center"/>
        <w:rPr>
          <w:b/>
          <w:color w:val="000000"/>
          <w:sz w:val="16"/>
          <w:szCs w:val="16"/>
        </w:rPr>
      </w:pPr>
      <w:r w:rsidRPr="0058134F">
        <w:rPr>
          <w:b/>
          <w:color w:val="000000"/>
          <w:sz w:val="16"/>
          <w:szCs w:val="16"/>
        </w:rPr>
        <w:t>ELECTRONIC DATA = OFFICIAL VERSION – PAPER COPY – INFORMATIONAL ONLY</w:t>
      </w:r>
    </w:p>
    <w:p w14:paraId="212ACCAD" w14:textId="77777777" w:rsidR="005A64DA" w:rsidRPr="0058134F" w:rsidRDefault="005A64DA" w:rsidP="00C247CB">
      <w:pPr>
        <w:jc w:val="center"/>
        <w:rPr>
          <w:sz w:val="16"/>
          <w:szCs w:val="16"/>
        </w:rPr>
      </w:pPr>
    </w:p>
    <w:sectPr w:rsidR="005A64DA" w:rsidRPr="0058134F" w:rsidSect="00EB1F94">
      <w:footerReference w:type="default" r:id="rId22"/>
      <w:headerReference w:type="first" r:id="rId23"/>
      <w:footerReference w:type="first" r:id="rId2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4517E" w14:textId="77777777" w:rsidR="00936A00" w:rsidRDefault="00936A00">
      <w:r>
        <w:separator/>
      </w:r>
    </w:p>
  </w:endnote>
  <w:endnote w:type="continuationSeparator" w:id="0">
    <w:p w14:paraId="43A94B62" w14:textId="77777777" w:rsidR="00936A00" w:rsidRDefault="00936A00">
      <w:r>
        <w:continuationSeparator/>
      </w:r>
    </w:p>
  </w:endnote>
  <w:endnote w:type="continuationNotice" w:id="1">
    <w:p w14:paraId="1E434BC2" w14:textId="77777777" w:rsidR="00936A00" w:rsidRDefault="00936A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5E091" w14:textId="77777777" w:rsidR="004071A2" w:rsidRPr="00C32D18" w:rsidRDefault="004071A2"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350A32">
      <w:rPr>
        <w:rStyle w:val="PageNumber"/>
        <w:noProof/>
      </w:rPr>
      <w:t>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D2F28" w14:textId="77777777" w:rsidR="004071A2" w:rsidRPr="00CD2229" w:rsidRDefault="004071A2">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CCEDF" w14:textId="77777777" w:rsidR="00936A00" w:rsidRDefault="00936A00">
      <w:r>
        <w:separator/>
      </w:r>
    </w:p>
  </w:footnote>
  <w:footnote w:type="continuationSeparator" w:id="0">
    <w:p w14:paraId="2F233870" w14:textId="77777777" w:rsidR="00936A00" w:rsidRDefault="00936A00">
      <w:r>
        <w:continuationSeparator/>
      </w:r>
    </w:p>
  </w:footnote>
  <w:footnote w:type="continuationNotice" w:id="1">
    <w:p w14:paraId="2593E2DB" w14:textId="77777777" w:rsidR="00936A00" w:rsidRDefault="00936A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D355A" w14:textId="77777777" w:rsidR="004071A2" w:rsidRDefault="004071A2">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40AF1"/>
    <w:multiLevelType w:val="hybridMultilevel"/>
    <w:tmpl w:val="C87A7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103F8"/>
    <w:multiLevelType w:val="hybridMultilevel"/>
    <w:tmpl w:val="F4A86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C35D5"/>
    <w:multiLevelType w:val="hybridMultilevel"/>
    <w:tmpl w:val="C2BC2768"/>
    <w:lvl w:ilvl="0" w:tplc="04090001">
      <w:start w:val="1"/>
      <w:numFmt w:val="bullet"/>
      <w:lvlText w:val=""/>
      <w:lvlJc w:val="left"/>
      <w:pPr>
        <w:ind w:left="526" w:hanging="360"/>
      </w:pPr>
      <w:rPr>
        <w:rFonts w:ascii="Symbol" w:hAnsi="Symbol" w:hint="default"/>
      </w:rPr>
    </w:lvl>
    <w:lvl w:ilvl="1" w:tplc="04090003" w:tentative="1">
      <w:start w:val="1"/>
      <w:numFmt w:val="bullet"/>
      <w:lvlText w:val="o"/>
      <w:lvlJc w:val="left"/>
      <w:pPr>
        <w:ind w:left="1246" w:hanging="360"/>
      </w:pPr>
      <w:rPr>
        <w:rFonts w:ascii="Courier New" w:hAnsi="Courier New" w:cs="Courier New" w:hint="default"/>
      </w:rPr>
    </w:lvl>
    <w:lvl w:ilvl="2" w:tplc="04090005" w:tentative="1">
      <w:start w:val="1"/>
      <w:numFmt w:val="bullet"/>
      <w:lvlText w:val=""/>
      <w:lvlJc w:val="left"/>
      <w:pPr>
        <w:ind w:left="1966" w:hanging="360"/>
      </w:pPr>
      <w:rPr>
        <w:rFonts w:ascii="Wingdings" w:hAnsi="Wingdings" w:hint="default"/>
      </w:rPr>
    </w:lvl>
    <w:lvl w:ilvl="3" w:tplc="04090001" w:tentative="1">
      <w:start w:val="1"/>
      <w:numFmt w:val="bullet"/>
      <w:lvlText w:val=""/>
      <w:lvlJc w:val="left"/>
      <w:pPr>
        <w:ind w:left="2686" w:hanging="360"/>
      </w:pPr>
      <w:rPr>
        <w:rFonts w:ascii="Symbol" w:hAnsi="Symbol" w:hint="default"/>
      </w:rPr>
    </w:lvl>
    <w:lvl w:ilvl="4" w:tplc="04090003" w:tentative="1">
      <w:start w:val="1"/>
      <w:numFmt w:val="bullet"/>
      <w:lvlText w:val="o"/>
      <w:lvlJc w:val="left"/>
      <w:pPr>
        <w:ind w:left="3406" w:hanging="360"/>
      </w:pPr>
      <w:rPr>
        <w:rFonts w:ascii="Courier New" w:hAnsi="Courier New" w:cs="Courier New" w:hint="default"/>
      </w:rPr>
    </w:lvl>
    <w:lvl w:ilvl="5" w:tplc="04090005" w:tentative="1">
      <w:start w:val="1"/>
      <w:numFmt w:val="bullet"/>
      <w:lvlText w:val=""/>
      <w:lvlJc w:val="left"/>
      <w:pPr>
        <w:ind w:left="4126" w:hanging="360"/>
      </w:pPr>
      <w:rPr>
        <w:rFonts w:ascii="Wingdings" w:hAnsi="Wingdings" w:hint="default"/>
      </w:rPr>
    </w:lvl>
    <w:lvl w:ilvl="6" w:tplc="04090001" w:tentative="1">
      <w:start w:val="1"/>
      <w:numFmt w:val="bullet"/>
      <w:lvlText w:val=""/>
      <w:lvlJc w:val="left"/>
      <w:pPr>
        <w:ind w:left="4846" w:hanging="360"/>
      </w:pPr>
      <w:rPr>
        <w:rFonts w:ascii="Symbol" w:hAnsi="Symbol" w:hint="default"/>
      </w:rPr>
    </w:lvl>
    <w:lvl w:ilvl="7" w:tplc="04090003" w:tentative="1">
      <w:start w:val="1"/>
      <w:numFmt w:val="bullet"/>
      <w:lvlText w:val="o"/>
      <w:lvlJc w:val="left"/>
      <w:pPr>
        <w:ind w:left="5566" w:hanging="360"/>
      </w:pPr>
      <w:rPr>
        <w:rFonts w:ascii="Courier New" w:hAnsi="Courier New" w:cs="Courier New" w:hint="default"/>
      </w:rPr>
    </w:lvl>
    <w:lvl w:ilvl="8" w:tplc="04090005" w:tentative="1">
      <w:start w:val="1"/>
      <w:numFmt w:val="bullet"/>
      <w:lvlText w:val=""/>
      <w:lvlJc w:val="left"/>
      <w:pPr>
        <w:ind w:left="6286" w:hanging="360"/>
      </w:pPr>
      <w:rPr>
        <w:rFonts w:ascii="Wingdings" w:hAnsi="Wingdings" w:hint="default"/>
      </w:rPr>
    </w:lvl>
  </w:abstractNum>
  <w:abstractNum w:abstractNumId="3"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4" w15:restartNumberingAfterBreak="0">
    <w:nsid w:val="0C194653"/>
    <w:multiLevelType w:val="hybridMultilevel"/>
    <w:tmpl w:val="51A69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6" w15:restartNumberingAfterBreak="0">
    <w:nsid w:val="123A756D"/>
    <w:multiLevelType w:val="hybridMultilevel"/>
    <w:tmpl w:val="407A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5C3266"/>
    <w:multiLevelType w:val="hybridMultilevel"/>
    <w:tmpl w:val="5A004E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BF4F8E"/>
    <w:multiLevelType w:val="hybridMultilevel"/>
    <w:tmpl w:val="A4AE2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AF7720"/>
    <w:multiLevelType w:val="hybridMultilevel"/>
    <w:tmpl w:val="522E2F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F465ECD"/>
    <w:multiLevelType w:val="hybridMultilevel"/>
    <w:tmpl w:val="306C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710A4A"/>
    <w:multiLevelType w:val="hybridMultilevel"/>
    <w:tmpl w:val="E10C333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5A24D99"/>
    <w:multiLevelType w:val="hybridMultilevel"/>
    <w:tmpl w:val="655A82AC"/>
    <w:lvl w:ilvl="0" w:tplc="04090001">
      <w:start w:val="1"/>
      <w:numFmt w:val="bullet"/>
      <w:lvlText w:val=""/>
      <w:lvlJc w:val="left"/>
      <w:pPr>
        <w:ind w:left="886" w:hanging="360"/>
      </w:pPr>
      <w:rPr>
        <w:rFonts w:ascii="Symbol" w:hAnsi="Symbol" w:hint="default"/>
      </w:rPr>
    </w:lvl>
    <w:lvl w:ilvl="1" w:tplc="04090003" w:tentative="1">
      <w:start w:val="1"/>
      <w:numFmt w:val="bullet"/>
      <w:lvlText w:val="o"/>
      <w:lvlJc w:val="left"/>
      <w:pPr>
        <w:ind w:left="1606" w:hanging="360"/>
      </w:pPr>
      <w:rPr>
        <w:rFonts w:ascii="Courier New" w:hAnsi="Courier New" w:cs="Courier New" w:hint="default"/>
      </w:rPr>
    </w:lvl>
    <w:lvl w:ilvl="2" w:tplc="04090005" w:tentative="1">
      <w:start w:val="1"/>
      <w:numFmt w:val="bullet"/>
      <w:lvlText w:val=""/>
      <w:lvlJc w:val="left"/>
      <w:pPr>
        <w:ind w:left="2326" w:hanging="360"/>
      </w:pPr>
      <w:rPr>
        <w:rFonts w:ascii="Wingdings" w:hAnsi="Wingdings" w:hint="default"/>
      </w:rPr>
    </w:lvl>
    <w:lvl w:ilvl="3" w:tplc="04090001" w:tentative="1">
      <w:start w:val="1"/>
      <w:numFmt w:val="bullet"/>
      <w:lvlText w:val=""/>
      <w:lvlJc w:val="left"/>
      <w:pPr>
        <w:ind w:left="3046" w:hanging="360"/>
      </w:pPr>
      <w:rPr>
        <w:rFonts w:ascii="Symbol" w:hAnsi="Symbol" w:hint="default"/>
      </w:rPr>
    </w:lvl>
    <w:lvl w:ilvl="4" w:tplc="04090003" w:tentative="1">
      <w:start w:val="1"/>
      <w:numFmt w:val="bullet"/>
      <w:lvlText w:val="o"/>
      <w:lvlJc w:val="left"/>
      <w:pPr>
        <w:ind w:left="3766" w:hanging="360"/>
      </w:pPr>
      <w:rPr>
        <w:rFonts w:ascii="Courier New" w:hAnsi="Courier New" w:cs="Courier New" w:hint="default"/>
      </w:rPr>
    </w:lvl>
    <w:lvl w:ilvl="5" w:tplc="04090005" w:tentative="1">
      <w:start w:val="1"/>
      <w:numFmt w:val="bullet"/>
      <w:lvlText w:val=""/>
      <w:lvlJc w:val="left"/>
      <w:pPr>
        <w:ind w:left="4486" w:hanging="360"/>
      </w:pPr>
      <w:rPr>
        <w:rFonts w:ascii="Wingdings" w:hAnsi="Wingdings" w:hint="default"/>
      </w:rPr>
    </w:lvl>
    <w:lvl w:ilvl="6" w:tplc="04090001" w:tentative="1">
      <w:start w:val="1"/>
      <w:numFmt w:val="bullet"/>
      <w:lvlText w:val=""/>
      <w:lvlJc w:val="left"/>
      <w:pPr>
        <w:ind w:left="5206" w:hanging="360"/>
      </w:pPr>
      <w:rPr>
        <w:rFonts w:ascii="Symbol" w:hAnsi="Symbol" w:hint="default"/>
      </w:rPr>
    </w:lvl>
    <w:lvl w:ilvl="7" w:tplc="04090003" w:tentative="1">
      <w:start w:val="1"/>
      <w:numFmt w:val="bullet"/>
      <w:lvlText w:val="o"/>
      <w:lvlJc w:val="left"/>
      <w:pPr>
        <w:ind w:left="5926" w:hanging="360"/>
      </w:pPr>
      <w:rPr>
        <w:rFonts w:ascii="Courier New" w:hAnsi="Courier New" w:cs="Courier New" w:hint="default"/>
      </w:rPr>
    </w:lvl>
    <w:lvl w:ilvl="8" w:tplc="04090005" w:tentative="1">
      <w:start w:val="1"/>
      <w:numFmt w:val="bullet"/>
      <w:lvlText w:val=""/>
      <w:lvlJc w:val="left"/>
      <w:pPr>
        <w:ind w:left="6646" w:hanging="360"/>
      </w:pPr>
      <w:rPr>
        <w:rFonts w:ascii="Wingdings" w:hAnsi="Wingdings" w:hint="default"/>
      </w:rPr>
    </w:lvl>
  </w:abstractNum>
  <w:abstractNum w:abstractNumId="19" w15:restartNumberingAfterBreak="0">
    <w:nsid w:val="395779B5"/>
    <w:multiLevelType w:val="hybridMultilevel"/>
    <w:tmpl w:val="AE1CD2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A20B80"/>
    <w:multiLevelType w:val="hybridMultilevel"/>
    <w:tmpl w:val="E1947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DF1309"/>
    <w:multiLevelType w:val="hybridMultilevel"/>
    <w:tmpl w:val="AFA014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396319"/>
    <w:multiLevelType w:val="hybridMultilevel"/>
    <w:tmpl w:val="1BDC19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3E7A17E3"/>
    <w:multiLevelType w:val="hybridMultilevel"/>
    <w:tmpl w:val="145A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5242E65"/>
    <w:multiLevelType w:val="hybridMultilevel"/>
    <w:tmpl w:val="49CA56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74D1D87"/>
    <w:multiLevelType w:val="hybridMultilevel"/>
    <w:tmpl w:val="FC3A0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9761F4"/>
    <w:multiLevelType w:val="hybridMultilevel"/>
    <w:tmpl w:val="FCAE3506"/>
    <w:lvl w:ilvl="0" w:tplc="75081CA8">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F3B6330"/>
    <w:multiLevelType w:val="hybridMultilevel"/>
    <w:tmpl w:val="FF5E8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27E797D"/>
    <w:multiLevelType w:val="hybridMultilevel"/>
    <w:tmpl w:val="E858175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B6628FC"/>
    <w:multiLevelType w:val="hybridMultilevel"/>
    <w:tmpl w:val="EBBA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64944BFC"/>
    <w:multiLevelType w:val="hybridMultilevel"/>
    <w:tmpl w:val="139CC732"/>
    <w:lvl w:ilvl="0" w:tplc="84F633AE">
      <w:start w:val="1"/>
      <w:numFmt w:val="bullet"/>
      <w:lvlText w:val=""/>
      <w:lvlJc w:val="left"/>
      <w:pPr>
        <w:ind w:left="360" w:hanging="360"/>
      </w:pPr>
      <w:rPr>
        <w:rFonts w:ascii="Symbol" w:hAnsi="Symbol" w:hint="default"/>
        <w:color w:val="auto"/>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6DD01C72"/>
    <w:multiLevelType w:val="hybridMultilevel"/>
    <w:tmpl w:val="0F94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4704797"/>
    <w:multiLevelType w:val="hybridMultilevel"/>
    <w:tmpl w:val="51A24D1C"/>
    <w:lvl w:ilvl="0" w:tplc="BCCC8E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1207D2"/>
    <w:multiLevelType w:val="hybridMultilevel"/>
    <w:tmpl w:val="822C7A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B34062"/>
    <w:multiLevelType w:val="hybridMultilevel"/>
    <w:tmpl w:val="5DA26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D66AD5"/>
    <w:multiLevelType w:val="hybridMultilevel"/>
    <w:tmpl w:val="55D42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127A7C"/>
    <w:multiLevelType w:val="hybridMultilevel"/>
    <w:tmpl w:val="7782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530A47"/>
    <w:multiLevelType w:val="hybridMultilevel"/>
    <w:tmpl w:val="11404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6150516">
    <w:abstractNumId w:val="29"/>
  </w:num>
  <w:num w:numId="2" w16cid:durableId="686563895">
    <w:abstractNumId w:val="10"/>
  </w:num>
  <w:num w:numId="3" w16cid:durableId="1268074534">
    <w:abstractNumId w:val="33"/>
  </w:num>
  <w:num w:numId="4" w16cid:durableId="249775043">
    <w:abstractNumId w:val="35"/>
  </w:num>
  <w:num w:numId="5" w16cid:durableId="509031724">
    <w:abstractNumId w:val="5"/>
  </w:num>
  <w:num w:numId="6" w16cid:durableId="1338534376">
    <w:abstractNumId w:val="37"/>
  </w:num>
  <w:num w:numId="7" w16cid:durableId="1554387593">
    <w:abstractNumId w:val="23"/>
  </w:num>
  <w:num w:numId="8" w16cid:durableId="26311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71349743">
    <w:abstractNumId w:val="13"/>
  </w:num>
  <w:num w:numId="10" w16cid:durableId="902328831">
    <w:abstractNumId w:val="3"/>
  </w:num>
  <w:num w:numId="11" w16cid:durableId="1582640698">
    <w:abstractNumId w:val="11"/>
  </w:num>
  <w:num w:numId="12" w16cid:durableId="1368412244">
    <w:abstractNumId w:val="7"/>
  </w:num>
  <w:num w:numId="13" w16cid:durableId="1314024281">
    <w:abstractNumId w:val="15"/>
  </w:num>
  <w:num w:numId="14" w16cid:durableId="1596667772">
    <w:abstractNumId w:val="14"/>
  </w:num>
  <w:num w:numId="15" w16cid:durableId="562133194">
    <w:abstractNumId w:val="31"/>
  </w:num>
  <w:num w:numId="16" w16cid:durableId="1746607011">
    <w:abstractNumId w:val="39"/>
  </w:num>
  <w:num w:numId="17" w16cid:durableId="1132794551">
    <w:abstractNumId w:val="28"/>
  </w:num>
  <w:num w:numId="18" w16cid:durableId="1238904889">
    <w:abstractNumId w:val="19"/>
  </w:num>
  <w:num w:numId="19" w16cid:durableId="508444875">
    <w:abstractNumId w:val="21"/>
  </w:num>
  <w:num w:numId="20" w16cid:durableId="1608657132">
    <w:abstractNumId w:val="30"/>
  </w:num>
  <w:num w:numId="21" w16cid:durableId="1615554592">
    <w:abstractNumId w:val="41"/>
  </w:num>
  <w:num w:numId="22" w16cid:durableId="474219779">
    <w:abstractNumId w:val="22"/>
  </w:num>
  <w:num w:numId="23" w16cid:durableId="241987871">
    <w:abstractNumId w:val="12"/>
  </w:num>
  <w:num w:numId="24" w16cid:durableId="124205381">
    <w:abstractNumId w:val="9"/>
  </w:num>
  <w:num w:numId="25" w16cid:durableId="135613753">
    <w:abstractNumId w:val="43"/>
  </w:num>
  <w:num w:numId="26" w16cid:durableId="443379673">
    <w:abstractNumId w:val="38"/>
  </w:num>
  <w:num w:numId="27" w16cid:durableId="165362548">
    <w:abstractNumId w:val="34"/>
  </w:num>
  <w:num w:numId="28" w16cid:durableId="1023088576">
    <w:abstractNumId w:val="17"/>
  </w:num>
  <w:num w:numId="29" w16cid:durableId="304312159">
    <w:abstractNumId w:val="8"/>
  </w:num>
  <w:num w:numId="30" w16cid:durableId="13382519">
    <w:abstractNumId w:val="42"/>
  </w:num>
  <w:num w:numId="31" w16cid:durableId="1027222152">
    <w:abstractNumId w:val="4"/>
  </w:num>
  <w:num w:numId="32" w16cid:durableId="1193375655">
    <w:abstractNumId w:val="6"/>
  </w:num>
  <w:num w:numId="33" w16cid:durableId="313802375">
    <w:abstractNumId w:val="27"/>
  </w:num>
  <w:num w:numId="34" w16cid:durableId="1176338171">
    <w:abstractNumId w:val="27"/>
  </w:num>
  <w:num w:numId="35" w16cid:durableId="1238902542">
    <w:abstractNumId w:val="2"/>
  </w:num>
  <w:num w:numId="36" w16cid:durableId="1958172138">
    <w:abstractNumId w:val="18"/>
  </w:num>
  <w:num w:numId="37" w16cid:durableId="1655333028">
    <w:abstractNumId w:val="25"/>
  </w:num>
  <w:num w:numId="38" w16cid:durableId="1186408173">
    <w:abstractNumId w:val="0"/>
  </w:num>
  <w:num w:numId="39" w16cid:durableId="1209074813">
    <w:abstractNumId w:val="32"/>
  </w:num>
  <w:num w:numId="40" w16cid:durableId="742415715">
    <w:abstractNumId w:val="40"/>
  </w:num>
  <w:num w:numId="41" w16cid:durableId="1591354254">
    <w:abstractNumId w:val="24"/>
  </w:num>
  <w:num w:numId="42" w16cid:durableId="1482388772">
    <w:abstractNumId w:val="20"/>
  </w:num>
  <w:num w:numId="43" w16cid:durableId="793251456">
    <w:abstractNumId w:val="1"/>
  </w:num>
  <w:num w:numId="44" w16cid:durableId="1957826609">
    <w:abstractNumId w:val="36"/>
  </w:num>
  <w:num w:numId="45" w16cid:durableId="1701973070">
    <w:abstractNumId w:val="26"/>
  </w:num>
  <w:num w:numId="46" w16cid:durableId="8202737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93"/>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0781D"/>
    <w:rsid w:val="00015A2E"/>
    <w:rsid w:val="000344B1"/>
    <w:rsid w:val="00035BED"/>
    <w:rsid w:val="0004181B"/>
    <w:rsid w:val="00061AD2"/>
    <w:rsid w:val="00064A81"/>
    <w:rsid w:val="00066554"/>
    <w:rsid w:val="00067C38"/>
    <w:rsid w:val="000706D4"/>
    <w:rsid w:val="00077558"/>
    <w:rsid w:val="000826E8"/>
    <w:rsid w:val="000863D4"/>
    <w:rsid w:val="0008665F"/>
    <w:rsid w:val="00095AB5"/>
    <w:rsid w:val="00095EF3"/>
    <w:rsid w:val="000A2670"/>
    <w:rsid w:val="000A5534"/>
    <w:rsid w:val="000A6B88"/>
    <w:rsid w:val="000B3C4C"/>
    <w:rsid w:val="000B656F"/>
    <w:rsid w:val="000B72DF"/>
    <w:rsid w:val="000C3EDF"/>
    <w:rsid w:val="000D1870"/>
    <w:rsid w:val="000D2E81"/>
    <w:rsid w:val="000D4BA2"/>
    <w:rsid w:val="000D6714"/>
    <w:rsid w:val="000F0D1B"/>
    <w:rsid w:val="000F54AF"/>
    <w:rsid w:val="001046AD"/>
    <w:rsid w:val="00104CDE"/>
    <w:rsid w:val="00115944"/>
    <w:rsid w:val="001177DB"/>
    <w:rsid w:val="0012373E"/>
    <w:rsid w:val="001360A5"/>
    <w:rsid w:val="00143ECC"/>
    <w:rsid w:val="001543A1"/>
    <w:rsid w:val="0016273A"/>
    <w:rsid w:val="0017090F"/>
    <w:rsid w:val="0017113B"/>
    <w:rsid w:val="00181B1A"/>
    <w:rsid w:val="001846F3"/>
    <w:rsid w:val="0019130B"/>
    <w:rsid w:val="001A5256"/>
    <w:rsid w:val="001B3879"/>
    <w:rsid w:val="001E7746"/>
    <w:rsid w:val="001F0774"/>
    <w:rsid w:val="001F1218"/>
    <w:rsid w:val="001F4249"/>
    <w:rsid w:val="001F5947"/>
    <w:rsid w:val="002006F0"/>
    <w:rsid w:val="002016B4"/>
    <w:rsid w:val="002055CF"/>
    <w:rsid w:val="00212597"/>
    <w:rsid w:val="00215313"/>
    <w:rsid w:val="00223DF1"/>
    <w:rsid w:val="00243EBB"/>
    <w:rsid w:val="002461A9"/>
    <w:rsid w:val="002474FF"/>
    <w:rsid w:val="00255C6B"/>
    <w:rsid w:val="00257FBF"/>
    <w:rsid w:val="00265D86"/>
    <w:rsid w:val="00267357"/>
    <w:rsid w:val="002750DC"/>
    <w:rsid w:val="002918F4"/>
    <w:rsid w:val="00291CE8"/>
    <w:rsid w:val="00296127"/>
    <w:rsid w:val="00296765"/>
    <w:rsid w:val="002A02F4"/>
    <w:rsid w:val="002A1C42"/>
    <w:rsid w:val="002A673F"/>
    <w:rsid w:val="002A7164"/>
    <w:rsid w:val="002B061E"/>
    <w:rsid w:val="002B593E"/>
    <w:rsid w:val="002C7CA4"/>
    <w:rsid w:val="002C7FAD"/>
    <w:rsid w:val="002D0E97"/>
    <w:rsid w:val="002E6E58"/>
    <w:rsid w:val="002E76B9"/>
    <w:rsid w:val="002F1F92"/>
    <w:rsid w:val="002F47E5"/>
    <w:rsid w:val="002F5B95"/>
    <w:rsid w:val="002F6F9E"/>
    <w:rsid w:val="00303462"/>
    <w:rsid w:val="00315951"/>
    <w:rsid w:val="0032244E"/>
    <w:rsid w:val="0033143E"/>
    <w:rsid w:val="0034318F"/>
    <w:rsid w:val="0034552B"/>
    <w:rsid w:val="00350A32"/>
    <w:rsid w:val="00366C78"/>
    <w:rsid w:val="003725A1"/>
    <w:rsid w:val="00377089"/>
    <w:rsid w:val="003868A2"/>
    <w:rsid w:val="00392A5B"/>
    <w:rsid w:val="003936A9"/>
    <w:rsid w:val="003A6D70"/>
    <w:rsid w:val="003B1F86"/>
    <w:rsid w:val="003C28EC"/>
    <w:rsid w:val="003C4627"/>
    <w:rsid w:val="003E2832"/>
    <w:rsid w:val="003E6C1A"/>
    <w:rsid w:val="003F778E"/>
    <w:rsid w:val="0040640A"/>
    <w:rsid w:val="00406961"/>
    <w:rsid w:val="00406DB5"/>
    <w:rsid w:val="004071A2"/>
    <w:rsid w:val="004078F6"/>
    <w:rsid w:val="0042336D"/>
    <w:rsid w:val="00432CF9"/>
    <w:rsid w:val="00433355"/>
    <w:rsid w:val="00442014"/>
    <w:rsid w:val="004420DE"/>
    <w:rsid w:val="00457EAE"/>
    <w:rsid w:val="004768BE"/>
    <w:rsid w:val="00477F73"/>
    <w:rsid w:val="004812D5"/>
    <w:rsid w:val="0048355A"/>
    <w:rsid w:val="00484781"/>
    <w:rsid w:val="00486108"/>
    <w:rsid w:val="00490E6C"/>
    <w:rsid w:val="004D0AF2"/>
    <w:rsid w:val="004D1A08"/>
    <w:rsid w:val="004D3C53"/>
    <w:rsid w:val="004D409E"/>
    <w:rsid w:val="004E68AF"/>
    <w:rsid w:val="004F7F34"/>
    <w:rsid w:val="00505588"/>
    <w:rsid w:val="00512486"/>
    <w:rsid w:val="00514371"/>
    <w:rsid w:val="0052465B"/>
    <w:rsid w:val="00524CDD"/>
    <w:rsid w:val="0054080F"/>
    <w:rsid w:val="0054489D"/>
    <w:rsid w:val="00547238"/>
    <w:rsid w:val="00547C68"/>
    <w:rsid w:val="00551629"/>
    <w:rsid w:val="00563009"/>
    <w:rsid w:val="005652FE"/>
    <w:rsid w:val="00565A58"/>
    <w:rsid w:val="0057245E"/>
    <w:rsid w:val="00574A0C"/>
    <w:rsid w:val="00577909"/>
    <w:rsid w:val="005779CF"/>
    <w:rsid w:val="0058042C"/>
    <w:rsid w:val="0058134F"/>
    <w:rsid w:val="00582E85"/>
    <w:rsid w:val="0058607B"/>
    <w:rsid w:val="00587EE4"/>
    <w:rsid w:val="005910B5"/>
    <w:rsid w:val="005958FA"/>
    <w:rsid w:val="005A3596"/>
    <w:rsid w:val="005A6118"/>
    <w:rsid w:val="005A64DA"/>
    <w:rsid w:val="005B0BCD"/>
    <w:rsid w:val="005B437E"/>
    <w:rsid w:val="005B446E"/>
    <w:rsid w:val="005C1D83"/>
    <w:rsid w:val="005E1BB0"/>
    <w:rsid w:val="005E3A4B"/>
    <w:rsid w:val="005E650E"/>
    <w:rsid w:val="005F2827"/>
    <w:rsid w:val="00600865"/>
    <w:rsid w:val="00600EB3"/>
    <w:rsid w:val="006061C8"/>
    <w:rsid w:val="00607BF4"/>
    <w:rsid w:val="00610917"/>
    <w:rsid w:val="00613418"/>
    <w:rsid w:val="0061695D"/>
    <w:rsid w:val="00616EDC"/>
    <w:rsid w:val="0062203F"/>
    <w:rsid w:val="00622D77"/>
    <w:rsid w:val="00627F34"/>
    <w:rsid w:val="00636B18"/>
    <w:rsid w:val="00637CA1"/>
    <w:rsid w:val="00640B0C"/>
    <w:rsid w:val="00647CDD"/>
    <w:rsid w:val="00655164"/>
    <w:rsid w:val="00662334"/>
    <w:rsid w:val="0066617F"/>
    <w:rsid w:val="006731A1"/>
    <w:rsid w:val="00674A16"/>
    <w:rsid w:val="00691E10"/>
    <w:rsid w:val="00692DA7"/>
    <w:rsid w:val="0069419F"/>
    <w:rsid w:val="006A0481"/>
    <w:rsid w:val="006A3877"/>
    <w:rsid w:val="006C653F"/>
    <w:rsid w:val="006E7EC4"/>
    <w:rsid w:val="006F7DFC"/>
    <w:rsid w:val="00700644"/>
    <w:rsid w:val="00704AF2"/>
    <w:rsid w:val="0070776C"/>
    <w:rsid w:val="00710E68"/>
    <w:rsid w:val="00714BA0"/>
    <w:rsid w:val="00725B82"/>
    <w:rsid w:val="007269B6"/>
    <w:rsid w:val="00726E7A"/>
    <w:rsid w:val="0073294A"/>
    <w:rsid w:val="00732E52"/>
    <w:rsid w:val="00736607"/>
    <w:rsid w:val="00744D6B"/>
    <w:rsid w:val="00750D6B"/>
    <w:rsid w:val="00752801"/>
    <w:rsid w:val="007578BB"/>
    <w:rsid w:val="00782E3D"/>
    <w:rsid w:val="00785118"/>
    <w:rsid w:val="00785C47"/>
    <w:rsid w:val="00786BEB"/>
    <w:rsid w:val="00791A27"/>
    <w:rsid w:val="007A0F91"/>
    <w:rsid w:val="007A2019"/>
    <w:rsid w:val="007A403E"/>
    <w:rsid w:val="007A75EA"/>
    <w:rsid w:val="007B710F"/>
    <w:rsid w:val="007C2536"/>
    <w:rsid w:val="007C77DD"/>
    <w:rsid w:val="007E33A2"/>
    <w:rsid w:val="007E3EA6"/>
    <w:rsid w:val="007E40A8"/>
    <w:rsid w:val="007F04AB"/>
    <w:rsid w:val="00803AE3"/>
    <w:rsid w:val="008042E1"/>
    <w:rsid w:val="00804D63"/>
    <w:rsid w:val="00806B9D"/>
    <w:rsid w:val="00812777"/>
    <w:rsid w:val="0082017B"/>
    <w:rsid w:val="008230FA"/>
    <w:rsid w:val="00823D54"/>
    <w:rsid w:val="0084129E"/>
    <w:rsid w:val="00843390"/>
    <w:rsid w:val="00844135"/>
    <w:rsid w:val="00846373"/>
    <w:rsid w:val="00846ECB"/>
    <w:rsid w:val="00854722"/>
    <w:rsid w:val="008568AE"/>
    <w:rsid w:val="00860590"/>
    <w:rsid w:val="008608D4"/>
    <w:rsid w:val="00861316"/>
    <w:rsid w:val="008614E8"/>
    <w:rsid w:val="00867EDF"/>
    <w:rsid w:val="008734D7"/>
    <w:rsid w:val="00875F0D"/>
    <w:rsid w:val="00877414"/>
    <w:rsid w:val="008825E7"/>
    <w:rsid w:val="008A03B7"/>
    <w:rsid w:val="008B70E1"/>
    <w:rsid w:val="008C2197"/>
    <w:rsid w:val="008C3493"/>
    <w:rsid w:val="008D11A6"/>
    <w:rsid w:val="008D1F7B"/>
    <w:rsid w:val="008D2D64"/>
    <w:rsid w:val="008D3BF7"/>
    <w:rsid w:val="008E21BE"/>
    <w:rsid w:val="00902E07"/>
    <w:rsid w:val="00913B1B"/>
    <w:rsid w:val="00927861"/>
    <w:rsid w:val="00936A00"/>
    <w:rsid w:val="0094148C"/>
    <w:rsid w:val="00942635"/>
    <w:rsid w:val="00947783"/>
    <w:rsid w:val="00954FE8"/>
    <w:rsid w:val="00966FDB"/>
    <w:rsid w:val="00967866"/>
    <w:rsid w:val="009726E0"/>
    <w:rsid w:val="00985C5F"/>
    <w:rsid w:val="00990822"/>
    <w:rsid w:val="0099102A"/>
    <w:rsid w:val="00997408"/>
    <w:rsid w:val="009A058A"/>
    <w:rsid w:val="009B0819"/>
    <w:rsid w:val="009B2075"/>
    <w:rsid w:val="009B42D5"/>
    <w:rsid w:val="009C032F"/>
    <w:rsid w:val="009C3A02"/>
    <w:rsid w:val="009C4A31"/>
    <w:rsid w:val="009C4E5A"/>
    <w:rsid w:val="009D0A2F"/>
    <w:rsid w:val="009E00C2"/>
    <w:rsid w:val="009F4749"/>
    <w:rsid w:val="009F6FD2"/>
    <w:rsid w:val="009F78D3"/>
    <w:rsid w:val="00A01502"/>
    <w:rsid w:val="00A10080"/>
    <w:rsid w:val="00A129C2"/>
    <w:rsid w:val="00A31F37"/>
    <w:rsid w:val="00A32BE0"/>
    <w:rsid w:val="00A4732A"/>
    <w:rsid w:val="00A5717F"/>
    <w:rsid w:val="00A57D26"/>
    <w:rsid w:val="00A7166B"/>
    <w:rsid w:val="00A71B4C"/>
    <w:rsid w:val="00A72DEB"/>
    <w:rsid w:val="00A80073"/>
    <w:rsid w:val="00A816B8"/>
    <w:rsid w:val="00A83BA0"/>
    <w:rsid w:val="00A84F18"/>
    <w:rsid w:val="00A85045"/>
    <w:rsid w:val="00A939A7"/>
    <w:rsid w:val="00A95738"/>
    <w:rsid w:val="00A97B7D"/>
    <w:rsid w:val="00AA2252"/>
    <w:rsid w:val="00AA2E25"/>
    <w:rsid w:val="00AA4825"/>
    <w:rsid w:val="00AA72F6"/>
    <w:rsid w:val="00AB33E1"/>
    <w:rsid w:val="00AB4D24"/>
    <w:rsid w:val="00AC1C3B"/>
    <w:rsid w:val="00AC4214"/>
    <w:rsid w:val="00AC6E70"/>
    <w:rsid w:val="00AD1646"/>
    <w:rsid w:val="00AD7AB4"/>
    <w:rsid w:val="00AF038B"/>
    <w:rsid w:val="00AF78FA"/>
    <w:rsid w:val="00B03AC1"/>
    <w:rsid w:val="00B078F6"/>
    <w:rsid w:val="00B26045"/>
    <w:rsid w:val="00B44C55"/>
    <w:rsid w:val="00B46A95"/>
    <w:rsid w:val="00B50920"/>
    <w:rsid w:val="00B5114C"/>
    <w:rsid w:val="00B5123C"/>
    <w:rsid w:val="00B52C22"/>
    <w:rsid w:val="00B544C2"/>
    <w:rsid w:val="00B5566F"/>
    <w:rsid w:val="00B576E5"/>
    <w:rsid w:val="00B630A6"/>
    <w:rsid w:val="00B70CC4"/>
    <w:rsid w:val="00B717A8"/>
    <w:rsid w:val="00B72B54"/>
    <w:rsid w:val="00B81C9D"/>
    <w:rsid w:val="00B9132F"/>
    <w:rsid w:val="00BA7554"/>
    <w:rsid w:val="00BB02DE"/>
    <w:rsid w:val="00BB371A"/>
    <w:rsid w:val="00BB4D81"/>
    <w:rsid w:val="00BB515E"/>
    <w:rsid w:val="00BD5E06"/>
    <w:rsid w:val="00BD7B25"/>
    <w:rsid w:val="00BE1AFF"/>
    <w:rsid w:val="00BE2E77"/>
    <w:rsid w:val="00BF4C2F"/>
    <w:rsid w:val="00BF74E9"/>
    <w:rsid w:val="00C0724A"/>
    <w:rsid w:val="00C2018D"/>
    <w:rsid w:val="00C23D30"/>
    <w:rsid w:val="00C247CB"/>
    <w:rsid w:val="00C300A8"/>
    <w:rsid w:val="00C32D18"/>
    <w:rsid w:val="00C360BD"/>
    <w:rsid w:val="00C41611"/>
    <w:rsid w:val="00C476E1"/>
    <w:rsid w:val="00C52E77"/>
    <w:rsid w:val="00C566B3"/>
    <w:rsid w:val="00C62233"/>
    <w:rsid w:val="00C65249"/>
    <w:rsid w:val="00C67B32"/>
    <w:rsid w:val="00C72007"/>
    <w:rsid w:val="00C73BFA"/>
    <w:rsid w:val="00C75C83"/>
    <w:rsid w:val="00C80923"/>
    <w:rsid w:val="00C80F5D"/>
    <w:rsid w:val="00C837BA"/>
    <w:rsid w:val="00C8583E"/>
    <w:rsid w:val="00C92EBE"/>
    <w:rsid w:val="00C95346"/>
    <w:rsid w:val="00CA3B23"/>
    <w:rsid w:val="00CA62F6"/>
    <w:rsid w:val="00CB0C1D"/>
    <w:rsid w:val="00CC5AA2"/>
    <w:rsid w:val="00CC721A"/>
    <w:rsid w:val="00CD0963"/>
    <w:rsid w:val="00CD5C71"/>
    <w:rsid w:val="00CE3D42"/>
    <w:rsid w:val="00CE53E6"/>
    <w:rsid w:val="00CE53F7"/>
    <w:rsid w:val="00CE66B6"/>
    <w:rsid w:val="00CF09F2"/>
    <w:rsid w:val="00CF539A"/>
    <w:rsid w:val="00CF6131"/>
    <w:rsid w:val="00D06EAA"/>
    <w:rsid w:val="00D07859"/>
    <w:rsid w:val="00D17A78"/>
    <w:rsid w:val="00D36733"/>
    <w:rsid w:val="00D46D27"/>
    <w:rsid w:val="00D471B5"/>
    <w:rsid w:val="00D471C4"/>
    <w:rsid w:val="00D52ECC"/>
    <w:rsid w:val="00D571DB"/>
    <w:rsid w:val="00D6774D"/>
    <w:rsid w:val="00D75191"/>
    <w:rsid w:val="00D76195"/>
    <w:rsid w:val="00D77A51"/>
    <w:rsid w:val="00D80929"/>
    <w:rsid w:val="00D85254"/>
    <w:rsid w:val="00D92FCF"/>
    <w:rsid w:val="00D93741"/>
    <w:rsid w:val="00D94EE9"/>
    <w:rsid w:val="00DA0651"/>
    <w:rsid w:val="00DA226F"/>
    <w:rsid w:val="00DB7925"/>
    <w:rsid w:val="00DC1D2F"/>
    <w:rsid w:val="00DC46C8"/>
    <w:rsid w:val="00DC4FFC"/>
    <w:rsid w:val="00DE6A75"/>
    <w:rsid w:val="00DE79F7"/>
    <w:rsid w:val="00DF6BE4"/>
    <w:rsid w:val="00E0031E"/>
    <w:rsid w:val="00E03A7B"/>
    <w:rsid w:val="00E14DEF"/>
    <w:rsid w:val="00E157BC"/>
    <w:rsid w:val="00E20744"/>
    <w:rsid w:val="00E306DC"/>
    <w:rsid w:val="00E3776D"/>
    <w:rsid w:val="00E414EC"/>
    <w:rsid w:val="00E50E4A"/>
    <w:rsid w:val="00E54D98"/>
    <w:rsid w:val="00E56C3F"/>
    <w:rsid w:val="00E56E25"/>
    <w:rsid w:val="00E603FB"/>
    <w:rsid w:val="00E650D0"/>
    <w:rsid w:val="00E671DD"/>
    <w:rsid w:val="00E7046C"/>
    <w:rsid w:val="00E76334"/>
    <w:rsid w:val="00E87A44"/>
    <w:rsid w:val="00E91F5F"/>
    <w:rsid w:val="00E9309F"/>
    <w:rsid w:val="00EA3B20"/>
    <w:rsid w:val="00EB12DD"/>
    <w:rsid w:val="00EB153E"/>
    <w:rsid w:val="00EB1687"/>
    <w:rsid w:val="00EB1F94"/>
    <w:rsid w:val="00EB2CE0"/>
    <w:rsid w:val="00EB57EB"/>
    <w:rsid w:val="00EC0C1B"/>
    <w:rsid w:val="00ED50CF"/>
    <w:rsid w:val="00EE5945"/>
    <w:rsid w:val="00EE5AA0"/>
    <w:rsid w:val="00F06759"/>
    <w:rsid w:val="00F1152F"/>
    <w:rsid w:val="00F207B3"/>
    <w:rsid w:val="00F3255D"/>
    <w:rsid w:val="00F3672A"/>
    <w:rsid w:val="00F52C00"/>
    <w:rsid w:val="00F5486B"/>
    <w:rsid w:val="00F62BC4"/>
    <w:rsid w:val="00F658E0"/>
    <w:rsid w:val="00F6686D"/>
    <w:rsid w:val="00F81783"/>
    <w:rsid w:val="00F859B7"/>
    <w:rsid w:val="00F877B4"/>
    <w:rsid w:val="00F9304D"/>
    <w:rsid w:val="00FA6661"/>
    <w:rsid w:val="00FB0924"/>
    <w:rsid w:val="00FB2D67"/>
    <w:rsid w:val="00FB3DBC"/>
    <w:rsid w:val="00FC1C44"/>
    <w:rsid w:val="00FC3AEE"/>
    <w:rsid w:val="00FF63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F83350"/>
  <w15:chartTrackingRefBased/>
  <w15:docId w15:val="{84D26F04-C3DD-4627-B50E-C5E8BF22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0744"/>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uiPriority w:val="99"/>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snapToGrid w:val="0"/>
      <w:szCs w:val="20"/>
    </w:rPr>
  </w:style>
  <w:style w:type="character" w:customStyle="1" w:styleId="Heading2Char">
    <w:name w:val="Heading 2 Char"/>
    <w:link w:val="Heading2"/>
    <w:semiHidden/>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BalloonText">
    <w:name w:val="Balloon Text"/>
    <w:basedOn w:val="Normal"/>
    <w:link w:val="BalloonTextChar"/>
    <w:rsid w:val="00700644"/>
    <w:rPr>
      <w:rFonts w:ascii="Tahoma" w:hAnsi="Tahoma" w:cs="Tahoma"/>
      <w:sz w:val="16"/>
      <w:szCs w:val="16"/>
    </w:rPr>
  </w:style>
  <w:style w:type="paragraph" w:styleId="TOC2">
    <w:name w:val="toc 2"/>
    <w:basedOn w:val="Normal"/>
    <w:next w:val="Normal"/>
    <w:autoRedefine/>
    <w:uiPriority w:val="39"/>
    <w:rsid w:val="00433355"/>
    <w:pPr>
      <w:tabs>
        <w:tab w:val="right" w:leader="dot" w:pos="12950"/>
      </w:tabs>
    </w:pPr>
    <w:rPr>
      <w:color w:val="0000FF"/>
      <w:u w:val="single"/>
    </w:rPr>
  </w:style>
  <w:style w:type="character" w:customStyle="1" w:styleId="BalloonTextChar">
    <w:name w:val="Balloon Text Char"/>
    <w:link w:val="BalloonText"/>
    <w:rsid w:val="00700644"/>
    <w:rPr>
      <w:rFonts w:ascii="Tahoma" w:hAnsi="Tahoma" w:cs="Tahoma"/>
      <w:sz w:val="16"/>
      <w:szCs w:val="16"/>
    </w:rPr>
  </w:style>
  <w:style w:type="character" w:styleId="CommentReference">
    <w:name w:val="annotation reference"/>
    <w:uiPriority w:val="99"/>
    <w:unhideWhenUsed/>
    <w:rsid w:val="00AA2E25"/>
    <w:rPr>
      <w:sz w:val="16"/>
      <w:szCs w:val="16"/>
    </w:rPr>
  </w:style>
  <w:style w:type="paragraph" w:styleId="CommentText">
    <w:name w:val="annotation text"/>
    <w:basedOn w:val="Normal"/>
    <w:link w:val="CommentTextChar"/>
    <w:uiPriority w:val="99"/>
    <w:unhideWhenUsed/>
    <w:rsid w:val="00AA2E25"/>
    <w:rPr>
      <w:sz w:val="20"/>
      <w:szCs w:val="20"/>
    </w:rPr>
  </w:style>
  <w:style w:type="character" w:customStyle="1" w:styleId="CommentTextChar">
    <w:name w:val="Comment Text Char"/>
    <w:link w:val="CommentText"/>
    <w:uiPriority w:val="99"/>
    <w:rsid w:val="00AA2E25"/>
    <w:rPr>
      <w:rFonts w:ascii="Verdana" w:hAnsi="Verdana"/>
    </w:rPr>
  </w:style>
  <w:style w:type="paragraph" w:styleId="ListParagraph">
    <w:name w:val="List Paragraph"/>
    <w:basedOn w:val="Normal"/>
    <w:uiPriority w:val="34"/>
    <w:qFormat/>
    <w:rsid w:val="00AA2E25"/>
    <w:pPr>
      <w:ind w:left="720"/>
      <w:contextualSpacing/>
    </w:pPr>
  </w:style>
  <w:style w:type="paragraph" w:styleId="Revision">
    <w:name w:val="Revision"/>
    <w:hidden/>
    <w:uiPriority w:val="99"/>
    <w:semiHidden/>
    <w:rsid w:val="00B81C9D"/>
    <w:rPr>
      <w:rFonts w:ascii="Verdana" w:hAnsi="Verdana"/>
      <w:sz w:val="24"/>
      <w:szCs w:val="24"/>
    </w:rPr>
  </w:style>
  <w:style w:type="character" w:styleId="UnresolvedMention">
    <w:name w:val="Unresolved Mention"/>
    <w:basedOn w:val="DefaultParagraphFont"/>
    <w:uiPriority w:val="99"/>
    <w:semiHidden/>
    <w:unhideWhenUsed/>
    <w:rsid w:val="00BF4C2F"/>
    <w:rPr>
      <w:color w:val="605E5C"/>
      <w:shd w:val="clear" w:color="auto" w:fill="E1DFDD"/>
    </w:rPr>
  </w:style>
  <w:style w:type="paragraph" w:styleId="CommentSubject">
    <w:name w:val="annotation subject"/>
    <w:basedOn w:val="CommentText"/>
    <w:next w:val="CommentText"/>
    <w:link w:val="CommentSubjectChar"/>
    <w:rsid w:val="00EC0C1B"/>
    <w:rPr>
      <w:b/>
      <w:bCs/>
    </w:rPr>
  </w:style>
  <w:style w:type="character" w:customStyle="1" w:styleId="CommentSubjectChar">
    <w:name w:val="Comment Subject Char"/>
    <w:basedOn w:val="CommentTextChar"/>
    <w:link w:val="CommentSubject"/>
    <w:rsid w:val="00EC0C1B"/>
    <w:rPr>
      <w:rFonts w:ascii="Verdana" w:hAnsi="Verdana"/>
      <w:b/>
      <w:bCs/>
    </w:rPr>
  </w:style>
  <w:style w:type="character" w:styleId="Mention">
    <w:name w:val="Mention"/>
    <w:basedOn w:val="DefaultParagraphFont"/>
    <w:uiPriority w:val="99"/>
    <w:unhideWhenUsed/>
    <w:rsid w:val="00EC0C1B"/>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84425500">
      <w:bodyDiv w:val="1"/>
      <w:marLeft w:val="0"/>
      <w:marRight w:val="0"/>
      <w:marTop w:val="0"/>
      <w:marBottom w:val="0"/>
      <w:divBdr>
        <w:top w:val="none" w:sz="0" w:space="0" w:color="auto"/>
        <w:left w:val="none" w:sz="0" w:space="0" w:color="auto"/>
        <w:bottom w:val="none" w:sz="0" w:space="0" w:color="auto"/>
        <w:right w:val="none" w:sz="0" w:space="0" w:color="auto"/>
      </w:divBdr>
    </w:div>
    <w:div w:id="120001134">
      <w:bodyDiv w:val="1"/>
      <w:marLeft w:val="0"/>
      <w:marRight w:val="0"/>
      <w:marTop w:val="0"/>
      <w:marBottom w:val="0"/>
      <w:divBdr>
        <w:top w:val="none" w:sz="0" w:space="0" w:color="auto"/>
        <w:left w:val="none" w:sz="0" w:space="0" w:color="auto"/>
        <w:bottom w:val="none" w:sz="0" w:space="0" w:color="auto"/>
        <w:right w:val="none" w:sz="0" w:space="0" w:color="auto"/>
      </w:divBdr>
    </w:div>
    <w:div w:id="419565770">
      <w:bodyDiv w:val="1"/>
      <w:marLeft w:val="0"/>
      <w:marRight w:val="0"/>
      <w:marTop w:val="0"/>
      <w:marBottom w:val="0"/>
      <w:divBdr>
        <w:top w:val="none" w:sz="0" w:space="0" w:color="auto"/>
        <w:left w:val="none" w:sz="0" w:space="0" w:color="auto"/>
        <w:bottom w:val="none" w:sz="0" w:space="0" w:color="auto"/>
        <w:right w:val="none" w:sz="0" w:space="0" w:color="auto"/>
      </w:divBdr>
    </w:div>
    <w:div w:id="524902754">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799029135">
      <w:bodyDiv w:val="1"/>
      <w:marLeft w:val="0"/>
      <w:marRight w:val="0"/>
      <w:marTop w:val="0"/>
      <w:marBottom w:val="0"/>
      <w:divBdr>
        <w:top w:val="none" w:sz="0" w:space="0" w:color="auto"/>
        <w:left w:val="none" w:sz="0" w:space="0" w:color="auto"/>
        <w:bottom w:val="none" w:sz="0" w:space="0" w:color="auto"/>
        <w:right w:val="none" w:sz="0" w:space="0" w:color="auto"/>
      </w:divBdr>
    </w:div>
    <w:div w:id="1082945819">
      <w:bodyDiv w:val="1"/>
      <w:marLeft w:val="0"/>
      <w:marRight w:val="0"/>
      <w:marTop w:val="0"/>
      <w:marBottom w:val="0"/>
      <w:divBdr>
        <w:top w:val="none" w:sz="0" w:space="0" w:color="auto"/>
        <w:left w:val="none" w:sz="0" w:space="0" w:color="auto"/>
        <w:bottom w:val="none" w:sz="0" w:space="0" w:color="auto"/>
        <w:right w:val="none" w:sz="0" w:space="0" w:color="auto"/>
      </w:divBdr>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331640898">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546985935">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882086508">
      <w:bodyDiv w:val="1"/>
      <w:marLeft w:val="0"/>
      <w:marRight w:val="0"/>
      <w:marTop w:val="0"/>
      <w:marBottom w:val="0"/>
      <w:divBdr>
        <w:top w:val="none" w:sz="0" w:space="0" w:color="auto"/>
        <w:left w:val="none" w:sz="0" w:space="0" w:color="auto"/>
        <w:bottom w:val="none" w:sz="0" w:space="0" w:color="auto"/>
        <w:right w:val="none" w:sz="0" w:space="0" w:color="auto"/>
      </w:divBdr>
    </w:div>
    <w:div w:id="1885872593">
      <w:bodyDiv w:val="1"/>
      <w:marLeft w:val="0"/>
      <w:marRight w:val="0"/>
      <w:marTop w:val="0"/>
      <w:marBottom w:val="0"/>
      <w:divBdr>
        <w:top w:val="none" w:sz="0" w:space="0" w:color="auto"/>
        <w:left w:val="none" w:sz="0" w:space="0" w:color="auto"/>
        <w:bottom w:val="none" w:sz="0" w:space="0" w:color="auto"/>
        <w:right w:val="none" w:sz="0" w:space="0" w:color="auto"/>
      </w:divBdr>
    </w:div>
    <w:div w:id="1921254276">
      <w:bodyDiv w:val="1"/>
      <w:marLeft w:val="0"/>
      <w:marRight w:val="0"/>
      <w:marTop w:val="0"/>
      <w:marBottom w:val="0"/>
      <w:divBdr>
        <w:top w:val="none" w:sz="0" w:space="0" w:color="auto"/>
        <w:left w:val="none" w:sz="0" w:space="0" w:color="auto"/>
        <w:bottom w:val="none" w:sz="0" w:space="0" w:color="auto"/>
        <w:right w:val="none" w:sz="0" w:space="0" w:color="auto"/>
      </w:divBdr>
    </w:div>
    <w:div w:id="1948734191">
      <w:bodyDiv w:val="1"/>
      <w:marLeft w:val="0"/>
      <w:marRight w:val="0"/>
      <w:marTop w:val="0"/>
      <w:marBottom w:val="0"/>
      <w:divBdr>
        <w:top w:val="none" w:sz="0" w:space="0" w:color="auto"/>
        <w:left w:val="none" w:sz="0" w:space="0" w:color="auto"/>
        <w:bottom w:val="none" w:sz="0" w:space="0" w:color="auto"/>
        <w:right w:val="none" w:sz="0" w:space="0" w:color="auto"/>
      </w:divBdr>
    </w:div>
    <w:div w:id="2074621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info.caremark.com/highvalueplan" TargetMode="External"/><Relationship Id="rId18" Type="http://schemas.openxmlformats.org/officeDocument/2006/relationships/hyperlink" Target="https://www.caremark.com/portal/asset/Value_Formulary_MCR.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policy.corp.cvscaremark.com/pnp/faces/DocRenderer?documentId=CALL-0049" TargetMode="External"/><Relationship Id="rId7" Type="http://schemas.openxmlformats.org/officeDocument/2006/relationships/settings" Target="settings.xml"/><Relationship Id="rId12" Type="http://schemas.openxmlformats.org/officeDocument/2006/relationships/hyperlink" Target="https://thesource.cvshealth.com/nuxeo/thesource/" TargetMode="External"/><Relationship Id="rId17" Type="http://schemas.openxmlformats.org/officeDocument/2006/relationships/hyperlink" Target="https://thesource.cvshealth.com/nuxeo/thesourc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hesource.cvshealth.com/nuxeo/thesource/" TargetMode="External"/><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4" ma:contentTypeDescription="Create a new document." ma:contentTypeScope="" ma:versionID="c490d5300bcc29ccb8b6c915c59431fd">
  <xsd:schema xmlns:xsd="http://www.w3.org/2001/XMLSchema" xmlns:xs="http://www.w3.org/2001/XMLSchema" xmlns:p="http://schemas.microsoft.com/office/2006/metadata/properties" xmlns:ns2="105b4efb-3be6-4b39-a776-8a7d43adc0ca" targetNamespace="http://schemas.microsoft.com/office/2006/metadata/properties" ma:root="true" ma:fieldsID="845fad1c6d5081b7ee8f1539f5ad5338" ns2:_="">
    <xsd:import namespace="105b4efb-3be6-4b39-a776-8a7d43adc0c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005A4-E8F3-41FA-B635-07A2D03D90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3.xml><?xml version="1.0" encoding="utf-8"?>
<ds:datastoreItem xmlns:ds="http://schemas.openxmlformats.org/officeDocument/2006/customXml" ds:itemID="{42599055-03C5-44F2-B62D-CBD69CCF16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3B0FFB-48CD-4465-87D8-A2C6F3EDD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15</TotalTime>
  <Pages>1</Pages>
  <Words>1914</Words>
  <Characters>10910</Characters>
  <Application>Microsoft Office Word</Application>
  <DocSecurity>2</DocSecurity>
  <Lines>90</Lines>
  <Paragraphs>25</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12799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Brown, Heather K</cp:lastModifiedBy>
  <cp:revision>7</cp:revision>
  <cp:lastPrinted>2007-01-03T17:56:00Z</cp:lastPrinted>
  <dcterms:created xsi:type="dcterms:W3CDTF">2024-07-30T19:42:00Z</dcterms:created>
  <dcterms:modified xsi:type="dcterms:W3CDTF">2024-07-30T20:28:00Z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0x010100ACB49505AAF66544B3991E59A726D05A</vt:lpwstr>
  </property>
  <property fmtid="{D5CDD505-2E9C-101B-9397-08002B2CF9AE}" pid="3" name="MSIP_Label_67599526-06ca-49cc-9fa9-5307800a949a_Enabled">
    <vt:lpwstr>true</vt:lpwstr>
  </property>
  <property fmtid="{D5CDD505-2E9C-101B-9397-08002B2CF9AE}" pid="4" name="MSIP_Label_67599526-06ca-49cc-9fa9-5307800a949a_SetDate">
    <vt:lpwstr>2022-04-22T19:07:26Z</vt:lpwstr>
  </property>
  <property fmtid="{D5CDD505-2E9C-101B-9397-08002B2CF9AE}" pid="5" name="MSIP_Label_67599526-06ca-49cc-9fa9-5307800a949a_Method">
    <vt:lpwstr>Standard</vt:lpwstr>
  </property>
  <property fmtid="{D5CDD505-2E9C-101B-9397-08002B2CF9AE}" pid="6" name="MSIP_Label_67599526-06ca-49cc-9fa9-5307800a949a_Name">
    <vt:lpwstr>67599526-06ca-49cc-9fa9-5307800a949a</vt:lpwstr>
  </property>
  <property fmtid="{D5CDD505-2E9C-101B-9397-08002B2CF9AE}" pid="7" name="MSIP_Label_67599526-06ca-49cc-9fa9-5307800a949a_SiteId">
    <vt:lpwstr>fabb61b8-3afe-4e75-b934-a47f782b8cd7</vt:lpwstr>
  </property>
  <property fmtid="{D5CDD505-2E9C-101B-9397-08002B2CF9AE}" pid="8" name="MSIP_Label_67599526-06ca-49cc-9fa9-5307800a949a_ActionId">
    <vt:lpwstr>fb690a79-418c-42ca-bd93-c3f867270fbb</vt:lpwstr>
  </property>
  <property fmtid="{D5CDD505-2E9C-101B-9397-08002B2CF9AE}" pid="9" name="MSIP_Label_67599526-06ca-49cc-9fa9-5307800a949a_ContentBits">
    <vt:lpwstr>0</vt:lpwstr>
  </property>
</Properties>
</file>