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60305" w14:textId="77777777" w:rsidR="00524CDD" w:rsidRPr="00710FC7" w:rsidRDefault="0018091C" w:rsidP="00710FC7">
      <w:pPr>
        <w:pStyle w:val="Heading1"/>
        <w:rPr>
          <w:rFonts w:ascii="Verdana" w:hAnsi="Verdana"/>
          <w:bCs/>
          <w:color w:val="auto"/>
          <w:sz w:val="36"/>
        </w:rPr>
      </w:pPr>
      <w:bookmarkStart w:id="0" w:name="_top"/>
      <w:bookmarkStart w:id="1" w:name="_Hlk190763337"/>
      <w:bookmarkEnd w:id="0"/>
      <w:r w:rsidRPr="00073E64">
        <w:rPr>
          <w:rFonts w:ascii="Verdana" w:hAnsi="Verdana"/>
          <w:bCs/>
          <w:color w:val="000000"/>
          <w:sz w:val="36"/>
        </w:rPr>
        <w:t>Member</w:t>
      </w:r>
      <w:r w:rsidR="00D8715D" w:rsidRPr="00073E64">
        <w:rPr>
          <w:rFonts w:ascii="Verdana" w:hAnsi="Verdana"/>
          <w:bCs/>
          <w:color w:val="000000"/>
          <w:sz w:val="36"/>
        </w:rPr>
        <w:t xml:space="preserve"> Counseling</w:t>
      </w:r>
      <w:r w:rsidR="00D8715D" w:rsidRPr="00710FC7">
        <w:rPr>
          <w:rFonts w:ascii="Verdana" w:hAnsi="Verdana"/>
          <w:bCs/>
          <w:color w:val="auto"/>
          <w:sz w:val="36"/>
        </w:rPr>
        <w:t xml:space="preserve"> by Pharmacist (Clinical Inquiry)</w:t>
      </w:r>
    </w:p>
    <w:bookmarkEnd w:id="1"/>
    <w:p w14:paraId="1197A6C3" w14:textId="010D6026" w:rsidR="00D434BA" w:rsidRPr="00A90EDA" w:rsidRDefault="00C10B92">
      <w:pPr>
        <w:pStyle w:val="TOC2"/>
        <w:rPr>
          <w:rFonts w:ascii="Verdana" w:eastAsiaTheme="minorEastAsia" w:hAnsi="Verdana" w:cstheme="minorBidi"/>
          <w:noProof/>
          <w:sz w:val="22"/>
          <w:szCs w:val="22"/>
        </w:rPr>
      </w:pPr>
      <w:r w:rsidRPr="00A90EDA">
        <w:rPr>
          <w:rFonts w:ascii="Verdana" w:hAnsi="Verdana"/>
        </w:rPr>
        <w:fldChar w:fldCharType="begin"/>
      </w:r>
      <w:r w:rsidRPr="00A90EDA">
        <w:rPr>
          <w:rFonts w:ascii="Verdana" w:hAnsi="Verdana"/>
        </w:rPr>
        <w:instrText xml:space="preserve"> TOC \o "2-2" \n \p " " \h \z \u </w:instrText>
      </w:r>
      <w:r w:rsidRPr="00A90EDA">
        <w:rPr>
          <w:rFonts w:ascii="Verdana" w:hAnsi="Verdana"/>
        </w:rPr>
        <w:fldChar w:fldCharType="separate"/>
      </w:r>
      <w:hyperlink w:anchor="_Toc155186241" w:history="1">
        <w:r w:rsidR="00D434BA" w:rsidRPr="00A90EDA">
          <w:rPr>
            <w:rStyle w:val="Hyperlink"/>
            <w:rFonts w:ascii="Verdana" w:hAnsi="Verdana"/>
            <w:noProof/>
          </w:rPr>
          <w:t>Process</w:t>
        </w:r>
      </w:hyperlink>
    </w:p>
    <w:p w14:paraId="01E5500D" w14:textId="7FE82408" w:rsidR="00D434BA" w:rsidRPr="00A90EDA" w:rsidRDefault="00D434BA">
      <w:pPr>
        <w:pStyle w:val="TOC2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55186242" w:history="1">
        <w:r w:rsidRPr="00A90EDA">
          <w:rPr>
            <w:rStyle w:val="Hyperlink"/>
            <w:rFonts w:ascii="Verdana" w:hAnsi="Verdana"/>
            <w:noProof/>
          </w:rPr>
          <w:t>Related Documents</w:t>
        </w:r>
      </w:hyperlink>
    </w:p>
    <w:p w14:paraId="56C899FE" w14:textId="3CD6C74C" w:rsidR="009D3273" w:rsidRPr="00B46A95" w:rsidRDefault="00C10B92" w:rsidP="00637CA1">
      <w:pPr>
        <w:rPr>
          <w:rFonts w:ascii="Verdana" w:hAnsi="Verdana"/>
        </w:rPr>
      </w:pPr>
      <w:r w:rsidRPr="00A90EDA">
        <w:rPr>
          <w:rFonts w:ascii="Verdana" w:hAnsi="Verdana"/>
        </w:rPr>
        <w:fldChar w:fldCharType="end"/>
      </w:r>
      <w:r w:rsidR="00EA2414" w:rsidDel="00EA2414">
        <w:rPr>
          <w:rFonts w:ascii="Verdana" w:hAnsi="Verdana"/>
        </w:rPr>
        <w:t xml:space="preserve"> </w:t>
      </w:r>
    </w:p>
    <w:p w14:paraId="5520CCB5" w14:textId="0A1D777A" w:rsidR="00697C84" w:rsidRDefault="00DC6BD5" w:rsidP="001A0786">
      <w:pPr>
        <w:spacing w:before="120" w:after="120"/>
        <w:rPr>
          <w:rFonts w:ascii="Verdana" w:hAnsi="Verdana"/>
        </w:rPr>
      </w:pPr>
      <w:bookmarkStart w:id="2" w:name="_Overview"/>
      <w:bookmarkEnd w:id="2"/>
      <w:r w:rsidRPr="001A0786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D434BA">
        <w:rPr>
          <w:rFonts w:ascii="Verdana" w:hAnsi="Verdana"/>
        </w:rPr>
        <w:t>P</w:t>
      </w:r>
      <w:r>
        <w:rPr>
          <w:rFonts w:ascii="Verdana" w:hAnsi="Verdana"/>
        </w:rPr>
        <w:t>rocedures on how</w:t>
      </w:r>
      <w:r w:rsidR="00D8715D" w:rsidRPr="00D8715D">
        <w:rPr>
          <w:rFonts w:ascii="Verdana" w:hAnsi="Verdana"/>
        </w:rPr>
        <w:t xml:space="preserve"> to handle a call </w:t>
      </w:r>
      <w:r w:rsidR="00D8715D" w:rsidRPr="00073E64">
        <w:rPr>
          <w:rFonts w:ascii="Verdana" w:hAnsi="Verdana"/>
          <w:color w:val="000000"/>
        </w:rPr>
        <w:t xml:space="preserve">from a </w:t>
      </w:r>
      <w:r w:rsidR="0018091C" w:rsidRPr="00073E64">
        <w:rPr>
          <w:rFonts w:ascii="Verdana" w:hAnsi="Verdana"/>
          <w:color w:val="000000"/>
        </w:rPr>
        <w:t>member</w:t>
      </w:r>
      <w:r w:rsidR="00D8715D" w:rsidRPr="00073E64">
        <w:rPr>
          <w:rFonts w:ascii="Verdana" w:hAnsi="Verdana"/>
          <w:color w:val="000000"/>
        </w:rPr>
        <w:t xml:space="preserve"> requesting</w:t>
      </w:r>
      <w:r w:rsidR="00D8715D" w:rsidRPr="00D8715D">
        <w:rPr>
          <w:rFonts w:ascii="Verdana" w:hAnsi="Verdana"/>
        </w:rPr>
        <w:t xml:space="preserve"> to speak to a Pharmacist</w:t>
      </w:r>
      <w:r w:rsidR="009D3273">
        <w:rPr>
          <w:rFonts w:ascii="Verdana" w:hAnsi="Verdana"/>
        </w:rPr>
        <w:t xml:space="preserve"> regarding a clinical question</w:t>
      </w:r>
      <w:r w:rsidR="00F03C73">
        <w:rPr>
          <w:rFonts w:ascii="Verdana" w:hAnsi="Verdana"/>
        </w:rPr>
        <w:t xml:space="preserve"> about their prescription.</w:t>
      </w:r>
      <w:bookmarkStart w:id="3" w:name="_Rationale"/>
      <w:bookmarkStart w:id="4" w:name="_Definitions"/>
      <w:bookmarkStart w:id="5" w:name="_Abbreviations/Definitions"/>
      <w:bookmarkEnd w:id="3"/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97B7D" w:rsidRPr="00334E7C" w14:paraId="2B374028" w14:textId="77777777" w:rsidTr="00761CB6">
        <w:tc>
          <w:tcPr>
            <w:tcW w:w="5000" w:type="pct"/>
            <w:shd w:val="clear" w:color="auto" w:fill="BFBFBF" w:themeFill="background1" w:themeFillShade="BF"/>
          </w:tcPr>
          <w:p w14:paraId="665A2480" w14:textId="75F7D4AA" w:rsidR="00A97B7D" w:rsidRPr="00334E7C" w:rsidRDefault="00D8715D" w:rsidP="001A078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Various_Work_Instructions"/>
            <w:bookmarkStart w:id="7" w:name="_Process"/>
            <w:bookmarkStart w:id="8" w:name="_Various_Work_Instructions1"/>
            <w:bookmarkStart w:id="9" w:name="_Various_Work_Instructions_1"/>
            <w:bookmarkStart w:id="10" w:name="_Toc155186241"/>
            <w:bookmarkEnd w:id="6"/>
            <w:bookmarkEnd w:id="7"/>
            <w:bookmarkEnd w:id="8"/>
            <w:bookmarkEnd w:id="9"/>
            <w:r w:rsidRPr="00334E7C">
              <w:rPr>
                <w:rFonts w:ascii="Verdana" w:hAnsi="Verdana"/>
                <w:i w:val="0"/>
                <w:iCs w:val="0"/>
              </w:rPr>
              <w:t>Process</w:t>
            </w:r>
            <w:bookmarkEnd w:id="10"/>
          </w:p>
        </w:tc>
      </w:tr>
    </w:tbl>
    <w:p w14:paraId="09877665" w14:textId="77777777" w:rsidR="006862D9" w:rsidRDefault="006862D9" w:rsidP="001A0786">
      <w:pPr>
        <w:spacing w:before="120" w:after="120"/>
        <w:rPr>
          <w:rFonts w:ascii="Verdana" w:hAnsi="Verdana"/>
        </w:rPr>
      </w:pPr>
    </w:p>
    <w:p w14:paraId="3368BFEC" w14:textId="75C45F43" w:rsidR="00B813D6" w:rsidRPr="00D8715D" w:rsidRDefault="00D8715D" w:rsidP="001A0786">
      <w:pPr>
        <w:spacing w:before="120" w:after="120"/>
        <w:rPr>
          <w:rFonts w:ascii="Verdana" w:hAnsi="Verdana"/>
        </w:rPr>
      </w:pPr>
      <w:r w:rsidRPr="00D8715D">
        <w:rPr>
          <w:rFonts w:ascii="Verdana" w:hAnsi="Verdana"/>
        </w:rPr>
        <w:t xml:space="preserve">Perform the following steps when </w:t>
      </w:r>
      <w:r w:rsidRPr="00073E64">
        <w:rPr>
          <w:rFonts w:ascii="Verdana" w:hAnsi="Verdana"/>
          <w:color w:val="000000"/>
        </w:rPr>
        <w:t xml:space="preserve">a </w:t>
      </w:r>
      <w:r w:rsidR="0018091C" w:rsidRPr="00073E64">
        <w:rPr>
          <w:rFonts w:ascii="Verdana" w:hAnsi="Verdana"/>
          <w:color w:val="000000"/>
        </w:rPr>
        <w:t>member</w:t>
      </w:r>
      <w:r w:rsidRPr="00073E64">
        <w:rPr>
          <w:rFonts w:ascii="Verdana" w:hAnsi="Verdana"/>
          <w:color w:val="000000"/>
        </w:rPr>
        <w:t xml:space="preserve"> requests</w:t>
      </w:r>
      <w:r w:rsidRPr="00D8715D">
        <w:rPr>
          <w:rFonts w:ascii="Verdana" w:hAnsi="Verdana"/>
        </w:rPr>
        <w:t xml:space="preserve"> to speak to a Pharmacist: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532"/>
        <w:gridCol w:w="8594"/>
      </w:tblGrid>
      <w:tr w:rsidR="00D471B5" w:rsidRPr="00334E7C" w14:paraId="62FD3F03" w14:textId="77777777" w:rsidTr="00267DF1">
        <w:tc>
          <w:tcPr>
            <w:tcW w:w="314" w:type="pct"/>
            <w:shd w:val="clear" w:color="auto" w:fill="D9D9D9" w:themeFill="background1" w:themeFillShade="D9"/>
          </w:tcPr>
          <w:p w14:paraId="54978239" w14:textId="77777777" w:rsidR="00D471B5" w:rsidRPr="00334E7C" w:rsidRDefault="00EB52F0" w:rsidP="001A078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34E7C">
              <w:rPr>
                <w:rFonts w:ascii="Verdana" w:hAnsi="Verdana"/>
                <w:b/>
              </w:rPr>
              <w:t>Step</w:t>
            </w:r>
          </w:p>
        </w:tc>
        <w:tc>
          <w:tcPr>
            <w:tcW w:w="4686" w:type="pct"/>
            <w:gridSpan w:val="2"/>
            <w:shd w:val="clear" w:color="auto" w:fill="D9D9D9" w:themeFill="background1" w:themeFillShade="D9"/>
          </w:tcPr>
          <w:p w14:paraId="536BA09B" w14:textId="77777777" w:rsidR="00D471B5" w:rsidRPr="00334E7C" w:rsidRDefault="00EB52F0" w:rsidP="001A078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34E7C">
              <w:rPr>
                <w:rFonts w:ascii="Verdana" w:hAnsi="Verdana"/>
                <w:b/>
              </w:rPr>
              <w:t>Action</w:t>
            </w:r>
          </w:p>
        </w:tc>
      </w:tr>
      <w:tr w:rsidR="00D8715D" w:rsidRPr="00334E7C" w14:paraId="39E1283A" w14:textId="77777777" w:rsidTr="00B40865">
        <w:tc>
          <w:tcPr>
            <w:tcW w:w="314" w:type="pct"/>
          </w:tcPr>
          <w:p w14:paraId="286734BA" w14:textId="77777777" w:rsidR="00D8715D" w:rsidRPr="00334E7C" w:rsidRDefault="00D8715D" w:rsidP="001A078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34E7C">
              <w:rPr>
                <w:rFonts w:ascii="Verdana" w:hAnsi="Verdana"/>
                <w:b/>
              </w:rPr>
              <w:t>1</w:t>
            </w:r>
          </w:p>
        </w:tc>
        <w:tc>
          <w:tcPr>
            <w:tcW w:w="4686" w:type="pct"/>
            <w:gridSpan w:val="2"/>
          </w:tcPr>
          <w:p w14:paraId="37685DBF" w14:textId="0B5B2E63" w:rsidR="00D8715D" w:rsidRPr="00334E7C" w:rsidRDefault="00D8715D" w:rsidP="001A0786">
            <w:p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334E7C">
              <w:rPr>
                <w:rFonts w:ascii="Verdana" w:hAnsi="Verdana"/>
                <w:color w:val="333333"/>
              </w:rPr>
              <w:t>Access the</w:t>
            </w:r>
            <w:r w:rsidR="00DC6BD5">
              <w:rPr>
                <w:rFonts w:ascii="Verdana" w:hAnsi="Verdana"/>
                <w:color w:val="333333"/>
              </w:rPr>
              <w:t xml:space="preserve"> People</w:t>
            </w:r>
            <w:r w:rsidR="00D434BA">
              <w:rPr>
                <w:rFonts w:ascii="Verdana" w:hAnsi="Verdana"/>
                <w:color w:val="333333"/>
              </w:rPr>
              <w:t>S</w:t>
            </w:r>
            <w:r w:rsidR="00DC6BD5">
              <w:rPr>
                <w:rFonts w:ascii="Verdana" w:hAnsi="Verdana"/>
                <w:color w:val="333333"/>
              </w:rPr>
              <w:t>afe</w:t>
            </w:r>
            <w:r w:rsidRPr="00334E7C">
              <w:rPr>
                <w:rFonts w:ascii="Verdana" w:hAnsi="Verdana"/>
                <w:color w:val="333333"/>
              </w:rPr>
              <w:t xml:space="preserve"> Main Screen to </w:t>
            </w:r>
            <w:r w:rsidRPr="00334E7C">
              <w:rPr>
                <w:rFonts w:ascii="Verdana" w:hAnsi="Verdana"/>
                <w:color w:val="000000"/>
              </w:rPr>
              <w:t xml:space="preserve">display </w:t>
            </w:r>
            <w:r w:rsidR="0018091C" w:rsidRPr="00334E7C">
              <w:rPr>
                <w:rFonts w:ascii="Verdana" w:hAnsi="Verdana"/>
                <w:color w:val="000000"/>
              </w:rPr>
              <w:t>Member</w:t>
            </w:r>
            <w:r w:rsidRPr="00334E7C">
              <w:rPr>
                <w:rFonts w:ascii="Verdana" w:hAnsi="Verdana"/>
                <w:color w:val="333333"/>
              </w:rPr>
              <w:t>/Dependent information.</w:t>
            </w:r>
          </w:p>
        </w:tc>
      </w:tr>
      <w:tr w:rsidR="00B27659" w:rsidRPr="00334E7C" w14:paraId="48AE205F" w14:textId="77777777" w:rsidTr="00B40865">
        <w:trPr>
          <w:trHeight w:val="69"/>
        </w:trPr>
        <w:tc>
          <w:tcPr>
            <w:tcW w:w="314" w:type="pct"/>
            <w:vMerge w:val="restart"/>
          </w:tcPr>
          <w:p w14:paraId="0DD1099F" w14:textId="77777777" w:rsidR="00B27659" w:rsidRPr="00334E7C" w:rsidRDefault="00B27659" w:rsidP="001A078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34E7C">
              <w:rPr>
                <w:rFonts w:ascii="Verdana" w:hAnsi="Verdana"/>
                <w:b/>
              </w:rPr>
              <w:t>2</w:t>
            </w:r>
          </w:p>
        </w:tc>
        <w:tc>
          <w:tcPr>
            <w:tcW w:w="4686" w:type="pct"/>
            <w:gridSpan w:val="2"/>
            <w:tcBorders>
              <w:bottom w:val="single" w:sz="4" w:space="0" w:color="auto"/>
            </w:tcBorders>
          </w:tcPr>
          <w:p w14:paraId="276AD65B" w14:textId="77777777" w:rsidR="00B27659" w:rsidRPr="00334E7C" w:rsidRDefault="00F03C73" w:rsidP="001A0786">
            <w:p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Determine if the prescription is retail or home delivery.</w:t>
            </w:r>
          </w:p>
        </w:tc>
      </w:tr>
      <w:tr w:rsidR="00B27659" w:rsidRPr="00334E7C" w14:paraId="459B1DFF" w14:textId="77777777" w:rsidTr="0093702E">
        <w:trPr>
          <w:trHeight w:val="67"/>
        </w:trPr>
        <w:tc>
          <w:tcPr>
            <w:tcW w:w="314" w:type="pct"/>
            <w:vMerge/>
          </w:tcPr>
          <w:p w14:paraId="5B1CC902" w14:textId="77777777" w:rsidR="00B27659" w:rsidRPr="00334E7C" w:rsidRDefault="00B27659" w:rsidP="001A078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6" w:type="pct"/>
            <w:shd w:val="clear" w:color="auto" w:fill="D9D9D9" w:themeFill="background1" w:themeFillShade="D9"/>
          </w:tcPr>
          <w:p w14:paraId="7A582C29" w14:textId="77777777" w:rsidR="00B27659" w:rsidRPr="00334E7C" w:rsidRDefault="00B27659" w:rsidP="001A0786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333333"/>
              </w:rPr>
            </w:pPr>
            <w:r w:rsidRPr="00334E7C">
              <w:rPr>
                <w:rFonts w:ascii="Verdana" w:hAnsi="Verdana"/>
                <w:b/>
                <w:color w:val="333333"/>
              </w:rPr>
              <w:t>If</w:t>
            </w:r>
            <w:r w:rsidR="00F03C73">
              <w:rPr>
                <w:rFonts w:ascii="Verdana" w:hAnsi="Verdana"/>
                <w:b/>
                <w:color w:val="333333"/>
              </w:rPr>
              <w:t>…</w:t>
            </w:r>
          </w:p>
        </w:tc>
        <w:tc>
          <w:tcPr>
            <w:tcW w:w="3320" w:type="pct"/>
            <w:shd w:val="clear" w:color="auto" w:fill="D9D9D9" w:themeFill="background1" w:themeFillShade="D9"/>
          </w:tcPr>
          <w:p w14:paraId="23A32A51" w14:textId="77777777" w:rsidR="00B27659" w:rsidRPr="00334E7C" w:rsidRDefault="00B27659" w:rsidP="001A0786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333333"/>
              </w:rPr>
            </w:pPr>
            <w:r w:rsidRPr="00334E7C">
              <w:rPr>
                <w:rFonts w:ascii="Verdana" w:hAnsi="Verdana"/>
                <w:b/>
                <w:color w:val="333333"/>
              </w:rPr>
              <w:t>Then…</w:t>
            </w:r>
          </w:p>
        </w:tc>
      </w:tr>
      <w:tr w:rsidR="00B27659" w:rsidRPr="00334E7C" w14:paraId="71ADD663" w14:textId="77777777" w:rsidTr="00B40865">
        <w:trPr>
          <w:trHeight w:val="67"/>
        </w:trPr>
        <w:tc>
          <w:tcPr>
            <w:tcW w:w="314" w:type="pct"/>
            <w:vMerge/>
          </w:tcPr>
          <w:p w14:paraId="6ADA9ECB" w14:textId="77777777" w:rsidR="00B27659" w:rsidRPr="00334E7C" w:rsidRDefault="00B27659" w:rsidP="001A078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6" w:type="pct"/>
          </w:tcPr>
          <w:p w14:paraId="600AC5CF" w14:textId="77777777" w:rsidR="00B27659" w:rsidRPr="00334E7C" w:rsidRDefault="00F03C73" w:rsidP="001A0786">
            <w:p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Retail</w:t>
            </w:r>
          </w:p>
        </w:tc>
        <w:tc>
          <w:tcPr>
            <w:tcW w:w="3320" w:type="pct"/>
          </w:tcPr>
          <w:p w14:paraId="5614A940" w14:textId="50303A03" w:rsidR="00EC68D1" w:rsidRPr="00334E7C" w:rsidRDefault="00F03C73" w:rsidP="001A0786">
            <w:p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Proceed to step 4.</w:t>
            </w:r>
          </w:p>
        </w:tc>
      </w:tr>
      <w:tr w:rsidR="00B27659" w:rsidRPr="00334E7C" w14:paraId="4757B867" w14:textId="77777777" w:rsidTr="00B40865">
        <w:trPr>
          <w:trHeight w:val="67"/>
        </w:trPr>
        <w:tc>
          <w:tcPr>
            <w:tcW w:w="314" w:type="pct"/>
            <w:vMerge/>
          </w:tcPr>
          <w:p w14:paraId="35068183" w14:textId="77777777" w:rsidR="00B27659" w:rsidRPr="00334E7C" w:rsidRDefault="00B27659" w:rsidP="001A078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66" w:type="pct"/>
          </w:tcPr>
          <w:p w14:paraId="55A347A5" w14:textId="77777777" w:rsidR="00B27659" w:rsidRPr="00334E7C" w:rsidRDefault="00F03C73" w:rsidP="001A0786">
            <w:p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Home Delivery</w:t>
            </w:r>
          </w:p>
        </w:tc>
        <w:tc>
          <w:tcPr>
            <w:tcW w:w="3320" w:type="pct"/>
          </w:tcPr>
          <w:p w14:paraId="4DD389BB" w14:textId="652E5377" w:rsidR="00EC68D1" w:rsidRPr="00334E7C" w:rsidRDefault="00F03C73" w:rsidP="001A0786">
            <w:p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 xml:space="preserve">Proceed to step 3. </w:t>
            </w:r>
          </w:p>
        </w:tc>
      </w:tr>
      <w:tr w:rsidR="00D8715D" w:rsidRPr="00334E7C" w14:paraId="7FB49DE9" w14:textId="77777777" w:rsidTr="00B40865">
        <w:tc>
          <w:tcPr>
            <w:tcW w:w="314" w:type="pct"/>
          </w:tcPr>
          <w:p w14:paraId="0B4A2FB9" w14:textId="4E4755D1" w:rsidR="00D8715D" w:rsidRPr="00334E7C" w:rsidRDefault="00D8715D" w:rsidP="001A078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34E7C">
              <w:rPr>
                <w:rFonts w:ascii="Verdana" w:hAnsi="Verdana"/>
                <w:b/>
              </w:rPr>
              <w:t>3</w:t>
            </w:r>
          </w:p>
        </w:tc>
        <w:tc>
          <w:tcPr>
            <w:tcW w:w="4686" w:type="pct"/>
            <w:gridSpan w:val="2"/>
          </w:tcPr>
          <w:p w14:paraId="7AF80EFA" w14:textId="3E1BC74A" w:rsidR="00642F62" w:rsidRPr="006862D9" w:rsidRDefault="00D8715D" w:rsidP="001A0786">
            <w:p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6862D9">
              <w:rPr>
                <w:rFonts w:ascii="Verdana" w:hAnsi="Verdana"/>
                <w:color w:val="333333"/>
              </w:rPr>
              <w:t>Determine</w:t>
            </w:r>
            <w:r w:rsidR="00251C96" w:rsidRPr="006862D9">
              <w:rPr>
                <w:rFonts w:ascii="Verdana" w:hAnsi="Verdana"/>
                <w:color w:val="333333"/>
              </w:rPr>
              <w:t xml:space="preserve"> if</w:t>
            </w:r>
            <w:r w:rsidRPr="006862D9">
              <w:rPr>
                <w:rFonts w:ascii="Verdana" w:hAnsi="Verdana"/>
                <w:color w:val="333333"/>
              </w:rPr>
              <w:t xml:space="preserve"> </w:t>
            </w:r>
            <w:r w:rsidRPr="006862D9">
              <w:rPr>
                <w:rFonts w:ascii="Verdana" w:hAnsi="Verdana"/>
                <w:color w:val="000000"/>
              </w:rPr>
              <w:t xml:space="preserve">the </w:t>
            </w:r>
            <w:r w:rsidR="0018091C" w:rsidRPr="006862D9">
              <w:rPr>
                <w:rFonts w:ascii="Verdana" w:hAnsi="Verdana"/>
                <w:color w:val="000000"/>
              </w:rPr>
              <w:t>member</w:t>
            </w:r>
            <w:r w:rsidRPr="006862D9">
              <w:rPr>
                <w:rFonts w:ascii="Verdana" w:hAnsi="Verdana"/>
                <w:color w:val="000000"/>
              </w:rPr>
              <w:t xml:space="preserve"> is</w:t>
            </w:r>
            <w:r w:rsidRPr="006862D9">
              <w:rPr>
                <w:rFonts w:ascii="Verdana" w:hAnsi="Verdana"/>
                <w:color w:val="333333"/>
              </w:rPr>
              <w:t xml:space="preserve"> calling with a </w:t>
            </w:r>
            <w:hyperlink r:id="rId8" w:anchor="!/view?docid=ff2706a9-6f42-4ccd-87e1-59cb2ce103a8" w:history="1">
              <w:r w:rsidR="00D434BA" w:rsidRPr="006862D9">
                <w:rPr>
                  <w:rStyle w:val="Hyperlink"/>
                  <w:rFonts w:ascii="Verdana" w:hAnsi="Verdana"/>
                </w:rPr>
                <w:t>clinical (024833)</w:t>
              </w:r>
            </w:hyperlink>
            <w:r w:rsidRPr="006862D9">
              <w:rPr>
                <w:rFonts w:ascii="Verdana" w:hAnsi="Verdana"/>
                <w:color w:val="333333"/>
              </w:rPr>
              <w:t xml:space="preserve"> question regarding their prescription, such as:</w:t>
            </w:r>
          </w:p>
          <w:p w14:paraId="6414351A" w14:textId="167EFC9A" w:rsidR="00642F62" w:rsidRPr="00B40865" w:rsidRDefault="00642F62" w:rsidP="00EB6740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B40865">
              <w:rPr>
                <w:rFonts w:ascii="Verdana" w:hAnsi="Verdana"/>
                <w:color w:val="333333"/>
              </w:rPr>
              <w:t>Drug Counseling</w:t>
            </w:r>
            <w:r w:rsidR="002965B0" w:rsidRPr="00B40865">
              <w:rPr>
                <w:rFonts w:ascii="Verdana" w:hAnsi="Verdana"/>
                <w:color w:val="333333"/>
              </w:rPr>
              <w:t>/</w:t>
            </w:r>
            <w:r w:rsidR="00590462" w:rsidRPr="00B40865">
              <w:rPr>
                <w:rFonts w:ascii="Verdana" w:hAnsi="Verdana"/>
                <w:color w:val="333333"/>
              </w:rPr>
              <w:t xml:space="preserve">Consultation/Drug </w:t>
            </w:r>
            <w:r w:rsidR="002965B0" w:rsidRPr="00B40865">
              <w:rPr>
                <w:rFonts w:ascii="Verdana" w:hAnsi="Verdana"/>
                <w:color w:val="333333"/>
              </w:rPr>
              <w:t xml:space="preserve">use </w:t>
            </w:r>
          </w:p>
          <w:p w14:paraId="2AEA3898" w14:textId="77777777" w:rsidR="00A8626D" w:rsidRPr="00B40865" w:rsidRDefault="00D8715D" w:rsidP="001A0786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B40865">
              <w:rPr>
                <w:rFonts w:ascii="Verdana" w:hAnsi="Verdana"/>
                <w:color w:val="333333"/>
              </w:rPr>
              <w:t>Drug Interaction/Side Effects</w:t>
            </w:r>
          </w:p>
          <w:p w14:paraId="7689E905" w14:textId="77777777" w:rsidR="00A8626D" w:rsidRPr="00B40865" w:rsidRDefault="00D8715D" w:rsidP="001A0786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B40865">
              <w:rPr>
                <w:rFonts w:ascii="Verdana" w:hAnsi="Verdana"/>
                <w:color w:val="333333"/>
              </w:rPr>
              <w:t>Medication's Appearance</w:t>
            </w:r>
          </w:p>
          <w:p w14:paraId="7119A3FA" w14:textId="2A522812" w:rsidR="00D8715D" w:rsidRPr="00EB6740" w:rsidRDefault="00D8715D" w:rsidP="001A0786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rFonts w:ascii="Verdana" w:hAnsi="Verdana"/>
                <w:b/>
                <w:bCs/>
                <w:color w:val="333333"/>
              </w:rPr>
            </w:pPr>
            <w:r w:rsidRPr="00B40865">
              <w:rPr>
                <w:rFonts w:ascii="Verdana" w:hAnsi="Verdana"/>
                <w:color w:val="333333"/>
              </w:rPr>
              <w:t>Temperature Sensitivity</w:t>
            </w:r>
          </w:p>
        </w:tc>
      </w:tr>
      <w:tr w:rsidR="00D8715D" w:rsidRPr="00334E7C" w14:paraId="45CC5527" w14:textId="77777777" w:rsidTr="00B40865">
        <w:tc>
          <w:tcPr>
            <w:tcW w:w="314" w:type="pct"/>
          </w:tcPr>
          <w:p w14:paraId="4F1AE9A8" w14:textId="77777777" w:rsidR="00D8715D" w:rsidRPr="00334E7C" w:rsidRDefault="00D8715D" w:rsidP="001A078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34E7C">
              <w:rPr>
                <w:rFonts w:ascii="Verdana" w:hAnsi="Verdana"/>
                <w:b/>
              </w:rPr>
              <w:t>4</w:t>
            </w:r>
          </w:p>
        </w:tc>
        <w:tc>
          <w:tcPr>
            <w:tcW w:w="4686" w:type="pct"/>
            <w:gridSpan w:val="2"/>
          </w:tcPr>
          <w:p w14:paraId="5682AF2B" w14:textId="77777777" w:rsidR="00D8715D" w:rsidRPr="00334E7C" w:rsidRDefault="00D8715D" w:rsidP="001A0786">
            <w:p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334E7C">
              <w:rPr>
                <w:rFonts w:ascii="Verdana" w:hAnsi="Verdana"/>
                <w:color w:val="333333"/>
              </w:rPr>
              <w:t xml:space="preserve">Verify drug name and </w:t>
            </w:r>
            <w:r w:rsidRPr="00334E7C">
              <w:rPr>
                <w:rFonts w:ascii="Verdana" w:hAnsi="Verdana"/>
                <w:bCs/>
                <w:color w:val="333333"/>
              </w:rPr>
              <w:t>prescription</w:t>
            </w:r>
            <w:r w:rsidRPr="00334E7C">
              <w:rPr>
                <w:rFonts w:ascii="Verdana" w:hAnsi="Verdana"/>
                <w:color w:val="333333"/>
              </w:rPr>
              <w:t xml:space="preserve"> number.</w:t>
            </w:r>
          </w:p>
          <w:p w14:paraId="6E86D5FE" w14:textId="53F9B415" w:rsidR="00D8715D" w:rsidRPr="00A8626D" w:rsidRDefault="00193DD7" w:rsidP="001A0786">
            <w:pPr>
              <w:numPr>
                <w:ilvl w:val="0"/>
                <w:numId w:val="3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A8626D">
              <w:rPr>
                <w:rFonts w:ascii="Verdana" w:hAnsi="Verdana"/>
                <w:color w:val="333333"/>
              </w:rPr>
              <w:t>Inquire if there is anything else you can assist with prior to transferring the call</w:t>
            </w:r>
            <w:r w:rsidR="00457447" w:rsidRPr="00A8626D">
              <w:rPr>
                <w:rFonts w:ascii="Verdana" w:hAnsi="Verdana"/>
                <w:color w:val="333333"/>
              </w:rPr>
              <w:t xml:space="preserve">. </w:t>
            </w:r>
          </w:p>
        </w:tc>
      </w:tr>
      <w:tr w:rsidR="009D3273" w:rsidRPr="00334E7C" w14:paraId="50D82F31" w14:textId="77777777" w:rsidTr="00B40865">
        <w:trPr>
          <w:trHeight w:val="5834"/>
        </w:trPr>
        <w:tc>
          <w:tcPr>
            <w:tcW w:w="314" w:type="pct"/>
          </w:tcPr>
          <w:p w14:paraId="4AEB97F4" w14:textId="050F3224" w:rsidR="009D3273" w:rsidRDefault="009D3273" w:rsidP="001A078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34E7C">
              <w:rPr>
                <w:rFonts w:ascii="Verdana" w:hAnsi="Verdana"/>
                <w:b/>
              </w:rPr>
              <w:t>5</w:t>
            </w:r>
          </w:p>
          <w:p w14:paraId="4B313CDD" w14:textId="77777777" w:rsidR="009D3273" w:rsidRPr="00334E7C" w:rsidRDefault="00123C2C" w:rsidP="001A078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t xml:space="preserve"> </w:t>
            </w:r>
          </w:p>
          <w:p w14:paraId="3AF8C03B" w14:textId="77777777" w:rsidR="009D3273" w:rsidRPr="00334E7C" w:rsidRDefault="009D3273" w:rsidP="001A078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686" w:type="pct"/>
            <w:gridSpan w:val="2"/>
          </w:tcPr>
          <w:p w14:paraId="73F35805" w14:textId="692921F9" w:rsidR="004A451D" w:rsidRPr="006862D9" w:rsidRDefault="00D872C7" w:rsidP="001A078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333333"/>
              </w:rPr>
            </w:pPr>
            <w:hyperlink r:id="rId9" w:anchor="!/view?docid=18c64566-0ebb-4760-96fe-04da06185de0" w:history="1">
              <w:r w:rsidRPr="006862D9">
                <w:rPr>
                  <w:rStyle w:val="Hyperlink"/>
                  <w:rFonts w:ascii="Verdana" w:hAnsi="Verdana"/>
                </w:rPr>
                <w:t>Warm transfer (066076)</w:t>
              </w:r>
            </w:hyperlink>
            <w:r w:rsidR="002E2FE6" w:rsidRPr="006862D9">
              <w:rPr>
                <w:rFonts w:ascii="Verdana" w:hAnsi="Verdana"/>
              </w:rPr>
              <w:t xml:space="preserve"> </w:t>
            </w:r>
            <w:r w:rsidR="004A451D" w:rsidRPr="006862D9">
              <w:rPr>
                <w:rFonts w:ascii="Verdana" w:hAnsi="Verdana"/>
              </w:rPr>
              <w:t>to</w:t>
            </w:r>
            <w:r w:rsidR="004A451D" w:rsidRPr="006862D9">
              <w:rPr>
                <w:rFonts w:ascii="Verdana" w:hAnsi="Verdana"/>
                <w:color w:val="333333"/>
              </w:rPr>
              <w:t xml:space="preserve"> </w:t>
            </w:r>
            <w:hyperlink r:id="rId10" w:anchor="!/view?docid=f22eb77e-4033-4ad9-9afb-fc262f29faad" w:history="1">
              <w:r w:rsidR="00A0380A" w:rsidRPr="006862D9">
                <w:rPr>
                  <w:rStyle w:val="Hyperlink"/>
                  <w:rFonts w:ascii="Verdana" w:hAnsi="Verdana"/>
                </w:rPr>
                <w:t>Clinical Care Services Clinical Counseling (004378)</w:t>
              </w:r>
            </w:hyperlink>
            <w:r w:rsidR="001A0786" w:rsidRPr="006862D9">
              <w:rPr>
                <w:rFonts w:ascii="Verdana" w:hAnsi="Verdana"/>
                <w:color w:val="333333"/>
              </w:rPr>
              <w:t>.</w:t>
            </w:r>
            <w:r w:rsidR="004A451D" w:rsidRPr="006862D9">
              <w:rPr>
                <w:rFonts w:ascii="Verdana" w:hAnsi="Verdana"/>
                <w:color w:val="333333"/>
              </w:rPr>
              <w:t xml:space="preserve"> </w:t>
            </w:r>
            <w:r w:rsidR="00DC6BD5" w:rsidRPr="006862D9">
              <w:rPr>
                <w:rFonts w:ascii="Verdana" w:hAnsi="Verdana"/>
                <w:color w:val="333333"/>
              </w:rPr>
              <w:t xml:space="preserve"> </w:t>
            </w:r>
          </w:p>
          <w:p w14:paraId="5984A7AF" w14:textId="77777777" w:rsidR="004A451D" w:rsidRPr="003A6802" w:rsidRDefault="004A451D" w:rsidP="001378B6">
            <w:pPr>
              <w:pStyle w:val="BodyTextIndent2"/>
              <w:numPr>
                <w:ilvl w:val="0"/>
                <w:numId w:val="3"/>
              </w:numPr>
              <w:spacing w:before="120" w:line="240" w:lineRule="auto"/>
              <w:rPr>
                <w:rFonts w:ascii="Verdana" w:hAnsi="Verdana"/>
              </w:rPr>
            </w:pPr>
            <w:r w:rsidRPr="003A6802">
              <w:rPr>
                <w:rFonts w:ascii="Verdana" w:hAnsi="Verdana"/>
              </w:rPr>
              <w:t>Ensure Clinical Care Services are within their Hours of Operation</w:t>
            </w:r>
            <w:r w:rsidR="00251C96" w:rsidRPr="003A6802">
              <w:rPr>
                <w:rFonts w:ascii="Verdana" w:hAnsi="Verdana"/>
              </w:rPr>
              <w:t>.</w:t>
            </w:r>
          </w:p>
          <w:p w14:paraId="5121C5C1" w14:textId="678C43CD" w:rsidR="004A451D" w:rsidRPr="003A6802" w:rsidRDefault="004A451D" w:rsidP="001378B6">
            <w:pPr>
              <w:pStyle w:val="BodyTextIndent2"/>
              <w:numPr>
                <w:ilvl w:val="0"/>
                <w:numId w:val="3"/>
              </w:numPr>
              <w:spacing w:before="120" w:line="240" w:lineRule="auto"/>
              <w:rPr>
                <w:rFonts w:ascii="Verdana" w:hAnsi="Verdana"/>
              </w:rPr>
            </w:pPr>
            <w:r w:rsidRPr="003A6802">
              <w:rPr>
                <w:rFonts w:ascii="Verdana" w:hAnsi="Verdana"/>
              </w:rPr>
              <w:t xml:space="preserve">Continue to </w:t>
            </w:r>
            <w:r w:rsidRPr="003A6802">
              <w:rPr>
                <w:rFonts w:ascii="Verdana" w:hAnsi="Verdana"/>
                <w:bCs/>
              </w:rPr>
              <w:t>warm</w:t>
            </w:r>
            <w:r w:rsidRPr="003A6802">
              <w:rPr>
                <w:rFonts w:ascii="Verdana" w:hAnsi="Verdana"/>
              </w:rPr>
              <w:t xml:space="preserve"> transfer when the matter is </w:t>
            </w:r>
            <w:r w:rsidRPr="003A6802">
              <w:rPr>
                <w:rFonts w:ascii="Verdana" w:hAnsi="Verdana"/>
                <w:bCs/>
              </w:rPr>
              <w:t>complicated or escalated</w:t>
            </w:r>
            <w:r w:rsidR="00457447" w:rsidRPr="003A6802">
              <w:rPr>
                <w:rFonts w:ascii="Verdana" w:hAnsi="Verdana"/>
              </w:rPr>
              <w:t xml:space="preserve">. </w:t>
            </w:r>
          </w:p>
          <w:p w14:paraId="17AC6D82" w14:textId="20BB8ACA" w:rsidR="004A451D" w:rsidRPr="003A6802" w:rsidRDefault="004A451D" w:rsidP="001378B6">
            <w:pPr>
              <w:pStyle w:val="BodyTextIndent2"/>
              <w:numPr>
                <w:ilvl w:val="0"/>
                <w:numId w:val="3"/>
              </w:numPr>
              <w:spacing w:before="120" w:line="240" w:lineRule="auto"/>
              <w:rPr>
                <w:rFonts w:ascii="Verdana" w:hAnsi="Verdana"/>
              </w:rPr>
            </w:pPr>
            <w:r w:rsidRPr="003A6802">
              <w:rPr>
                <w:rFonts w:ascii="Verdana" w:hAnsi="Verdana"/>
                <w:b/>
              </w:rPr>
              <w:t>Medicare D</w:t>
            </w:r>
            <w:r w:rsidRPr="003A6802">
              <w:rPr>
                <w:rFonts w:ascii="Verdana" w:hAnsi="Verdana"/>
              </w:rPr>
              <w:t xml:space="preserve"> members should be </w:t>
            </w:r>
            <w:r w:rsidRPr="003A6802">
              <w:rPr>
                <w:rFonts w:ascii="Verdana" w:hAnsi="Verdana"/>
                <w:bCs/>
              </w:rPr>
              <w:t>warm</w:t>
            </w:r>
            <w:r w:rsidRPr="003A6802">
              <w:rPr>
                <w:rFonts w:ascii="Verdana" w:hAnsi="Verdana"/>
              </w:rPr>
              <w:t xml:space="preserve"> transferred.</w:t>
            </w:r>
          </w:p>
          <w:p w14:paraId="4CF1D963" w14:textId="77777777" w:rsidR="004A451D" w:rsidRPr="005364FB" w:rsidRDefault="002E2FE6" w:rsidP="001378B6">
            <w:pPr>
              <w:pStyle w:val="BodyTextIndent2"/>
              <w:numPr>
                <w:ilvl w:val="0"/>
                <w:numId w:val="3"/>
              </w:numPr>
              <w:spacing w:before="120" w:line="240" w:lineRule="auto"/>
              <w:rPr>
                <w:rFonts w:ascii="Verdana" w:hAnsi="Verdana"/>
              </w:rPr>
            </w:pPr>
            <w:r w:rsidRPr="003A6802">
              <w:rPr>
                <w:rFonts w:ascii="Verdana" w:hAnsi="Verdana"/>
              </w:rPr>
              <w:t>Review</w:t>
            </w:r>
            <w:r w:rsidR="004A451D" w:rsidRPr="003A6802">
              <w:rPr>
                <w:rFonts w:ascii="Verdana" w:hAnsi="Verdana"/>
              </w:rPr>
              <w:t xml:space="preserve"> client specific process</w:t>
            </w:r>
            <w:r w:rsidRPr="003A6802">
              <w:rPr>
                <w:rFonts w:ascii="Verdana" w:hAnsi="Verdana"/>
              </w:rPr>
              <w:t>es</w:t>
            </w:r>
            <w:r w:rsidR="00251C96" w:rsidRPr="003A6802">
              <w:rPr>
                <w:rFonts w:ascii="Verdana" w:hAnsi="Verdana"/>
              </w:rPr>
              <w:t>, if applicable</w:t>
            </w:r>
            <w:r w:rsidR="00251C96">
              <w:rPr>
                <w:rFonts w:ascii="Verdana" w:hAnsi="Verdana"/>
              </w:rPr>
              <w:t>.</w:t>
            </w:r>
          </w:p>
          <w:p w14:paraId="752D778A" w14:textId="77777777" w:rsidR="009D3273" w:rsidRPr="00334E7C" w:rsidRDefault="009D3273" w:rsidP="001A0786">
            <w:pPr>
              <w:spacing w:before="120" w:after="120"/>
              <w:rPr>
                <w:rFonts w:ascii="Verdana" w:hAnsi="Verdana"/>
                <w:b/>
              </w:rPr>
            </w:pPr>
          </w:p>
          <w:p w14:paraId="6C4FDB65" w14:textId="77777777" w:rsidR="00B813D6" w:rsidRPr="006862D9" w:rsidRDefault="009D3273" w:rsidP="001A078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862D9">
              <w:rPr>
                <w:rFonts w:ascii="Verdana" w:hAnsi="Verdana"/>
                <w:b/>
              </w:rPr>
              <w:t>Note:</w:t>
            </w:r>
            <w:r w:rsidRPr="006862D9">
              <w:rPr>
                <w:rFonts w:ascii="Verdana" w:hAnsi="Verdana"/>
              </w:rPr>
              <w:t xml:space="preserve">  If </w:t>
            </w:r>
            <w:r w:rsidRPr="006862D9">
              <w:rPr>
                <w:rFonts w:ascii="Verdana" w:hAnsi="Verdana"/>
                <w:color w:val="000000"/>
              </w:rPr>
              <w:t xml:space="preserve">the member is a </w:t>
            </w:r>
            <w:r w:rsidR="00BD3566" w:rsidRPr="006862D9">
              <w:rPr>
                <w:rFonts w:ascii="Verdana" w:hAnsi="Verdana"/>
                <w:color w:val="000000"/>
              </w:rPr>
              <w:t xml:space="preserve">PBM </w:t>
            </w:r>
            <w:r w:rsidRPr="006862D9">
              <w:rPr>
                <w:rFonts w:ascii="Verdana" w:hAnsi="Verdana"/>
                <w:color w:val="000000"/>
              </w:rPr>
              <w:t xml:space="preserve">employee, advise them of the following before completing the transfer:  </w:t>
            </w:r>
          </w:p>
          <w:p w14:paraId="4EA0B20B" w14:textId="42FBB484" w:rsidR="009D3273" w:rsidRPr="006862D9" w:rsidRDefault="00EB6740" w:rsidP="001A0786">
            <w:pPr>
              <w:spacing w:before="120" w:after="120"/>
              <w:rPr>
                <w:rFonts w:ascii="Verdana" w:hAnsi="Verdana"/>
              </w:rPr>
            </w:pPr>
            <w:r w:rsidRPr="006862D9">
              <w:rPr>
                <w:rFonts w:ascii="Verdana" w:hAnsi="Verdana"/>
                <w:noProof/>
              </w:rPr>
              <w:drawing>
                <wp:inline distT="0" distB="0" distL="0" distR="0" wp14:anchorId="13482ECD" wp14:editId="1423F85D">
                  <wp:extent cx="235585" cy="207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13D6" w:rsidRPr="006862D9">
              <w:rPr>
                <w:rFonts w:ascii="Verdana" w:hAnsi="Verdana"/>
                <w:noProof/>
              </w:rPr>
              <w:t xml:space="preserve"> </w:t>
            </w:r>
            <w:r w:rsidR="009D3273" w:rsidRPr="006862D9">
              <w:rPr>
                <w:rFonts w:ascii="Verdana" w:hAnsi="Verdana"/>
                <w:color w:val="000000"/>
              </w:rPr>
              <w:t>Please</w:t>
            </w:r>
            <w:r w:rsidR="009D3273" w:rsidRPr="006862D9">
              <w:rPr>
                <w:rFonts w:ascii="Verdana" w:hAnsi="Verdana"/>
              </w:rPr>
              <w:t xml:space="preserve"> be aware that our [pharmacists on call] are </w:t>
            </w:r>
            <w:r w:rsidR="00BD3566" w:rsidRPr="006862D9">
              <w:rPr>
                <w:rFonts w:ascii="Verdana" w:hAnsi="Verdana"/>
              </w:rPr>
              <w:t xml:space="preserve">&lt;PBM Name&gt; </w:t>
            </w:r>
            <w:r w:rsidR="009D3273" w:rsidRPr="006862D9">
              <w:rPr>
                <w:rFonts w:ascii="Verdana" w:hAnsi="Verdana"/>
              </w:rPr>
              <w:t xml:space="preserve">employees, and if I transfer you to a </w:t>
            </w:r>
            <w:r w:rsidR="00DC6BD5" w:rsidRPr="006862D9">
              <w:rPr>
                <w:rFonts w:ascii="Verdana" w:hAnsi="Verdana"/>
              </w:rPr>
              <w:t>&lt;</w:t>
            </w:r>
            <w:r w:rsidR="009D3273" w:rsidRPr="006862D9">
              <w:rPr>
                <w:rFonts w:ascii="Verdana" w:hAnsi="Verdana"/>
              </w:rPr>
              <w:t>pharmacist on call</w:t>
            </w:r>
            <w:r w:rsidR="00DC6BD5" w:rsidRPr="006862D9">
              <w:rPr>
                <w:rFonts w:ascii="Verdana" w:hAnsi="Verdana"/>
              </w:rPr>
              <w:t>&gt;</w:t>
            </w:r>
            <w:r w:rsidR="009D3273" w:rsidRPr="006862D9">
              <w:rPr>
                <w:rFonts w:ascii="Verdana" w:hAnsi="Verdana"/>
              </w:rPr>
              <w:t xml:space="preserve"> as you have requested, that </w:t>
            </w:r>
            <w:r w:rsidR="00BD3566" w:rsidRPr="006862D9">
              <w:rPr>
                <w:rFonts w:ascii="Verdana" w:hAnsi="Verdana"/>
              </w:rPr>
              <w:t>&lt;PBM Name&gt;</w:t>
            </w:r>
            <w:r w:rsidR="009D3273" w:rsidRPr="006862D9">
              <w:rPr>
                <w:rFonts w:ascii="Verdana" w:hAnsi="Verdana"/>
              </w:rPr>
              <w:t xml:space="preserve"> employee will have access to your personal health information and will know of your medical condition. </w:t>
            </w:r>
            <w:r w:rsidR="00DC6BD5" w:rsidRPr="006862D9">
              <w:rPr>
                <w:rFonts w:ascii="Verdana" w:hAnsi="Verdana"/>
              </w:rPr>
              <w:t xml:space="preserve"> </w:t>
            </w:r>
            <w:r w:rsidR="009D3273" w:rsidRPr="006862D9">
              <w:rPr>
                <w:rFonts w:ascii="Verdana" w:hAnsi="Verdana"/>
              </w:rPr>
              <w:t xml:space="preserve">I can assure you that the pharmacist on call and other </w:t>
            </w:r>
            <w:r w:rsidR="00BD3566" w:rsidRPr="006862D9">
              <w:rPr>
                <w:rFonts w:ascii="Verdana" w:hAnsi="Verdana"/>
              </w:rPr>
              <w:t xml:space="preserve">&lt;PBM Name&gt; </w:t>
            </w:r>
            <w:r w:rsidR="009D3273" w:rsidRPr="006862D9">
              <w:rPr>
                <w:rFonts w:ascii="Verdana" w:hAnsi="Verdana"/>
              </w:rPr>
              <w:t xml:space="preserve">employees who provide services to </w:t>
            </w:r>
            <w:r w:rsidR="00BD3566" w:rsidRPr="006862D9">
              <w:rPr>
                <w:rFonts w:ascii="Verdana" w:hAnsi="Verdana"/>
              </w:rPr>
              <w:t xml:space="preserve">&lt;PBM Name&gt; </w:t>
            </w:r>
            <w:r w:rsidR="009D3273" w:rsidRPr="006862D9">
              <w:rPr>
                <w:rFonts w:ascii="Verdana" w:hAnsi="Verdana"/>
                <w:color w:val="000000"/>
              </w:rPr>
              <w:t>plan members are</w:t>
            </w:r>
            <w:r w:rsidR="009D3273" w:rsidRPr="006862D9">
              <w:rPr>
                <w:rFonts w:ascii="Verdana" w:hAnsi="Verdana"/>
              </w:rPr>
              <w:t xml:space="preserve"> required and agree to keep any personal information they learn in the course of providing their services strictly confidential, and so your privacy will be protected. </w:t>
            </w:r>
            <w:r w:rsidR="00DC6BD5" w:rsidRPr="006862D9">
              <w:rPr>
                <w:rFonts w:ascii="Verdana" w:hAnsi="Verdana"/>
              </w:rPr>
              <w:t xml:space="preserve"> </w:t>
            </w:r>
            <w:r w:rsidR="009D3273" w:rsidRPr="006862D9">
              <w:rPr>
                <w:rFonts w:ascii="Verdana" w:hAnsi="Verdana"/>
              </w:rPr>
              <w:t>Would you like me to transfer you to a pharmacist on call?</w:t>
            </w:r>
          </w:p>
          <w:p w14:paraId="05DB2FAF" w14:textId="77777777" w:rsidR="009D3273" w:rsidRPr="006862D9" w:rsidRDefault="009D3273" w:rsidP="001A0786">
            <w:pPr>
              <w:spacing w:before="120" w:after="120"/>
              <w:rPr>
                <w:rFonts w:ascii="Verdana" w:hAnsi="Verdana"/>
              </w:rPr>
            </w:pPr>
          </w:p>
          <w:p w14:paraId="44C0FE54" w14:textId="4F158FD6" w:rsidR="009D3273" w:rsidRPr="006862D9" w:rsidRDefault="009D3273" w:rsidP="001A0786">
            <w:pPr>
              <w:spacing w:before="120" w:after="120" w:line="240" w:lineRule="atLeast"/>
              <w:textAlignment w:val="top"/>
              <w:rPr>
                <w:rFonts w:ascii="Verdana" w:hAnsi="Verdana"/>
                <w:iCs/>
              </w:rPr>
            </w:pPr>
            <w:r w:rsidRPr="006862D9">
              <w:rPr>
                <w:rFonts w:ascii="Verdana" w:hAnsi="Verdana"/>
                <w:b/>
                <w:bCs/>
                <w:iCs/>
              </w:rPr>
              <w:t>Note:</w:t>
            </w:r>
            <w:r w:rsidRPr="006862D9">
              <w:rPr>
                <w:rFonts w:ascii="Verdana" w:hAnsi="Verdana"/>
                <w:bCs/>
                <w:iCs/>
              </w:rPr>
              <w:t xml:space="preserve">  </w:t>
            </w:r>
            <w:r w:rsidR="00DC6BD5" w:rsidRPr="006862D9">
              <w:rPr>
                <w:rFonts w:ascii="Verdana" w:hAnsi="Verdana"/>
                <w:iCs/>
              </w:rPr>
              <w:t>Do Not</w:t>
            </w:r>
            <w:r w:rsidR="00DC6BD5" w:rsidRPr="006862D9">
              <w:rPr>
                <w:rFonts w:ascii="Verdana" w:hAnsi="Verdana"/>
                <w:iCs/>
                <w:color w:val="FF0000"/>
              </w:rPr>
              <w:t xml:space="preserve"> </w:t>
            </w:r>
            <w:r w:rsidR="00DC6BD5" w:rsidRPr="006862D9">
              <w:rPr>
                <w:rFonts w:ascii="Verdana" w:hAnsi="Verdana"/>
                <w:iCs/>
              </w:rPr>
              <w:t xml:space="preserve">Offer a Callback if </w:t>
            </w:r>
            <w:r w:rsidRPr="006862D9">
              <w:rPr>
                <w:rFonts w:ascii="Verdana" w:hAnsi="Verdana"/>
                <w:bCs/>
                <w:iCs/>
              </w:rPr>
              <w:t>the call is a potential Class I, remain on the line to speak to a pharmacist.</w:t>
            </w:r>
          </w:p>
          <w:p w14:paraId="3AE9A75F" w14:textId="77777777" w:rsidR="00B813D6" w:rsidRPr="006862D9" w:rsidRDefault="00B813D6" w:rsidP="001A0786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bCs/>
                <w:iCs/>
              </w:rPr>
            </w:pPr>
          </w:p>
          <w:p w14:paraId="30C6AC99" w14:textId="6A230DD7" w:rsidR="009D3273" w:rsidRPr="00251C96" w:rsidRDefault="009D3273" w:rsidP="001A0786">
            <w:pPr>
              <w:spacing w:before="120" w:after="120" w:line="240" w:lineRule="atLeast"/>
              <w:textAlignment w:val="top"/>
              <w:rPr>
                <w:rFonts w:ascii="Verdana" w:hAnsi="Verdana"/>
                <w:color w:val="FF0000"/>
              </w:rPr>
            </w:pPr>
            <w:r w:rsidRPr="006862D9">
              <w:rPr>
                <w:rFonts w:ascii="Verdana" w:hAnsi="Verdana"/>
              </w:rPr>
              <w:t xml:space="preserve">If after hours, refer to </w:t>
            </w:r>
            <w:hyperlink r:id="rId12" w:anchor="!/view?docid=11046d79-1420-4e0e-b312-affdbc9efa9a" w:history="1">
              <w:r w:rsidR="00E06EA3" w:rsidRPr="006862D9">
                <w:rPr>
                  <w:rStyle w:val="Hyperlink"/>
                  <w:rFonts w:ascii="Verdana" w:hAnsi="Verdana"/>
                </w:rPr>
                <w:t>Clinical Counseling Pharmacist After Hours Process (025502)</w:t>
              </w:r>
            </w:hyperlink>
          </w:p>
        </w:tc>
      </w:tr>
    </w:tbl>
    <w:p w14:paraId="10973AD4" w14:textId="77777777" w:rsidR="000825E5" w:rsidRDefault="000825E5" w:rsidP="009C1C38">
      <w:pPr>
        <w:spacing w:before="120" w:after="120"/>
        <w:rPr>
          <w:rFonts w:ascii="Verdana" w:hAnsi="Verdana"/>
        </w:rPr>
      </w:pPr>
    </w:p>
    <w:bookmarkStart w:id="11" w:name="_Available_Task_Types"/>
    <w:bookmarkStart w:id="12" w:name="_Various_Work_Instructions_2"/>
    <w:bookmarkStart w:id="13" w:name="_Log_Activity:"/>
    <w:bookmarkEnd w:id="11"/>
    <w:bookmarkEnd w:id="12"/>
    <w:bookmarkEnd w:id="13"/>
    <w:p w14:paraId="314E967A" w14:textId="46024695" w:rsidR="00697C84" w:rsidRDefault="0099489C" w:rsidP="002E2FE6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2E2FE6" w:rsidRPr="0099489C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E2FE6" w:rsidRPr="00334E7C" w14:paraId="37CC4E7E" w14:textId="77777777" w:rsidTr="00761CB6">
        <w:tc>
          <w:tcPr>
            <w:tcW w:w="5000" w:type="pct"/>
            <w:shd w:val="clear" w:color="auto" w:fill="BFBFBF" w:themeFill="background1" w:themeFillShade="BF"/>
          </w:tcPr>
          <w:p w14:paraId="2EEF924D" w14:textId="092691FD" w:rsidR="002E2FE6" w:rsidRPr="00334E7C" w:rsidRDefault="00EA2414" w:rsidP="00EB674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Toc155186242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4"/>
          </w:p>
        </w:tc>
      </w:tr>
    </w:tbl>
    <w:p w14:paraId="42CC2E15" w14:textId="0DF17650" w:rsidR="0013155E" w:rsidRPr="006862D9" w:rsidRDefault="00E06EA3" w:rsidP="006862D9">
      <w:pPr>
        <w:spacing w:before="120" w:after="120" w:line="240" w:lineRule="atLeast"/>
        <w:textAlignment w:val="top"/>
        <w:rPr>
          <w:rFonts w:ascii="Verdana" w:hAnsi="Verdana"/>
        </w:rPr>
      </w:pPr>
      <w:hyperlink r:id="rId13" w:anchor="!/view?docid=ff2706a9-6f42-4ccd-87e1-59cb2ce103a8" w:history="1">
        <w:r w:rsidRPr="006862D9">
          <w:rPr>
            <w:rStyle w:val="Hyperlink"/>
            <w:rFonts w:ascii="Verdana" w:hAnsi="Verdana"/>
          </w:rPr>
          <w:t>When to Transfer Calls to Clinical Care (024833)</w:t>
        </w:r>
      </w:hyperlink>
    </w:p>
    <w:p w14:paraId="078F16DA" w14:textId="5C838584" w:rsidR="00DC6BD5" w:rsidRPr="006862D9" w:rsidRDefault="005437ED" w:rsidP="006862D9">
      <w:pPr>
        <w:spacing w:before="120" w:after="120" w:line="240" w:lineRule="atLeast"/>
        <w:textAlignment w:val="top"/>
        <w:rPr>
          <w:rFonts w:ascii="Verdana" w:hAnsi="Verdana"/>
          <w:b/>
        </w:rPr>
      </w:pPr>
      <w:hyperlink r:id="rId14" w:anchor="!/view?docid=c1f1028b-e42c-4b4f-a4cf-cc0b42c91606" w:history="1">
        <w:r w:rsidRPr="006862D9"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33EC0C4B" w14:textId="50DAD762" w:rsidR="00697C84" w:rsidRPr="006862D9" w:rsidRDefault="005437ED" w:rsidP="006862D9">
      <w:pPr>
        <w:spacing w:before="120" w:after="120" w:line="240" w:lineRule="atLeast"/>
        <w:textAlignment w:val="top"/>
        <w:rPr>
          <w:rStyle w:val="Hyperlink"/>
          <w:rFonts w:ascii="Verdana" w:hAnsi="Verdana"/>
          <w:bCs/>
        </w:rPr>
      </w:pPr>
      <w:hyperlink r:id="rId15" w:anchor="!/view?docid=bdac0c67-5fee-47ba-a3aa-aab84900cf78" w:history="1">
        <w:r w:rsidRPr="006862D9">
          <w:rPr>
            <w:rStyle w:val="Hyperlink"/>
            <w:rFonts w:ascii="Verdana" w:hAnsi="Verdana"/>
            <w:bCs/>
          </w:rPr>
          <w:t>Log Activity and Capture Activity Codes (005164)</w:t>
        </w:r>
      </w:hyperlink>
    </w:p>
    <w:p w14:paraId="4728DC1F" w14:textId="77777777" w:rsidR="002F6730" w:rsidRPr="006862D9" w:rsidRDefault="002F6730" w:rsidP="006862D9">
      <w:pPr>
        <w:spacing w:before="120" w:after="120" w:line="240" w:lineRule="atLeast"/>
        <w:textAlignment w:val="top"/>
        <w:rPr>
          <w:rFonts w:ascii="Verdana" w:hAnsi="Verdana"/>
          <w:bCs/>
        </w:rPr>
      </w:pPr>
    </w:p>
    <w:p w14:paraId="3DC8FD46" w14:textId="228AB6C4" w:rsidR="00EA2414" w:rsidRPr="006862D9" w:rsidRDefault="00EA2414" w:rsidP="006862D9">
      <w:pPr>
        <w:spacing w:before="120" w:after="120" w:line="240" w:lineRule="atLeast"/>
        <w:textAlignment w:val="top"/>
        <w:rPr>
          <w:rFonts w:ascii="Verdana" w:hAnsi="Verdana"/>
          <w:b/>
        </w:rPr>
      </w:pPr>
      <w:r w:rsidRPr="006862D9">
        <w:rPr>
          <w:rFonts w:ascii="Verdana" w:hAnsi="Verdana"/>
          <w:b/>
        </w:rPr>
        <w:t xml:space="preserve">Parent </w:t>
      </w:r>
      <w:r w:rsidR="00DC6BD5" w:rsidRPr="006862D9">
        <w:rPr>
          <w:rFonts w:ascii="Verdana" w:hAnsi="Verdana"/>
          <w:b/>
        </w:rPr>
        <w:t>Document</w:t>
      </w:r>
      <w:r w:rsidRPr="006862D9">
        <w:rPr>
          <w:rFonts w:ascii="Verdana" w:hAnsi="Verdana"/>
          <w:b/>
        </w:rPr>
        <w:t>:</w:t>
      </w:r>
      <w:r w:rsidRPr="006862D9">
        <w:rPr>
          <w:rFonts w:ascii="Verdana" w:hAnsi="Verdana"/>
        </w:rPr>
        <w:t xml:space="preserve"> </w:t>
      </w:r>
      <w:r w:rsidR="002F6730" w:rsidRPr="006862D9">
        <w:rPr>
          <w:rFonts w:ascii="Verdana" w:hAnsi="Verdana"/>
        </w:rPr>
        <w:t xml:space="preserve"> </w:t>
      </w:r>
      <w:hyperlink r:id="rId16" w:tgtFrame="_blank" w:history="1">
        <w:r w:rsidR="00996199"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</w:p>
    <w:p w14:paraId="62A92B2C" w14:textId="77777777" w:rsidR="002E2FE6" w:rsidRPr="00D8715D" w:rsidRDefault="002E2FE6" w:rsidP="009C1C38">
      <w:pPr>
        <w:spacing w:before="120" w:after="120" w:line="240" w:lineRule="atLeast"/>
        <w:textAlignment w:val="top"/>
        <w:rPr>
          <w:rFonts w:ascii="Verdana" w:hAnsi="Verdana"/>
        </w:rPr>
      </w:pPr>
    </w:p>
    <w:p w14:paraId="47C77B77" w14:textId="393D8B17" w:rsidR="00F859B7" w:rsidRPr="00F2277F" w:rsidRDefault="00C10B92" w:rsidP="00C10B92">
      <w:pPr>
        <w:jc w:val="right"/>
        <w:rPr>
          <w:rFonts w:ascii="Verdana" w:hAnsi="Verdana"/>
        </w:rPr>
      </w:pPr>
      <w:hyperlink w:anchor="_top" w:history="1">
        <w:r w:rsidRPr="00F2277F">
          <w:rPr>
            <w:rStyle w:val="Hyperlink"/>
            <w:rFonts w:ascii="Verdana" w:hAnsi="Verdana"/>
          </w:rPr>
          <w:t>Top of the Document</w:t>
        </w:r>
      </w:hyperlink>
    </w:p>
    <w:p w14:paraId="4AD86C61" w14:textId="77777777" w:rsidR="00A97B7D" w:rsidRDefault="00A97B7D" w:rsidP="00BB371A">
      <w:pPr>
        <w:jc w:val="right"/>
        <w:rPr>
          <w:rFonts w:ascii="Verdana" w:hAnsi="Verdana"/>
        </w:rPr>
      </w:pPr>
    </w:p>
    <w:p w14:paraId="6BC2B182" w14:textId="77777777" w:rsidR="00DB7990" w:rsidRPr="00C247CB" w:rsidRDefault="00DB7990" w:rsidP="00DB7990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2E2FE6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2E2FE6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2E2FE6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2720B420" w14:textId="77777777" w:rsidR="00DB7990" w:rsidRPr="00C247CB" w:rsidRDefault="00DB7990" w:rsidP="00DB7990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2CAAF8AE" w14:textId="77777777" w:rsidR="00FC1C44" w:rsidRPr="00902E07" w:rsidRDefault="00FC1C44" w:rsidP="00DB7990">
      <w:pPr>
        <w:jc w:val="right"/>
        <w:rPr>
          <w:color w:val="000000"/>
          <w:sz w:val="16"/>
          <w:szCs w:val="16"/>
        </w:rPr>
      </w:pPr>
    </w:p>
    <w:sectPr w:rsidR="00FC1C44" w:rsidRPr="00902E07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561DF" w14:textId="77777777" w:rsidR="004F2718" w:rsidRDefault="004F2718">
      <w:r>
        <w:separator/>
      </w:r>
    </w:p>
  </w:endnote>
  <w:endnote w:type="continuationSeparator" w:id="0">
    <w:p w14:paraId="6FA1DB5C" w14:textId="77777777" w:rsidR="004F2718" w:rsidRDefault="004F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03AD1" w14:textId="77777777" w:rsidR="004F2718" w:rsidRDefault="004F2718">
      <w:r>
        <w:separator/>
      </w:r>
    </w:p>
  </w:footnote>
  <w:footnote w:type="continuationSeparator" w:id="0">
    <w:p w14:paraId="5384487E" w14:textId="77777777" w:rsidR="004F2718" w:rsidRDefault="004F2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557D3"/>
    <w:multiLevelType w:val="hybridMultilevel"/>
    <w:tmpl w:val="32C63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7169"/>
    <w:multiLevelType w:val="hybridMultilevel"/>
    <w:tmpl w:val="52E0C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B70622"/>
    <w:multiLevelType w:val="hybridMultilevel"/>
    <w:tmpl w:val="22EC0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8031736">
    <w:abstractNumId w:val="1"/>
  </w:num>
  <w:num w:numId="2" w16cid:durableId="1983389376">
    <w:abstractNumId w:val="0"/>
  </w:num>
  <w:num w:numId="3" w16cid:durableId="809790839">
    <w:abstractNumId w:val="3"/>
  </w:num>
  <w:num w:numId="4" w16cid:durableId="82722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47755"/>
    <w:rsid w:val="00073E64"/>
    <w:rsid w:val="000825E5"/>
    <w:rsid w:val="0008665F"/>
    <w:rsid w:val="000B3C4C"/>
    <w:rsid w:val="000D6245"/>
    <w:rsid w:val="000D6714"/>
    <w:rsid w:val="00105260"/>
    <w:rsid w:val="00123C2C"/>
    <w:rsid w:val="00124A77"/>
    <w:rsid w:val="0013155E"/>
    <w:rsid w:val="001378B6"/>
    <w:rsid w:val="00153007"/>
    <w:rsid w:val="0016273A"/>
    <w:rsid w:val="001650F7"/>
    <w:rsid w:val="0018091C"/>
    <w:rsid w:val="0019353A"/>
    <w:rsid w:val="00193DD7"/>
    <w:rsid w:val="0019615D"/>
    <w:rsid w:val="001A0786"/>
    <w:rsid w:val="001C1931"/>
    <w:rsid w:val="001D734C"/>
    <w:rsid w:val="001E72E9"/>
    <w:rsid w:val="002016B4"/>
    <w:rsid w:val="002134E2"/>
    <w:rsid w:val="00215763"/>
    <w:rsid w:val="00251C96"/>
    <w:rsid w:val="002609A1"/>
    <w:rsid w:val="00267DF1"/>
    <w:rsid w:val="002965B0"/>
    <w:rsid w:val="002B09B6"/>
    <w:rsid w:val="002B593E"/>
    <w:rsid w:val="002C47A1"/>
    <w:rsid w:val="002E2FE6"/>
    <w:rsid w:val="002F6730"/>
    <w:rsid w:val="00303F88"/>
    <w:rsid w:val="003317AE"/>
    <w:rsid w:val="00334E7C"/>
    <w:rsid w:val="003546F8"/>
    <w:rsid w:val="0036616A"/>
    <w:rsid w:val="003A6802"/>
    <w:rsid w:val="003C78A8"/>
    <w:rsid w:val="003D7C34"/>
    <w:rsid w:val="003E3D95"/>
    <w:rsid w:val="003F3953"/>
    <w:rsid w:val="00406DB5"/>
    <w:rsid w:val="00426A56"/>
    <w:rsid w:val="0044532E"/>
    <w:rsid w:val="004501C1"/>
    <w:rsid w:val="004502DE"/>
    <w:rsid w:val="00457447"/>
    <w:rsid w:val="00457EAE"/>
    <w:rsid w:val="00485A27"/>
    <w:rsid w:val="00497FC4"/>
    <w:rsid w:val="004A451D"/>
    <w:rsid w:val="004E726A"/>
    <w:rsid w:val="004F2718"/>
    <w:rsid w:val="00513699"/>
    <w:rsid w:val="00524CDD"/>
    <w:rsid w:val="005437ED"/>
    <w:rsid w:val="005544EA"/>
    <w:rsid w:val="0056115B"/>
    <w:rsid w:val="00563A8A"/>
    <w:rsid w:val="00590462"/>
    <w:rsid w:val="005910B5"/>
    <w:rsid w:val="005D5116"/>
    <w:rsid w:val="005D7645"/>
    <w:rsid w:val="005E23B3"/>
    <w:rsid w:val="005F2107"/>
    <w:rsid w:val="00622D77"/>
    <w:rsid w:val="00636B18"/>
    <w:rsid w:val="00637CA1"/>
    <w:rsid w:val="006419FA"/>
    <w:rsid w:val="00642F62"/>
    <w:rsid w:val="006514E7"/>
    <w:rsid w:val="006541CA"/>
    <w:rsid w:val="0068156A"/>
    <w:rsid w:val="006862D9"/>
    <w:rsid w:val="00697C84"/>
    <w:rsid w:val="006A0481"/>
    <w:rsid w:val="006A2C9E"/>
    <w:rsid w:val="006F581F"/>
    <w:rsid w:val="00704AF2"/>
    <w:rsid w:val="00705C56"/>
    <w:rsid w:val="00710FC7"/>
    <w:rsid w:val="0073294A"/>
    <w:rsid w:val="00752801"/>
    <w:rsid w:val="0075344E"/>
    <w:rsid w:val="00753D44"/>
    <w:rsid w:val="00761CB6"/>
    <w:rsid w:val="00786BEB"/>
    <w:rsid w:val="00797157"/>
    <w:rsid w:val="007A2019"/>
    <w:rsid w:val="00806B9D"/>
    <w:rsid w:val="00815CAB"/>
    <w:rsid w:val="00841EB1"/>
    <w:rsid w:val="00863F0C"/>
    <w:rsid w:val="008739E5"/>
    <w:rsid w:val="008746DB"/>
    <w:rsid w:val="00877414"/>
    <w:rsid w:val="00884C4E"/>
    <w:rsid w:val="008939DD"/>
    <w:rsid w:val="008A24CE"/>
    <w:rsid w:val="008C2197"/>
    <w:rsid w:val="008C3493"/>
    <w:rsid w:val="008D11A6"/>
    <w:rsid w:val="008D2D64"/>
    <w:rsid w:val="008D4428"/>
    <w:rsid w:val="008D46DE"/>
    <w:rsid w:val="008E5D28"/>
    <w:rsid w:val="00902E07"/>
    <w:rsid w:val="00904068"/>
    <w:rsid w:val="00916548"/>
    <w:rsid w:val="00926EDA"/>
    <w:rsid w:val="0093451B"/>
    <w:rsid w:val="009361D7"/>
    <w:rsid w:val="0093679B"/>
    <w:rsid w:val="0093702E"/>
    <w:rsid w:val="00956D4C"/>
    <w:rsid w:val="00965A58"/>
    <w:rsid w:val="0099489C"/>
    <w:rsid w:val="00996199"/>
    <w:rsid w:val="009A0B0C"/>
    <w:rsid w:val="009C1C38"/>
    <w:rsid w:val="009D1EBF"/>
    <w:rsid w:val="009D3273"/>
    <w:rsid w:val="00A0380A"/>
    <w:rsid w:val="00A141FD"/>
    <w:rsid w:val="00A40E31"/>
    <w:rsid w:val="00A7166B"/>
    <w:rsid w:val="00A85045"/>
    <w:rsid w:val="00A8626D"/>
    <w:rsid w:val="00A90EDA"/>
    <w:rsid w:val="00A97B7D"/>
    <w:rsid w:val="00AB13D3"/>
    <w:rsid w:val="00AB1658"/>
    <w:rsid w:val="00AB33E1"/>
    <w:rsid w:val="00AB4378"/>
    <w:rsid w:val="00AB4BB3"/>
    <w:rsid w:val="00AC2A58"/>
    <w:rsid w:val="00AD1646"/>
    <w:rsid w:val="00B26045"/>
    <w:rsid w:val="00B27659"/>
    <w:rsid w:val="00B40865"/>
    <w:rsid w:val="00B46A95"/>
    <w:rsid w:val="00B548B1"/>
    <w:rsid w:val="00B54C9B"/>
    <w:rsid w:val="00B813D6"/>
    <w:rsid w:val="00B9137C"/>
    <w:rsid w:val="00B91B06"/>
    <w:rsid w:val="00BB371A"/>
    <w:rsid w:val="00BD3566"/>
    <w:rsid w:val="00BF6113"/>
    <w:rsid w:val="00BF74E9"/>
    <w:rsid w:val="00C10B92"/>
    <w:rsid w:val="00C13075"/>
    <w:rsid w:val="00C4633D"/>
    <w:rsid w:val="00C566B3"/>
    <w:rsid w:val="00C67B32"/>
    <w:rsid w:val="00CB0C1D"/>
    <w:rsid w:val="00CF5974"/>
    <w:rsid w:val="00D04268"/>
    <w:rsid w:val="00D113C0"/>
    <w:rsid w:val="00D226FE"/>
    <w:rsid w:val="00D26830"/>
    <w:rsid w:val="00D36733"/>
    <w:rsid w:val="00D434BA"/>
    <w:rsid w:val="00D471B5"/>
    <w:rsid w:val="00D571DB"/>
    <w:rsid w:val="00D85254"/>
    <w:rsid w:val="00D8715D"/>
    <w:rsid w:val="00D872C7"/>
    <w:rsid w:val="00DB7990"/>
    <w:rsid w:val="00DC6BD5"/>
    <w:rsid w:val="00DF478E"/>
    <w:rsid w:val="00E01FE9"/>
    <w:rsid w:val="00E06EA3"/>
    <w:rsid w:val="00E46575"/>
    <w:rsid w:val="00E57482"/>
    <w:rsid w:val="00E92D5D"/>
    <w:rsid w:val="00E93974"/>
    <w:rsid w:val="00EA2414"/>
    <w:rsid w:val="00EB52F0"/>
    <w:rsid w:val="00EB57EB"/>
    <w:rsid w:val="00EB6740"/>
    <w:rsid w:val="00EC68D1"/>
    <w:rsid w:val="00EF4E0F"/>
    <w:rsid w:val="00F03C73"/>
    <w:rsid w:val="00F16056"/>
    <w:rsid w:val="00F2277F"/>
    <w:rsid w:val="00F51150"/>
    <w:rsid w:val="00F67BD0"/>
    <w:rsid w:val="00F859B7"/>
    <w:rsid w:val="00F86918"/>
    <w:rsid w:val="00FA48BA"/>
    <w:rsid w:val="00FB2B03"/>
    <w:rsid w:val="00FC1C44"/>
    <w:rsid w:val="00FC49D1"/>
    <w:rsid w:val="00FF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49F1C"/>
  <w15:chartTrackingRefBased/>
  <w15:docId w15:val="{DF756985-F4B2-4726-87C2-3EF12962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26EDA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C10B92"/>
    <w:pPr>
      <w:tabs>
        <w:tab w:val="right" w:leader="dot" w:pos="12950"/>
      </w:tabs>
    </w:pPr>
  </w:style>
  <w:style w:type="paragraph" w:styleId="BodyTextIndent2">
    <w:name w:val="Body Text Indent 2"/>
    <w:basedOn w:val="Normal"/>
    <w:link w:val="BodyTextIndent2Char"/>
    <w:rsid w:val="004A451D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4A451D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DC6BD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D624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908DA-81F0-4454-9553-6BC6EC8F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21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3681</CharactersWithSpaces>
  <SharedDoc>false</SharedDoc>
  <HLinks>
    <vt:vector size="114" baseType="variant"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3997735</vt:i4>
      </vt:variant>
      <vt:variant>
        <vt:i4>57</vt:i4>
      </vt:variant>
      <vt:variant>
        <vt:i4>0</vt:i4>
      </vt:variant>
      <vt:variant>
        <vt:i4>5</vt:i4>
      </vt:variant>
      <vt:variant>
        <vt:lpwstr>../../../../AppData/Local/Microsoft/Windows/Temporary Internet Files/Downloads/CMS-2-017428</vt:lpwstr>
      </vt:variant>
      <vt:variant>
        <vt:lpwstr/>
      </vt:variant>
      <vt:variant>
        <vt:i4>2424887</vt:i4>
      </vt:variant>
      <vt:variant>
        <vt:i4>54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5767185</vt:i4>
      </vt:variant>
      <vt:variant>
        <vt:i4>51</vt:i4>
      </vt:variant>
      <vt:variant>
        <vt:i4>0</vt:i4>
      </vt:variant>
      <vt:variant>
        <vt:i4>5</vt:i4>
      </vt:variant>
      <vt:variant>
        <vt:lpwstr>CMS-2-005164</vt:lpwstr>
      </vt:variant>
      <vt:variant>
        <vt:lpwstr/>
      </vt:variant>
      <vt:variant>
        <vt:i4>4587615</vt:i4>
      </vt:variant>
      <vt:variant>
        <vt:i4>48</vt:i4>
      </vt:variant>
      <vt:variant>
        <vt:i4>0</vt:i4>
      </vt:variant>
      <vt:variant>
        <vt:i4>5</vt:i4>
      </vt:variant>
      <vt:variant>
        <vt:lpwstr>C:\Users\AppData\Local\Microsoft\Windows\Temporary Internet Files\Downloads\CMS-2-017428</vt:lpwstr>
      </vt:variant>
      <vt:variant>
        <vt:lpwstr/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4915264</vt:i4>
      </vt:variant>
      <vt:variant>
        <vt:i4>39</vt:i4>
      </vt:variant>
      <vt:variant>
        <vt:i4>0</vt:i4>
      </vt:variant>
      <vt:variant>
        <vt:i4>5</vt:i4>
      </vt:variant>
      <vt:variant>
        <vt:lpwstr>../../../../AppData/Local/Microsoft/Windows/AppData/Local/Microsoft/Windows/Temporary Internet Files/Content.Outlook/1710ITTL/CMS-PCP1-025502</vt:lpwstr>
      </vt:variant>
      <vt:variant>
        <vt:lpwstr/>
      </vt:variant>
      <vt:variant>
        <vt:i4>8126563</vt:i4>
      </vt:variant>
      <vt:variant>
        <vt:i4>33</vt:i4>
      </vt:variant>
      <vt:variant>
        <vt:i4>0</vt:i4>
      </vt:variant>
      <vt:variant>
        <vt:i4>5</vt:i4>
      </vt:variant>
      <vt:variant>
        <vt:lpwstr>../../../../AppData/Local/Microsoft/UJ30FJ4/Desktop/Native Files/Customer Care/Subcommittee Review/CMS-2-004378</vt:lpwstr>
      </vt:variant>
      <vt:variant>
        <vt:lpwstr/>
      </vt:variant>
      <vt:variant>
        <vt:i4>5636113</vt:i4>
      </vt:variant>
      <vt:variant>
        <vt:i4>30</vt:i4>
      </vt:variant>
      <vt:variant>
        <vt:i4>0</vt:i4>
      </vt:variant>
      <vt:variant>
        <vt:i4>5</vt:i4>
      </vt:variant>
      <vt:variant>
        <vt:lpwstr>CMS-2-004378</vt:lpwstr>
      </vt:variant>
      <vt:variant>
        <vt:lpwstr/>
      </vt:variant>
      <vt:variant>
        <vt:i4>2162792</vt:i4>
      </vt:variant>
      <vt:variant>
        <vt:i4>27</vt:i4>
      </vt:variant>
      <vt:variant>
        <vt:i4>0</vt:i4>
      </vt:variant>
      <vt:variant>
        <vt:i4>5</vt:i4>
      </vt:variant>
      <vt:variant>
        <vt:lpwstr>../../../../AppData/Local/Microsoft/Windows/Temporary Internet Files/Downloads/TSRC-PROD-016401</vt:lpwstr>
      </vt:variant>
      <vt:variant>
        <vt:lpwstr/>
      </vt:variant>
      <vt:variant>
        <vt:i4>1441803</vt:i4>
      </vt:variant>
      <vt:variant>
        <vt:i4>24</vt:i4>
      </vt:variant>
      <vt:variant>
        <vt:i4>0</vt:i4>
      </vt:variant>
      <vt:variant>
        <vt:i4>5</vt:i4>
      </vt:variant>
      <vt:variant>
        <vt:lpwstr>TSRC-PROD-016401</vt:lpwstr>
      </vt:variant>
      <vt:variant>
        <vt:lpwstr/>
      </vt:variant>
      <vt:variant>
        <vt:i4>3670127</vt:i4>
      </vt:variant>
      <vt:variant>
        <vt:i4>21</vt:i4>
      </vt:variant>
      <vt:variant>
        <vt:i4>0</vt:i4>
      </vt:variant>
      <vt:variant>
        <vt:i4>5</vt:i4>
      </vt:variant>
      <vt:variant>
        <vt:lpwstr>../../../../AppData/Local/Microsoft/Windows/AppData/Local/Microsoft/Windows/Temporary Internet Files/Content.Outlook/1710ITTL/CMS-2-024833</vt:lpwstr>
      </vt:variant>
      <vt:variant>
        <vt:lpwstr/>
      </vt:variant>
      <vt:variant>
        <vt:i4>5505045</vt:i4>
      </vt:variant>
      <vt:variant>
        <vt:i4>18</vt:i4>
      </vt:variant>
      <vt:variant>
        <vt:i4>0</vt:i4>
      </vt:variant>
      <vt:variant>
        <vt:i4>5</vt:i4>
      </vt:variant>
      <vt:variant>
        <vt:lpwstr>CMS-2-024833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_Toc12886795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_Toc12886794</vt:lpwstr>
      </vt:variant>
      <vt:variant>
        <vt:i4>1638454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_Toc12886793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_Toc12886792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Feldman, Elizabeth J</cp:lastModifiedBy>
  <cp:revision>13</cp:revision>
  <dcterms:created xsi:type="dcterms:W3CDTF">2025-02-18T16:29:00Z</dcterms:created>
  <dcterms:modified xsi:type="dcterms:W3CDTF">2025-02-18T17:25:00Z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2021-10-21T13:53:18Z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6cd7514b-9af2-4364-a1fb-73acc4acbfbd</vt:lpwstr>
  </property>
  <property fmtid="{D5CDD505-2E9C-101B-9397-08002B2CF9AE}" pid="8" name="MSIP_Label_67599526-06ca-49cc-9fa9-5307800a949a_ContentBits">
    <vt:lpwstr>0</vt:lpwstr>
  </property>
</Properties>
</file>