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7891" w14:textId="33913BA3" w:rsidR="00D26657" w:rsidRPr="000A3926" w:rsidRDefault="00193062" w:rsidP="00597967">
      <w:pPr>
        <w:pStyle w:val="Heading1"/>
        <w:spacing w:before="120" w:after="120"/>
        <w:rPr>
          <w:szCs w:val="36"/>
        </w:rPr>
      </w:pPr>
      <w:bookmarkStart w:id="0" w:name="_top"/>
      <w:bookmarkStart w:id="1" w:name="OLE_LINK92"/>
      <w:bookmarkEnd w:id="0"/>
      <w:r w:rsidRPr="00F56AA6">
        <w:rPr>
          <w:szCs w:val="36"/>
        </w:rPr>
        <w:t>PeopleSafe</w:t>
      </w:r>
      <w:r w:rsidRPr="000A3926">
        <w:rPr>
          <w:szCs w:val="36"/>
        </w:rPr>
        <w:t xml:space="preserve"> - </w:t>
      </w:r>
      <w:r w:rsidR="00D26657" w:rsidRPr="000A3926">
        <w:rPr>
          <w:szCs w:val="36"/>
        </w:rPr>
        <w:t>Reject 70 NDC Product/Service Not Covered - Pending Formulary Review MR - Product Not on Formulary</w:t>
      </w:r>
    </w:p>
    <w:bookmarkEnd w:id="1"/>
    <w:p w14:paraId="2C594C62" w14:textId="539960FA" w:rsidR="009238CA" w:rsidRDefault="00C821ED" w:rsidP="009238C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B62F6D">
        <w:fldChar w:fldCharType="begin"/>
      </w:r>
      <w:r w:rsidRPr="00B62F6D">
        <w:instrText xml:space="preserve"> TOC \o "2-2" \n \p " " \h \z \u </w:instrText>
      </w:r>
      <w:r w:rsidRPr="00B62F6D">
        <w:fldChar w:fldCharType="separate"/>
      </w:r>
      <w:hyperlink w:anchor="_Toc176513309" w:history="1">
        <w:r w:rsidR="009238CA" w:rsidRPr="00D509FA">
          <w:rPr>
            <w:rStyle w:val="Hyperlink"/>
            <w:noProof/>
          </w:rPr>
          <w:t>Process</w:t>
        </w:r>
      </w:hyperlink>
    </w:p>
    <w:p w14:paraId="78D4036C" w14:textId="73FE308A" w:rsidR="009238CA" w:rsidRDefault="001F69C8" w:rsidP="009238CA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6513310" w:history="1">
        <w:r w:rsidR="009238CA" w:rsidRPr="00D509FA">
          <w:rPr>
            <w:rStyle w:val="Hyperlink"/>
            <w:noProof/>
          </w:rPr>
          <w:t>Related Documents</w:t>
        </w:r>
      </w:hyperlink>
    </w:p>
    <w:p w14:paraId="7E089A8F" w14:textId="77777777" w:rsidR="001F69C8" w:rsidRDefault="00C821ED" w:rsidP="003663AB">
      <w:pPr>
        <w:spacing w:before="120" w:after="120"/>
      </w:pPr>
      <w:r w:rsidRPr="00B62F6D">
        <w:fldChar w:fldCharType="end"/>
      </w:r>
    </w:p>
    <w:p w14:paraId="2A3E14CA" w14:textId="2B1E4D1F" w:rsidR="00806B9D" w:rsidRPr="00B62F6D" w:rsidRDefault="001B1FBE" w:rsidP="003663AB">
      <w:pPr>
        <w:spacing w:before="120" w:after="120"/>
      </w:pPr>
      <w:r w:rsidRPr="00B62F6D">
        <w:rPr>
          <w:b/>
          <w:bCs/>
        </w:rPr>
        <w:t>Description:</w:t>
      </w:r>
      <w:r w:rsidRPr="00B62F6D">
        <w:t xml:space="preserve"> </w:t>
      </w:r>
      <w:bookmarkStart w:id="2" w:name="OLE_LINK93"/>
      <w:r w:rsidR="001F69C8">
        <w:t xml:space="preserve"> </w:t>
      </w:r>
      <w:r w:rsidR="00193062">
        <w:t xml:space="preserve">Used </w:t>
      </w:r>
      <w:r w:rsidR="00D26657" w:rsidRPr="00B62F6D">
        <w:t>when a Reject 70 displays as</w:t>
      </w:r>
      <w:r w:rsidR="004B1BD3">
        <w:t xml:space="preserve"> </w:t>
      </w:r>
      <w:r w:rsidR="00D26657" w:rsidRPr="00B62F6D">
        <w:t xml:space="preserve"> </w:t>
      </w:r>
      <w:r w:rsidR="004B1BD3">
        <w:t>N</w:t>
      </w:r>
      <w:r w:rsidR="00B134FD">
        <w:t xml:space="preserve">ational Drug Code </w:t>
      </w:r>
      <w:r w:rsidR="004B1BD3">
        <w:t>(</w:t>
      </w:r>
      <w:r w:rsidR="00D26657" w:rsidRPr="00597967">
        <w:rPr>
          <w:b/>
          <w:bCs/>
        </w:rPr>
        <w:t>NDC</w:t>
      </w:r>
      <w:r w:rsidR="004B1BD3">
        <w:t>)</w:t>
      </w:r>
      <w:r w:rsidR="00D26657" w:rsidRPr="00B62F6D">
        <w:t xml:space="preserve"> Product/Service Not Covered Pending Formulary Review.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B62F6D" w14:paraId="4B291B66" w14:textId="77777777" w:rsidTr="001F69C8">
        <w:trPr>
          <w:trHeight w:val="288"/>
        </w:trPr>
        <w:tc>
          <w:tcPr>
            <w:tcW w:w="5000" w:type="pct"/>
            <w:shd w:val="clear" w:color="auto" w:fill="BFBFBF" w:themeFill="background1" w:themeFillShade="BF"/>
          </w:tcPr>
          <w:p w14:paraId="2AB05E94" w14:textId="13C84D26" w:rsidR="00A97B7D" w:rsidRPr="00B62F6D" w:rsidRDefault="00E041FD" w:rsidP="001F69C8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Toc5964594"/>
            <w:bookmarkStart w:id="8" w:name="_Toc176513309"/>
            <w:bookmarkStart w:id="9" w:name="OLE_LINK5"/>
            <w:bookmarkStart w:id="10" w:name="OLE_LINK6"/>
            <w:bookmarkEnd w:id="3"/>
            <w:bookmarkEnd w:id="4"/>
            <w:bookmarkEnd w:id="5"/>
            <w:bookmarkEnd w:id="6"/>
            <w:r w:rsidRPr="00B62F6D">
              <w:rPr>
                <w:iCs w:val="0"/>
              </w:rPr>
              <w:t>Process</w:t>
            </w:r>
            <w:bookmarkEnd w:id="7"/>
            <w:bookmarkEnd w:id="8"/>
            <w:r w:rsidRPr="00B62F6D">
              <w:rPr>
                <w:iCs w:val="0"/>
              </w:rPr>
              <w:t xml:space="preserve"> </w:t>
            </w:r>
          </w:p>
        </w:tc>
      </w:tr>
      <w:bookmarkEnd w:id="9"/>
      <w:bookmarkEnd w:id="10"/>
    </w:tbl>
    <w:p w14:paraId="33E30892" w14:textId="77777777" w:rsidR="00175376" w:rsidRDefault="00175376" w:rsidP="00B62F6D">
      <w:pPr>
        <w:spacing w:before="120" w:after="120"/>
      </w:pPr>
    </w:p>
    <w:p w14:paraId="030CE469" w14:textId="3F221F24" w:rsidR="008739E5" w:rsidRPr="001F69C8" w:rsidRDefault="009A4A14" w:rsidP="00B62F6D">
      <w:pPr>
        <w:spacing w:before="120" w:after="120"/>
        <w:rPr>
          <w:color w:val="FFFFFF"/>
        </w:rPr>
      </w:pPr>
      <w:r w:rsidRPr="001F69C8">
        <w:t>Complete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A829E3" w:rsidRPr="00B62F6D" w14:paraId="4C7F8F94" w14:textId="77777777" w:rsidTr="001F69C8">
        <w:tc>
          <w:tcPr>
            <w:tcW w:w="292" w:type="pct"/>
            <w:shd w:val="clear" w:color="auto" w:fill="D9D9D9" w:themeFill="background1" w:themeFillShade="D9"/>
          </w:tcPr>
          <w:p w14:paraId="20A34725" w14:textId="77777777" w:rsidR="00D471B5" w:rsidRPr="00B62F6D" w:rsidRDefault="00EB52F0" w:rsidP="00B62F6D">
            <w:pPr>
              <w:spacing w:before="120" w:after="120"/>
              <w:jc w:val="center"/>
              <w:rPr>
                <w:b/>
              </w:rPr>
            </w:pPr>
            <w:r w:rsidRPr="00B62F6D">
              <w:rPr>
                <w:b/>
              </w:rPr>
              <w:t>Step</w:t>
            </w:r>
          </w:p>
        </w:tc>
        <w:tc>
          <w:tcPr>
            <w:tcW w:w="4708" w:type="pct"/>
            <w:shd w:val="clear" w:color="auto" w:fill="D9D9D9" w:themeFill="background1" w:themeFillShade="D9"/>
          </w:tcPr>
          <w:p w14:paraId="32ED165C" w14:textId="77777777" w:rsidR="00D471B5" w:rsidRPr="00B62F6D" w:rsidRDefault="00EB52F0" w:rsidP="00B62F6D">
            <w:pPr>
              <w:spacing w:before="120" w:after="120"/>
              <w:jc w:val="center"/>
              <w:rPr>
                <w:b/>
              </w:rPr>
            </w:pPr>
            <w:r w:rsidRPr="00B62F6D">
              <w:rPr>
                <w:b/>
              </w:rPr>
              <w:t>Action</w:t>
            </w:r>
          </w:p>
        </w:tc>
      </w:tr>
      <w:tr w:rsidR="00A829E3" w:rsidRPr="00B62F6D" w14:paraId="0E86CA0F" w14:textId="77777777" w:rsidTr="001F69C8">
        <w:tc>
          <w:tcPr>
            <w:tcW w:w="292" w:type="pct"/>
          </w:tcPr>
          <w:p w14:paraId="54B3F788" w14:textId="77777777" w:rsidR="00122B8F" w:rsidRPr="00B62F6D" w:rsidRDefault="00D01A14" w:rsidP="00B62F6D">
            <w:pPr>
              <w:spacing w:before="120" w:after="120"/>
              <w:jc w:val="center"/>
              <w:rPr>
                <w:b/>
              </w:rPr>
            </w:pPr>
            <w:bookmarkStart w:id="11" w:name="_Hlk106890969"/>
            <w:r w:rsidRPr="00B62F6D">
              <w:rPr>
                <w:b/>
              </w:rPr>
              <w:t>1</w:t>
            </w:r>
          </w:p>
        </w:tc>
        <w:tc>
          <w:tcPr>
            <w:tcW w:w="4708" w:type="pct"/>
          </w:tcPr>
          <w:p w14:paraId="01FCDCC2" w14:textId="5C58CC2F" w:rsidR="00EC2500" w:rsidRDefault="00D26657" w:rsidP="0019059C">
            <w:pPr>
              <w:spacing w:before="120" w:after="120"/>
              <w:rPr>
                <w:color w:val="000000"/>
              </w:rPr>
            </w:pPr>
            <w:r w:rsidRPr="711BDB00">
              <w:rPr>
                <w:color w:val="000000" w:themeColor="text1"/>
              </w:rPr>
              <w:t>Search</w:t>
            </w:r>
            <w:r w:rsidR="00387982" w:rsidRPr="711BDB00">
              <w:rPr>
                <w:color w:val="000000" w:themeColor="text1"/>
              </w:rPr>
              <w:t>,</w:t>
            </w:r>
            <w:r w:rsidRPr="711BDB00">
              <w:rPr>
                <w:color w:val="000000" w:themeColor="text1"/>
              </w:rPr>
              <w:t xml:space="preserve"> find</w:t>
            </w:r>
            <w:r w:rsidR="00387982" w:rsidRPr="711BDB00">
              <w:rPr>
                <w:color w:val="000000" w:themeColor="text1"/>
              </w:rPr>
              <w:t>,</w:t>
            </w:r>
            <w:r w:rsidRPr="711BDB00">
              <w:rPr>
                <w:color w:val="000000" w:themeColor="text1"/>
              </w:rPr>
              <w:t xml:space="preserve"> and view the member’s account in People</w:t>
            </w:r>
            <w:r w:rsidR="00C07465" w:rsidRPr="711BDB00">
              <w:rPr>
                <w:color w:val="000000" w:themeColor="text1"/>
              </w:rPr>
              <w:t>Safe</w:t>
            </w:r>
            <w:r w:rsidR="00387982" w:rsidRPr="711BDB00">
              <w:rPr>
                <w:color w:val="000000" w:themeColor="text1"/>
              </w:rPr>
              <w:t xml:space="preserve"> and</w:t>
            </w:r>
            <w:r w:rsidRPr="711BDB00">
              <w:rPr>
                <w:color w:val="000000" w:themeColor="text1"/>
              </w:rPr>
              <w:t xml:space="preserve"> then locate the rejected claim.</w:t>
            </w:r>
          </w:p>
          <w:p w14:paraId="06929A19" w14:textId="77777777" w:rsidR="005D0C88" w:rsidRDefault="005D0C88" w:rsidP="0019059C">
            <w:pPr>
              <w:spacing w:before="120" w:after="120"/>
              <w:rPr>
                <w:color w:val="000000"/>
              </w:rPr>
            </w:pPr>
          </w:p>
          <w:p w14:paraId="0FD52400" w14:textId="05EBE029" w:rsidR="005D0C88" w:rsidRDefault="00296651" w:rsidP="008D4CB0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03372C" wp14:editId="27686841">
                  <wp:extent cx="3619048" cy="39047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048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C0349" w14:textId="3B74724E" w:rsidR="00E36122" w:rsidRPr="00B62F6D" w:rsidRDefault="00E36122" w:rsidP="00EC2500">
            <w:pPr>
              <w:spacing w:before="120" w:after="120"/>
            </w:pPr>
          </w:p>
        </w:tc>
      </w:tr>
      <w:bookmarkEnd w:id="11"/>
      <w:tr w:rsidR="00A829E3" w:rsidRPr="00B62F6D" w14:paraId="41789A9B" w14:textId="77777777" w:rsidTr="001F69C8">
        <w:tc>
          <w:tcPr>
            <w:tcW w:w="292" w:type="pct"/>
          </w:tcPr>
          <w:p w14:paraId="0FA2C6EA" w14:textId="4ACFF79C" w:rsidR="00D26657" w:rsidRPr="00B62F6D" w:rsidRDefault="00D26657" w:rsidP="00B62F6D">
            <w:pPr>
              <w:spacing w:before="120" w:after="120"/>
              <w:jc w:val="center"/>
              <w:rPr>
                <w:b/>
              </w:rPr>
            </w:pPr>
            <w:r w:rsidRPr="00B62F6D">
              <w:rPr>
                <w:b/>
              </w:rPr>
              <w:t>2</w:t>
            </w:r>
          </w:p>
        </w:tc>
        <w:tc>
          <w:tcPr>
            <w:tcW w:w="4708" w:type="pct"/>
          </w:tcPr>
          <w:p w14:paraId="72B5BF4B" w14:textId="101F8D72" w:rsidR="00D26657" w:rsidRPr="00B62F6D" w:rsidRDefault="00D26657" w:rsidP="0019059C">
            <w:pPr>
              <w:spacing w:before="120" w:after="120"/>
              <w:rPr>
                <w:color w:val="000000"/>
              </w:rPr>
            </w:pPr>
            <w:r w:rsidRPr="00B62F6D">
              <w:rPr>
                <w:color w:val="000000"/>
              </w:rPr>
              <w:t xml:space="preserve">Review the </w:t>
            </w:r>
            <w:r w:rsidR="00E36122">
              <w:rPr>
                <w:color w:val="000000"/>
              </w:rPr>
              <w:t>Client Information Form (</w:t>
            </w:r>
            <w:r w:rsidRPr="00597967">
              <w:rPr>
                <w:b/>
                <w:bCs/>
                <w:color w:val="000000"/>
              </w:rPr>
              <w:t>CIF</w:t>
            </w:r>
            <w:r w:rsidR="00E36122">
              <w:rPr>
                <w:color w:val="000000"/>
              </w:rPr>
              <w:t>)</w:t>
            </w:r>
            <w:r w:rsidRPr="00B62F6D">
              <w:rPr>
                <w:color w:val="000000"/>
              </w:rPr>
              <w:t xml:space="preserve"> and determine if this medication</w:t>
            </w:r>
            <w:r w:rsidR="00C07465">
              <w:rPr>
                <w:color w:val="000000"/>
              </w:rPr>
              <w:t>/product</w:t>
            </w:r>
            <w:r w:rsidRPr="00B62F6D">
              <w:rPr>
                <w:color w:val="000000"/>
              </w:rPr>
              <w:t xml:space="preserve"> is included in their formulary.</w:t>
            </w:r>
          </w:p>
        </w:tc>
      </w:tr>
      <w:tr w:rsidR="00A829E3" w:rsidRPr="00B62F6D" w14:paraId="0BFE1357" w14:textId="77777777" w:rsidTr="001F69C8">
        <w:tc>
          <w:tcPr>
            <w:tcW w:w="292" w:type="pct"/>
          </w:tcPr>
          <w:p w14:paraId="64026050" w14:textId="0BA01772" w:rsidR="00122B8F" w:rsidRPr="00B62F6D" w:rsidRDefault="00D26657" w:rsidP="00B62F6D">
            <w:pPr>
              <w:spacing w:before="120" w:after="120"/>
              <w:jc w:val="center"/>
              <w:rPr>
                <w:b/>
              </w:rPr>
            </w:pPr>
            <w:r w:rsidRPr="00B62F6D">
              <w:rPr>
                <w:b/>
              </w:rPr>
              <w:t>3</w:t>
            </w:r>
          </w:p>
        </w:tc>
        <w:tc>
          <w:tcPr>
            <w:tcW w:w="4708" w:type="pct"/>
          </w:tcPr>
          <w:p w14:paraId="7756DB13" w14:textId="7BF092AA" w:rsidR="00873D09" w:rsidRPr="00B62F6D" w:rsidRDefault="00D26657" w:rsidP="0019059C">
            <w:pPr>
              <w:spacing w:before="120" w:after="120"/>
              <w:rPr>
                <w:color w:val="000000"/>
              </w:rPr>
            </w:pPr>
            <w:r w:rsidRPr="00B62F6D">
              <w:rPr>
                <w:color w:val="000000"/>
              </w:rPr>
              <w:t xml:space="preserve">Perform a </w:t>
            </w:r>
            <w:hyperlink r:id="rId12" w:history="1">
              <w:r w:rsidR="00E36122">
                <w:rPr>
                  <w:rStyle w:val="Hyperlink"/>
                </w:rPr>
                <w:t>Test Claim (004573)</w:t>
              </w:r>
            </w:hyperlink>
            <w:r w:rsidRPr="00B62F6D">
              <w:rPr>
                <w:color w:val="000000"/>
              </w:rPr>
              <w:t xml:space="preserve"> for the medication</w:t>
            </w:r>
            <w:r w:rsidR="00C07465">
              <w:rPr>
                <w:color w:val="000000"/>
              </w:rPr>
              <w:t>/product</w:t>
            </w:r>
            <w:r w:rsidRPr="00B62F6D">
              <w:rPr>
                <w:color w:val="000000"/>
              </w:rPr>
              <w:t xml:space="preserve"> in question.</w:t>
            </w:r>
          </w:p>
          <w:p w14:paraId="66121176" w14:textId="77777777" w:rsidR="00D26657" w:rsidRPr="00B62F6D" w:rsidRDefault="00D26657" w:rsidP="0019059C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B62F6D">
              <w:rPr>
                <w:color w:val="000000"/>
              </w:rPr>
              <w:t>If shows to pay, notify the member.</w:t>
            </w:r>
          </w:p>
          <w:p w14:paraId="71D2FA8E" w14:textId="4C38D6A9" w:rsidR="00C07465" w:rsidRPr="00597967" w:rsidRDefault="00D26657" w:rsidP="0019059C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b/>
                <w:bCs/>
                <w:color w:val="000000"/>
              </w:rPr>
            </w:pPr>
            <w:r w:rsidRPr="00597967">
              <w:rPr>
                <w:b/>
                <w:bCs/>
                <w:color w:val="000000"/>
              </w:rPr>
              <w:t>If rejects</w:t>
            </w:r>
            <w:r w:rsidR="00C07465" w:rsidRPr="00597967">
              <w:rPr>
                <w:b/>
                <w:bCs/>
                <w:color w:val="000000"/>
              </w:rPr>
              <w:t>:</w:t>
            </w:r>
          </w:p>
          <w:p w14:paraId="45E0B28D" w14:textId="1CD07B01" w:rsidR="008F36C0" w:rsidRDefault="00C07465" w:rsidP="00597967">
            <w:pPr>
              <w:pStyle w:val="ListParagraph"/>
              <w:numPr>
                <w:ilvl w:val="1"/>
                <w:numId w:val="17"/>
              </w:numPr>
              <w:spacing w:before="120" w:after="120"/>
            </w:pPr>
            <w:r w:rsidRPr="00597967">
              <w:rPr>
                <w:b/>
                <w:bCs/>
              </w:rPr>
              <w:t>For Disposable Insulin Pumps (</w:t>
            </w:r>
            <w:r w:rsidRPr="0013168F">
              <w:rPr>
                <w:b/>
                <w:bCs/>
              </w:rPr>
              <w:t>Example</w:t>
            </w:r>
            <w:r w:rsidR="21AEFAE2" w:rsidRPr="0013168F">
              <w:rPr>
                <w:b/>
                <w:bCs/>
              </w:rPr>
              <w:t xml:space="preserve">: </w:t>
            </w:r>
            <w:r w:rsidR="001F69C8">
              <w:rPr>
                <w:b/>
                <w:bCs/>
              </w:rPr>
              <w:t xml:space="preserve"> </w:t>
            </w:r>
            <w:proofErr w:type="spellStart"/>
            <w:r w:rsidR="21AEFAE2" w:rsidRPr="0013168F">
              <w:rPr>
                <w:b/>
                <w:bCs/>
              </w:rPr>
              <w:t>Omni</w:t>
            </w:r>
            <w:r w:rsidRPr="00597967">
              <w:rPr>
                <w:b/>
                <w:bCs/>
              </w:rPr>
              <w:t>Pod</w:t>
            </w:r>
            <w:proofErr w:type="spellEnd"/>
            <w:r w:rsidRPr="00597967">
              <w:rPr>
                <w:b/>
                <w:bCs/>
              </w:rPr>
              <w:t>)</w:t>
            </w:r>
            <w:r w:rsidR="00387982" w:rsidRPr="00597967">
              <w:rPr>
                <w:b/>
                <w:bCs/>
              </w:rPr>
              <w:t>:</w:t>
            </w:r>
            <w:r w:rsidRPr="711BDB00">
              <w:t xml:space="preserve">  </w:t>
            </w:r>
            <w:bookmarkStart w:id="12" w:name="OLE_LINK21"/>
            <w:r>
              <w:rPr>
                <w:noProof/>
              </w:rPr>
              <w:drawing>
                <wp:inline distT="0" distB="0" distL="0" distR="0" wp14:anchorId="07327F35" wp14:editId="44D0A56C">
                  <wp:extent cx="237490" cy="2139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11BDB00">
              <w:t xml:space="preserve"> </w:t>
            </w:r>
            <w:bookmarkStart w:id="13" w:name="OLE_LINK16"/>
            <w:bookmarkStart w:id="14" w:name="OLE_LINK17"/>
            <w:r w:rsidRPr="711BDB00">
              <w:t>Disposable Insulin Pumps</w:t>
            </w:r>
            <w:bookmarkEnd w:id="12"/>
            <w:bookmarkEnd w:id="13"/>
            <w:bookmarkEnd w:id="14"/>
            <w:r w:rsidR="00B6305F" w:rsidRPr="711BDB00">
              <w:t xml:space="preserve"> are not a product currently covered under your pharmacy benefit plan. You may receive communication if your plan coverage changes</w:t>
            </w:r>
            <w:r w:rsidR="00597967" w:rsidRPr="711BDB00">
              <w:t xml:space="preserve">. </w:t>
            </w:r>
            <w:r w:rsidR="00B6305F" w:rsidRPr="711BDB00">
              <w:t>In the meantime, please visit caremark.com to check drug coverage or speak with your provider for alternatives</w:t>
            </w:r>
            <w:r w:rsidR="00334C9E" w:rsidRPr="711BDB00">
              <w:t>.</w:t>
            </w:r>
          </w:p>
          <w:p w14:paraId="688C8A15" w14:textId="77777777" w:rsidR="005D5556" w:rsidRDefault="005D5556" w:rsidP="00597967">
            <w:pPr>
              <w:pStyle w:val="ListParagraph"/>
              <w:spacing w:before="120" w:after="120"/>
              <w:ind w:left="1080"/>
            </w:pPr>
          </w:p>
          <w:p w14:paraId="1D6FF5EC" w14:textId="526EBE7B" w:rsidR="00A829E3" w:rsidRDefault="00A829E3" w:rsidP="00597967">
            <w:pPr>
              <w:pStyle w:val="ListParagraph"/>
              <w:numPr>
                <w:ilvl w:val="1"/>
                <w:numId w:val="17"/>
              </w:numPr>
              <w:spacing w:before="120" w:after="120"/>
            </w:pPr>
            <w:r w:rsidRPr="711BDB00">
              <w:t xml:space="preserve">All other rejects, refer to </w:t>
            </w:r>
            <w:hyperlink r:id="rId14" w:anchor="!/view?docid=47f55369-da9d-4d40-b818-64a3ed48a317">
              <w:r w:rsidR="001F69C8">
                <w:rPr>
                  <w:rStyle w:val="Hyperlink"/>
                </w:rPr>
                <w:t>locate an alternative Medication by Generic Identifier (031772)</w:t>
              </w:r>
            </w:hyperlink>
            <w:r w:rsidRPr="711BDB00">
              <w:t xml:space="preserve">, select </w:t>
            </w:r>
            <w:r w:rsidR="4FCC3085" w:rsidRPr="711BDB00">
              <w:t xml:space="preserve">an </w:t>
            </w:r>
            <w:proofErr w:type="spellStart"/>
            <w:r w:rsidR="4FCC3085" w:rsidRPr="711BDB00">
              <w:t>NDC</w:t>
            </w:r>
            <w:proofErr w:type="spellEnd"/>
            <w:r w:rsidRPr="711BDB00">
              <w:t xml:space="preserve"> </w:t>
            </w:r>
            <w:r w:rsidR="002F4716">
              <w:t>Number</w:t>
            </w:r>
            <w:r w:rsidRPr="711BDB00">
              <w:t xml:space="preserve"> listed and perform the test.  Continue this process for all NDC’s displayed until one of them works.</w:t>
            </w:r>
          </w:p>
          <w:p w14:paraId="6E24A065" w14:textId="2C79280E" w:rsidR="00D62A86" w:rsidRDefault="00A829E3" w:rsidP="00597967">
            <w:pPr>
              <w:pStyle w:val="ListParagraph"/>
              <w:numPr>
                <w:ilvl w:val="2"/>
                <w:numId w:val="17"/>
              </w:numPr>
              <w:spacing w:before="120" w:after="120"/>
            </w:pPr>
            <w:r w:rsidRPr="0039788A">
              <w:t xml:space="preserve">If you find one that works, document the NDC </w:t>
            </w:r>
            <w:r w:rsidR="002F4716">
              <w:t>Number</w:t>
            </w:r>
            <w:r w:rsidR="002F4716" w:rsidRPr="711BDB00">
              <w:t xml:space="preserve"> </w:t>
            </w:r>
            <w:r w:rsidRPr="0039788A">
              <w:t xml:space="preserve">then notify the member of the NDC </w:t>
            </w:r>
            <w:r w:rsidR="002F4716">
              <w:t>Number</w:t>
            </w:r>
            <w:r w:rsidR="002F4716" w:rsidRPr="711BDB00">
              <w:t xml:space="preserve"> </w:t>
            </w:r>
            <w:r w:rsidRPr="0039788A">
              <w:t xml:space="preserve">and notify them that their doctor will need to write a prescription for that NDC </w:t>
            </w:r>
            <w:r w:rsidR="002F4716">
              <w:t>Number</w:t>
            </w:r>
            <w:r w:rsidR="002F4716" w:rsidRPr="711BDB00">
              <w:t xml:space="preserve"> </w:t>
            </w:r>
            <w:r w:rsidRPr="0039788A">
              <w:t xml:space="preserve">or refer to </w:t>
            </w:r>
            <w:hyperlink r:id="rId15" w:anchor="!/view?docid=a1443f4f-499e-442c-be11-fd2b207bf86c" w:history="1">
              <w:r w:rsidR="0019059C">
                <w:rPr>
                  <w:rStyle w:val="Hyperlink"/>
                </w:rPr>
                <w:t>Obtaining a New Prescription (Rx) for the Member (058827)</w:t>
              </w:r>
            </w:hyperlink>
            <w:r w:rsidRPr="0039788A">
              <w:t>.</w:t>
            </w:r>
          </w:p>
          <w:p w14:paraId="79C51A41" w14:textId="5AAEC4BD" w:rsidR="00A829E3" w:rsidRPr="00C26931" w:rsidRDefault="00A829E3" w:rsidP="00597967">
            <w:pPr>
              <w:pStyle w:val="ListParagraph"/>
              <w:numPr>
                <w:ilvl w:val="2"/>
                <w:numId w:val="17"/>
              </w:numPr>
              <w:spacing w:before="120" w:after="120"/>
            </w:pPr>
            <w:r w:rsidRPr="00C26931">
              <w:t xml:space="preserve">If none of the NDC’s listed will accept and process, refer to </w:t>
            </w:r>
            <w:hyperlink r:id="rId16" w:anchor="!/view?docid=cd7126d2-19b7-4743-913c-8e9dd7329c08" w:history="1">
              <w:r w:rsidR="006717DA">
                <w:rPr>
                  <w:rStyle w:val="Hyperlink"/>
                </w:rPr>
                <w:t>Appeals (007339)</w:t>
              </w:r>
            </w:hyperlink>
            <w:r w:rsidRPr="00C26931">
              <w:t>.</w:t>
            </w:r>
          </w:p>
          <w:p w14:paraId="4A35C61D" w14:textId="1147121A" w:rsidR="00C07465" w:rsidRPr="00C07465" w:rsidRDefault="00C07465" w:rsidP="00597967">
            <w:pPr>
              <w:spacing w:before="120" w:after="120"/>
            </w:pPr>
          </w:p>
        </w:tc>
      </w:tr>
    </w:tbl>
    <w:p w14:paraId="2956A318" w14:textId="7BBB891C" w:rsidR="00433DFA" w:rsidRDefault="00433DFA" w:rsidP="000825E5"/>
    <w:p w14:paraId="77DF39B4" w14:textId="2D4BF20C" w:rsidR="009A4A14" w:rsidRPr="00B62F6D" w:rsidRDefault="001F69C8" w:rsidP="007A2871">
      <w:pPr>
        <w:spacing w:before="120" w:after="120"/>
        <w:jc w:val="right"/>
      </w:pPr>
      <w:hyperlink w:anchor="_top" w:history="1">
        <w:r w:rsidR="007A2871" w:rsidRPr="007A287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4A14" w:rsidRPr="00B62F6D" w14:paraId="5959B601" w14:textId="77777777" w:rsidTr="00597967">
        <w:tc>
          <w:tcPr>
            <w:tcW w:w="5000" w:type="pct"/>
            <w:shd w:val="clear" w:color="auto" w:fill="BFBFBF" w:themeFill="background1" w:themeFillShade="BF"/>
          </w:tcPr>
          <w:p w14:paraId="49B5AA79" w14:textId="77777777" w:rsidR="009A4A14" w:rsidRPr="00B62F6D" w:rsidRDefault="009A4A14" w:rsidP="00B62F6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5" w:name="_Toc176513310"/>
            <w:r w:rsidRPr="00B62F6D">
              <w:rPr>
                <w:iCs w:val="0"/>
              </w:rPr>
              <w:t>Related Documents</w:t>
            </w:r>
            <w:bookmarkEnd w:id="15"/>
          </w:p>
        </w:tc>
      </w:tr>
    </w:tbl>
    <w:p w14:paraId="2E53F93E" w14:textId="7D8E53B0" w:rsidR="0019059C" w:rsidRDefault="0019059C" w:rsidP="00B62F6D">
      <w:pPr>
        <w:spacing w:before="120" w:after="120"/>
      </w:pPr>
      <w:r w:rsidRPr="00B62F6D">
        <w:rPr>
          <w:rStyle w:val="Hyperlink"/>
          <w:b/>
          <w:color w:val="000000" w:themeColor="text1"/>
          <w:u w:val="none"/>
        </w:rPr>
        <w:t>Parent Document:</w:t>
      </w:r>
      <w:r w:rsidR="001F69C8">
        <w:rPr>
          <w:rStyle w:val="Hyperlink"/>
          <w:b/>
          <w:color w:val="000000" w:themeColor="text1"/>
          <w:u w:val="none"/>
        </w:rPr>
        <w:t xml:space="preserve"> </w:t>
      </w:r>
      <w:r w:rsidRPr="00B62F6D">
        <w:rPr>
          <w:rStyle w:val="Hyperlink"/>
          <w:color w:val="000000" w:themeColor="text1"/>
          <w:u w:val="none"/>
        </w:rPr>
        <w:t xml:space="preserve"> </w:t>
      </w:r>
      <w:hyperlink r:id="rId17" w:tgtFrame="_blank" w:history="1">
        <w:r w:rsidRPr="00B62F6D">
          <w:rPr>
            <w:color w:val="0000FF"/>
            <w:u w:val="single"/>
          </w:rPr>
          <w:t>CALL 0049 Customer Care Internal and External Call Handling</w:t>
        </w:r>
      </w:hyperlink>
    </w:p>
    <w:p w14:paraId="61A81A3B" w14:textId="446DF8C3" w:rsidR="009A4A14" w:rsidRPr="00B62F6D" w:rsidRDefault="001F69C8" w:rsidP="00B62F6D">
      <w:pPr>
        <w:spacing w:before="120" w:after="120"/>
        <w:rPr>
          <w:rStyle w:val="Hyperlink"/>
          <w:color w:val="000000" w:themeColor="text1"/>
          <w:u w:val="none"/>
        </w:rPr>
      </w:pPr>
      <w:hyperlink r:id="rId18" w:anchor="!/view?docid=bdac0c67-5fee-47ba-a3aa-aab84900cf78" w:history="1">
        <w:r w:rsidR="000B0480">
          <w:rPr>
            <w:rStyle w:val="Hyperlink"/>
          </w:rPr>
          <w:t>Log Activity/Capture Activity Codes (005164)</w:t>
        </w:r>
      </w:hyperlink>
    </w:p>
    <w:p w14:paraId="0903296C" w14:textId="2A20CBAB" w:rsidR="00D01A14" w:rsidRPr="00B62F6D" w:rsidRDefault="001F69C8" w:rsidP="00B62F6D">
      <w:pPr>
        <w:spacing w:before="120" w:after="120"/>
        <w:rPr>
          <w:rStyle w:val="Hyperlink"/>
        </w:rPr>
      </w:pPr>
      <w:hyperlink r:id="rId19" w:anchor="!/view?docid=c1f1028b-e42c-4b4f-a4cf-cc0b42c91606" w:history="1">
        <w:r w:rsidR="000B0480">
          <w:rPr>
            <w:rStyle w:val="Hyperlink"/>
          </w:rPr>
          <w:t>Customer Care Abbreviations, Definitions, and Terms Index (017428)</w:t>
        </w:r>
      </w:hyperlink>
    </w:p>
    <w:p w14:paraId="5FEF4C98" w14:textId="77777777" w:rsidR="00A97B7D" w:rsidRDefault="00A97B7D" w:rsidP="00597967">
      <w:pPr>
        <w:spacing w:before="120" w:after="120"/>
        <w:jc w:val="right"/>
      </w:pPr>
    </w:p>
    <w:p w14:paraId="15C47E84" w14:textId="552AC094" w:rsidR="007A2871" w:rsidRPr="00B62F6D" w:rsidRDefault="001F69C8" w:rsidP="00597967">
      <w:pPr>
        <w:spacing w:before="120" w:after="120"/>
        <w:jc w:val="right"/>
      </w:pPr>
      <w:hyperlink w:anchor="_top" w:history="1">
        <w:r w:rsidR="007A2871" w:rsidRPr="007A2871">
          <w:rPr>
            <w:rStyle w:val="Hyperlink"/>
          </w:rPr>
          <w:t>Top of the Document</w:t>
        </w:r>
      </w:hyperlink>
    </w:p>
    <w:p w14:paraId="7A5A411A" w14:textId="77777777" w:rsidR="009D03D9" w:rsidRPr="00B62F6D" w:rsidRDefault="009D03D9" w:rsidP="00597967">
      <w:pPr>
        <w:spacing w:before="120" w:after="120"/>
        <w:jc w:val="center"/>
        <w:rPr>
          <w:sz w:val="16"/>
          <w:szCs w:val="16"/>
        </w:rPr>
      </w:pPr>
      <w:r w:rsidRPr="00B62F6D">
        <w:rPr>
          <w:color w:val="000000"/>
          <w:sz w:val="16"/>
          <w:szCs w:val="16"/>
        </w:rPr>
        <w:t xml:space="preserve"> </w:t>
      </w:r>
      <w:r w:rsidRPr="00B62F6D">
        <w:rPr>
          <w:sz w:val="16"/>
          <w:szCs w:val="16"/>
        </w:rPr>
        <w:t xml:space="preserve">Not </w:t>
      </w:r>
      <w:r w:rsidR="00F11850" w:rsidRPr="00B62F6D">
        <w:rPr>
          <w:sz w:val="16"/>
          <w:szCs w:val="16"/>
        </w:rPr>
        <w:t>to</w:t>
      </w:r>
      <w:r w:rsidRPr="00B62F6D">
        <w:rPr>
          <w:sz w:val="16"/>
          <w:szCs w:val="16"/>
        </w:rPr>
        <w:t xml:space="preserve"> Be Reproduced </w:t>
      </w:r>
      <w:r w:rsidR="00F11850" w:rsidRPr="00B62F6D">
        <w:rPr>
          <w:sz w:val="16"/>
          <w:szCs w:val="16"/>
        </w:rPr>
        <w:t>or</w:t>
      </w:r>
      <w:r w:rsidRPr="00B62F6D">
        <w:rPr>
          <w:sz w:val="16"/>
          <w:szCs w:val="16"/>
        </w:rPr>
        <w:t xml:space="preserve"> Disclosed to Others </w:t>
      </w:r>
      <w:r w:rsidR="00F11850" w:rsidRPr="00B62F6D">
        <w:rPr>
          <w:sz w:val="16"/>
          <w:szCs w:val="16"/>
        </w:rPr>
        <w:t>without</w:t>
      </w:r>
      <w:r w:rsidRPr="00B62F6D">
        <w:rPr>
          <w:sz w:val="16"/>
          <w:szCs w:val="16"/>
        </w:rPr>
        <w:t xml:space="preserve"> Prior Written Approval</w:t>
      </w:r>
    </w:p>
    <w:p w14:paraId="73807322" w14:textId="77777777" w:rsidR="009D03D9" w:rsidRPr="00B62F6D" w:rsidRDefault="009D03D9" w:rsidP="00597967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B62F6D">
        <w:rPr>
          <w:b/>
          <w:color w:val="000000"/>
          <w:sz w:val="16"/>
          <w:szCs w:val="16"/>
        </w:rPr>
        <w:t xml:space="preserve">ELECTRONIC DATA = OFFICIAL VERSION </w:t>
      </w:r>
      <w:r w:rsidR="005F2CCC" w:rsidRPr="00B62F6D">
        <w:rPr>
          <w:b/>
          <w:color w:val="000000"/>
          <w:sz w:val="16"/>
          <w:szCs w:val="16"/>
        </w:rPr>
        <w:t>/ PAPER COPY =</w:t>
      </w:r>
      <w:r w:rsidRPr="00B62F6D">
        <w:rPr>
          <w:b/>
          <w:color w:val="000000"/>
          <w:sz w:val="16"/>
          <w:szCs w:val="16"/>
        </w:rPr>
        <w:t xml:space="preserve"> INFORMATIONAL ONLY</w:t>
      </w:r>
    </w:p>
    <w:p w14:paraId="21CDE6C0" w14:textId="77777777" w:rsidR="005F2CCC" w:rsidRDefault="005F2CCC" w:rsidP="009D03D9">
      <w:pPr>
        <w:jc w:val="center"/>
        <w:rPr>
          <w:b/>
          <w:color w:val="000000"/>
          <w:sz w:val="16"/>
          <w:szCs w:val="16"/>
        </w:rPr>
      </w:pPr>
    </w:p>
    <w:sectPr w:rsidR="005F2CCC" w:rsidSect="00303F88">
      <w:footerReference w:type="even" r:id="rId20"/>
      <w:footerReference w:type="defaul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092C" w14:textId="77777777" w:rsidR="00900569" w:rsidRDefault="00900569">
      <w:r>
        <w:separator/>
      </w:r>
    </w:p>
  </w:endnote>
  <w:endnote w:type="continuationSeparator" w:id="0">
    <w:p w14:paraId="44A2B2B9" w14:textId="77777777" w:rsidR="00900569" w:rsidRDefault="0090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A67F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34B19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E4E3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0FEE" w14:textId="77777777" w:rsidR="00900569" w:rsidRDefault="00900569">
      <w:r>
        <w:separator/>
      </w:r>
    </w:p>
  </w:footnote>
  <w:footnote w:type="continuationSeparator" w:id="0">
    <w:p w14:paraId="4857B759" w14:textId="77777777" w:rsidR="00900569" w:rsidRDefault="00900569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184E"/>
    <w:multiLevelType w:val="multilevel"/>
    <w:tmpl w:val="53E4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434FE"/>
    <w:multiLevelType w:val="hybridMultilevel"/>
    <w:tmpl w:val="894A54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70D32"/>
    <w:multiLevelType w:val="hybridMultilevel"/>
    <w:tmpl w:val="79064F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6B0847"/>
    <w:multiLevelType w:val="hybridMultilevel"/>
    <w:tmpl w:val="921E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04C92"/>
    <w:multiLevelType w:val="hybridMultilevel"/>
    <w:tmpl w:val="6812D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E6E19"/>
    <w:multiLevelType w:val="hybridMultilevel"/>
    <w:tmpl w:val="A0CC5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1401DD"/>
    <w:multiLevelType w:val="hybridMultilevel"/>
    <w:tmpl w:val="5AE204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598918">
    <w:abstractNumId w:val="15"/>
  </w:num>
  <w:num w:numId="2" w16cid:durableId="1225986988">
    <w:abstractNumId w:val="12"/>
  </w:num>
  <w:num w:numId="3" w16cid:durableId="579102562">
    <w:abstractNumId w:val="17"/>
  </w:num>
  <w:num w:numId="4" w16cid:durableId="1160928430">
    <w:abstractNumId w:val="0"/>
  </w:num>
  <w:num w:numId="5" w16cid:durableId="805897820">
    <w:abstractNumId w:val="4"/>
  </w:num>
  <w:num w:numId="6" w16cid:durableId="1069035009">
    <w:abstractNumId w:val="19"/>
  </w:num>
  <w:num w:numId="7" w16cid:durableId="1731420246">
    <w:abstractNumId w:val="20"/>
  </w:num>
  <w:num w:numId="8" w16cid:durableId="752362731">
    <w:abstractNumId w:val="3"/>
  </w:num>
  <w:num w:numId="9" w16cid:durableId="956184442">
    <w:abstractNumId w:val="21"/>
  </w:num>
  <w:num w:numId="10" w16cid:durableId="1098870291">
    <w:abstractNumId w:val="8"/>
  </w:num>
  <w:num w:numId="11" w16cid:durableId="1245531929">
    <w:abstractNumId w:val="6"/>
  </w:num>
  <w:num w:numId="12" w16cid:durableId="2001080751">
    <w:abstractNumId w:val="7"/>
  </w:num>
  <w:num w:numId="13" w16cid:durableId="279841080">
    <w:abstractNumId w:val="5"/>
  </w:num>
  <w:num w:numId="14" w16cid:durableId="1006906833">
    <w:abstractNumId w:val="11"/>
  </w:num>
  <w:num w:numId="15" w16cid:durableId="1972438904">
    <w:abstractNumId w:val="16"/>
  </w:num>
  <w:num w:numId="16" w16cid:durableId="531192848">
    <w:abstractNumId w:val="9"/>
  </w:num>
  <w:num w:numId="17" w16cid:durableId="385110854">
    <w:abstractNumId w:val="18"/>
  </w:num>
  <w:num w:numId="18" w16cid:durableId="1148977965">
    <w:abstractNumId w:val="1"/>
  </w:num>
  <w:num w:numId="19" w16cid:durableId="4526067">
    <w:abstractNumId w:val="14"/>
  </w:num>
  <w:num w:numId="20" w16cid:durableId="2076971979">
    <w:abstractNumId w:val="18"/>
  </w:num>
  <w:num w:numId="21" w16cid:durableId="386926349">
    <w:abstractNumId w:val="22"/>
  </w:num>
  <w:num w:numId="22" w16cid:durableId="1416321780">
    <w:abstractNumId w:val="10"/>
  </w:num>
  <w:num w:numId="23" w16cid:durableId="699823465">
    <w:abstractNumId w:val="13"/>
  </w:num>
  <w:num w:numId="24" w16cid:durableId="153029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55B92"/>
    <w:rsid w:val="0007631E"/>
    <w:rsid w:val="000825E5"/>
    <w:rsid w:val="0008665F"/>
    <w:rsid w:val="000A3926"/>
    <w:rsid w:val="000B0480"/>
    <w:rsid w:val="000B3C4C"/>
    <w:rsid w:val="000C311D"/>
    <w:rsid w:val="000C5599"/>
    <w:rsid w:val="000D6714"/>
    <w:rsid w:val="000E0FBF"/>
    <w:rsid w:val="00100CAD"/>
    <w:rsid w:val="00122B8F"/>
    <w:rsid w:val="001238C6"/>
    <w:rsid w:val="0013168F"/>
    <w:rsid w:val="00131E49"/>
    <w:rsid w:val="0016273A"/>
    <w:rsid w:val="00175376"/>
    <w:rsid w:val="00182A5F"/>
    <w:rsid w:val="0019059C"/>
    <w:rsid w:val="00193062"/>
    <w:rsid w:val="0019353A"/>
    <w:rsid w:val="001A32B4"/>
    <w:rsid w:val="001B1FBE"/>
    <w:rsid w:val="001D38A1"/>
    <w:rsid w:val="001D5D68"/>
    <w:rsid w:val="001F69C8"/>
    <w:rsid w:val="002016B4"/>
    <w:rsid w:val="0020356B"/>
    <w:rsid w:val="00215763"/>
    <w:rsid w:val="0022175B"/>
    <w:rsid w:val="0022512D"/>
    <w:rsid w:val="0024202F"/>
    <w:rsid w:val="002467D2"/>
    <w:rsid w:val="002609A1"/>
    <w:rsid w:val="0026321A"/>
    <w:rsid w:val="00265A08"/>
    <w:rsid w:val="002901B6"/>
    <w:rsid w:val="00290527"/>
    <w:rsid w:val="00293370"/>
    <w:rsid w:val="00296651"/>
    <w:rsid w:val="002B0100"/>
    <w:rsid w:val="002B05AE"/>
    <w:rsid w:val="002B593E"/>
    <w:rsid w:val="002F4716"/>
    <w:rsid w:val="002F5A53"/>
    <w:rsid w:val="002F7EB1"/>
    <w:rsid w:val="003025B9"/>
    <w:rsid w:val="00303F88"/>
    <w:rsid w:val="00334C9E"/>
    <w:rsid w:val="003410C9"/>
    <w:rsid w:val="00356DBE"/>
    <w:rsid w:val="003663AB"/>
    <w:rsid w:val="00375CEB"/>
    <w:rsid w:val="0038070C"/>
    <w:rsid w:val="0038233B"/>
    <w:rsid w:val="00387982"/>
    <w:rsid w:val="0039788A"/>
    <w:rsid w:val="003B079F"/>
    <w:rsid w:val="003E1A9D"/>
    <w:rsid w:val="003E1B34"/>
    <w:rsid w:val="003E3D95"/>
    <w:rsid w:val="003E6A9E"/>
    <w:rsid w:val="003E7BE7"/>
    <w:rsid w:val="003F32A6"/>
    <w:rsid w:val="003F34BB"/>
    <w:rsid w:val="0040530D"/>
    <w:rsid w:val="00406DB5"/>
    <w:rsid w:val="00413BA5"/>
    <w:rsid w:val="00416B51"/>
    <w:rsid w:val="00432657"/>
    <w:rsid w:val="00433DFA"/>
    <w:rsid w:val="004341BF"/>
    <w:rsid w:val="00436228"/>
    <w:rsid w:val="0044381A"/>
    <w:rsid w:val="00457EAE"/>
    <w:rsid w:val="00460203"/>
    <w:rsid w:val="004655D7"/>
    <w:rsid w:val="0047387F"/>
    <w:rsid w:val="00485A27"/>
    <w:rsid w:val="004B1BD3"/>
    <w:rsid w:val="004C39F4"/>
    <w:rsid w:val="0051229A"/>
    <w:rsid w:val="005175CE"/>
    <w:rsid w:val="00524CDD"/>
    <w:rsid w:val="00536FF5"/>
    <w:rsid w:val="00540E4C"/>
    <w:rsid w:val="00544465"/>
    <w:rsid w:val="005879F4"/>
    <w:rsid w:val="005910B5"/>
    <w:rsid w:val="00597967"/>
    <w:rsid w:val="005A2DE3"/>
    <w:rsid w:val="005A35E1"/>
    <w:rsid w:val="005D0C88"/>
    <w:rsid w:val="005D5556"/>
    <w:rsid w:val="005F2CCC"/>
    <w:rsid w:val="00620F78"/>
    <w:rsid w:val="00622D77"/>
    <w:rsid w:val="006230B5"/>
    <w:rsid w:val="0062346D"/>
    <w:rsid w:val="00636B18"/>
    <w:rsid w:val="00637CA1"/>
    <w:rsid w:val="00652F46"/>
    <w:rsid w:val="00655B34"/>
    <w:rsid w:val="006717DA"/>
    <w:rsid w:val="0067724B"/>
    <w:rsid w:val="006A0481"/>
    <w:rsid w:val="006A1B9F"/>
    <w:rsid w:val="006A23D7"/>
    <w:rsid w:val="006A2E99"/>
    <w:rsid w:val="006E22F8"/>
    <w:rsid w:val="006F581F"/>
    <w:rsid w:val="00702C2E"/>
    <w:rsid w:val="00704AF2"/>
    <w:rsid w:val="00706FFD"/>
    <w:rsid w:val="0073294A"/>
    <w:rsid w:val="007353CE"/>
    <w:rsid w:val="00743B6C"/>
    <w:rsid w:val="00750920"/>
    <w:rsid w:val="00752801"/>
    <w:rsid w:val="007752BC"/>
    <w:rsid w:val="00786BEB"/>
    <w:rsid w:val="00787910"/>
    <w:rsid w:val="007924BF"/>
    <w:rsid w:val="00797157"/>
    <w:rsid w:val="007A2871"/>
    <w:rsid w:val="007A6931"/>
    <w:rsid w:val="007A6BA1"/>
    <w:rsid w:val="008037FD"/>
    <w:rsid w:val="00806B9D"/>
    <w:rsid w:val="008161C5"/>
    <w:rsid w:val="0082021E"/>
    <w:rsid w:val="00827C8A"/>
    <w:rsid w:val="008739E5"/>
    <w:rsid w:val="00873D09"/>
    <w:rsid w:val="00877414"/>
    <w:rsid w:val="0088113F"/>
    <w:rsid w:val="00882A79"/>
    <w:rsid w:val="008C0BCC"/>
    <w:rsid w:val="008C2197"/>
    <w:rsid w:val="008C3493"/>
    <w:rsid w:val="008D11A6"/>
    <w:rsid w:val="008D27A5"/>
    <w:rsid w:val="008D2D64"/>
    <w:rsid w:val="008D46DE"/>
    <w:rsid w:val="008D4CB0"/>
    <w:rsid w:val="008E11B8"/>
    <w:rsid w:val="008E5D28"/>
    <w:rsid w:val="008F32F4"/>
    <w:rsid w:val="008F36C0"/>
    <w:rsid w:val="008F4B0F"/>
    <w:rsid w:val="00900569"/>
    <w:rsid w:val="00902E07"/>
    <w:rsid w:val="00911B67"/>
    <w:rsid w:val="009164B2"/>
    <w:rsid w:val="009238CA"/>
    <w:rsid w:val="00925DA0"/>
    <w:rsid w:val="00934DD7"/>
    <w:rsid w:val="0094232F"/>
    <w:rsid w:val="00956E2A"/>
    <w:rsid w:val="00965DD5"/>
    <w:rsid w:val="009A4A14"/>
    <w:rsid w:val="009B3495"/>
    <w:rsid w:val="009B4D41"/>
    <w:rsid w:val="009C55E4"/>
    <w:rsid w:val="009D03D9"/>
    <w:rsid w:val="009D29D8"/>
    <w:rsid w:val="009E37BD"/>
    <w:rsid w:val="009F43E5"/>
    <w:rsid w:val="00A02F31"/>
    <w:rsid w:val="00A06E63"/>
    <w:rsid w:val="00A135E8"/>
    <w:rsid w:val="00A141FD"/>
    <w:rsid w:val="00A26C37"/>
    <w:rsid w:val="00A40E31"/>
    <w:rsid w:val="00A44145"/>
    <w:rsid w:val="00A525EB"/>
    <w:rsid w:val="00A7166B"/>
    <w:rsid w:val="00A7191A"/>
    <w:rsid w:val="00A82722"/>
    <w:rsid w:val="00A829E3"/>
    <w:rsid w:val="00A85045"/>
    <w:rsid w:val="00A97B7D"/>
    <w:rsid w:val="00AB1D50"/>
    <w:rsid w:val="00AB227D"/>
    <w:rsid w:val="00AB33E1"/>
    <w:rsid w:val="00AB4BB3"/>
    <w:rsid w:val="00AC2A58"/>
    <w:rsid w:val="00AC3152"/>
    <w:rsid w:val="00AC6059"/>
    <w:rsid w:val="00AD1646"/>
    <w:rsid w:val="00AD515A"/>
    <w:rsid w:val="00AD5E23"/>
    <w:rsid w:val="00AE51F3"/>
    <w:rsid w:val="00AF2F56"/>
    <w:rsid w:val="00B10BC8"/>
    <w:rsid w:val="00B134FD"/>
    <w:rsid w:val="00B14282"/>
    <w:rsid w:val="00B26045"/>
    <w:rsid w:val="00B437C0"/>
    <w:rsid w:val="00B45DAC"/>
    <w:rsid w:val="00B46A95"/>
    <w:rsid w:val="00B548B1"/>
    <w:rsid w:val="00B54C9B"/>
    <w:rsid w:val="00B62F6D"/>
    <w:rsid w:val="00B6305F"/>
    <w:rsid w:val="00B87C43"/>
    <w:rsid w:val="00BB371A"/>
    <w:rsid w:val="00BC33E0"/>
    <w:rsid w:val="00BD78D8"/>
    <w:rsid w:val="00BD7A7D"/>
    <w:rsid w:val="00BF74E9"/>
    <w:rsid w:val="00C03C70"/>
    <w:rsid w:val="00C07465"/>
    <w:rsid w:val="00C26931"/>
    <w:rsid w:val="00C311D3"/>
    <w:rsid w:val="00C3523B"/>
    <w:rsid w:val="00C40432"/>
    <w:rsid w:val="00C43F20"/>
    <w:rsid w:val="00C566B3"/>
    <w:rsid w:val="00C65FBD"/>
    <w:rsid w:val="00C67B32"/>
    <w:rsid w:val="00C71B71"/>
    <w:rsid w:val="00C821ED"/>
    <w:rsid w:val="00C84F9E"/>
    <w:rsid w:val="00C86AF5"/>
    <w:rsid w:val="00C9183A"/>
    <w:rsid w:val="00CB0C1D"/>
    <w:rsid w:val="00CB3820"/>
    <w:rsid w:val="00CD3007"/>
    <w:rsid w:val="00CE0B2F"/>
    <w:rsid w:val="00CE20A5"/>
    <w:rsid w:val="00CE6586"/>
    <w:rsid w:val="00D01A14"/>
    <w:rsid w:val="00D15720"/>
    <w:rsid w:val="00D226FE"/>
    <w:rsid w:val="00D26657"/>
    <w:rsid w:val="00D33FE5"/>
    <w:rsid w:val="00D36733"/>
    <w:rsid w:val="00D471B5"/>
    <w:rsid w:val="00D5449B"/>
    <w:rsid w:val="00D571DB"/>
    <w:rsid w:val="00D61075"/>
    <w:rsid w:val="00D62A86"/>
    <w:rsid w:val="00D74426"/>
    <w:rsid w:val="00D76D6A"/>
    <w:rsid w:val="00D82C2E"/>
    <w:rsid w:val="00D85254"/>
    <w:rsid w:val="00D92B56"/>
    <w:rsid w:val="00D97D03"/>
    <w:rsid w:val="00DB4750"/>
    <w:rsid w:val="00DC5934"/>
    <w:rsid w:val="00DC5F69"/>
    <w:rsid w:val="00E041FD"/>
    <w:rsid w:val="00E1265F"/>
    <w:rsid w:val="00E35B3E"/>
    <w:rsid w:val="00E36122"/>
    <w:rsid w:val="00E52789"/>
    <w:rsid w:val="00E60CA5"/>
    <w:rsid w:val="00EB52F0"/>
    <w:rsid w:val="00EB57EB"/>
    <w:rsid w:val="00EC2500"/>
    <w:rsid w:val="00ED7893"/>
    <w:rsid w:val="00EE3919"/>
    <w:rsid w:val="00EE68E7"/>
    <w:rsid w:val="00F11850"/>
    <w:rsid w:val="00F22BA2"/>
    <w:rsid w:val="00F25288"/>
    <w:rsid w:val="00F27C5D"/>
    <w:rsid w:val="00F30C73"/>
    <w:rsid w:val="00F51150"/>
    <w:rsid w:val="00F558AA"/>
    <w:rsid w:val="00F67BD0"/>
    <w:rsid w:val="00F8098C"/>
    <w:rsid w:val="00F859B7"/>
    <w:rsid w:val="00F86918"/>
    <w:rsid w:val="00F87223"/>
    <w:rsid w:val="00FC1C44"/>
    <w:rsid w:val="00FC49D1"/>
    <w:rsid w:val="00FD0FDA"/>
    <w:rsid w:val="00FE5962"/>
    <w:rsid w:val="19E9BF02"/>
    <w:rsid w:val="21AEFAE2"/>
    <w:rsid w:val="2B4B7F54"/>
    <w:rsid w:val="342DF780"/>
    <w:rsid w:val="4112F0FE"/>
    <w:rsid w:val="4FCC3085"/>
    <w:rsid w:val="5B4EB97A"/>
    <w:rsid w:val="711BDB00"/>
    <w:rsid w:val="7FF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214698F"/>
  <w15:chartTrackingRefBased/>
  <w15:docId w15:val="{FB0213B6-530F-496C-AB14-ECDCF28F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4FD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0A3926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134F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0A3926"/>
    <w:rPr>
      <w:rFonts w:ascii="Verdana" w:hAnsi="Verdana" w:cs="Arial"/>
      <w:b/>
      <w:sz w:val="36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821ED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D266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38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134FD"/>
    <w:rPr>
      <w:rFonts w:ascii="Verdana" w:hAnsi="Verdana" w:cs="Arial"/>
      <w:b/>
      <w:bCs/>
      <w:iCs/>
      <w:sz w:val="28"/>
      <w:szCs w:val="28"/>
    </w:rPr>
  </w:style>
  <w:style w:type="paragraph" w:styleId="Revision">
    <w:name w:val="Revision"/>
    <w:hidden/>
    <w:uiPriority w:val="99"/>
    <w:semiHidden/>
    <w:rsid w:val="00193062"/>
    <w:rPr>
      <w:sz w:val="24"/>
      <w:szCs w:val="24"/>
    </w:rPr>
  </w:style>
  <w:style w:type="character" w:styleId="CommentReference">
    <w:name w:val="annotation reference"/>
    <w:basedOn w:val="DefaultParagraphFont"/>
    <w:rsid w:val="000E0F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0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E0FB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0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0FBF"/>
    <w:rPr>
      <w:b/>
      <w:bCs/>
    </w:rPr>
  </w:style>
  <w:style w:type="character" w:styleId="Mention">
    <w:name w:val="Mention"/>
    <w:basedOn w:val="DefaultParagraphFont"/>
    <w:uiPriority w:val="99"/>
    <w:unhideWhenUsed/>
    <w:rsid w:val="000E0FB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file:///C:\Users\u032937\AppData\Local\Microsoft\Windows\INetCache\Content.Outlook\DWR9LPBH\CMS-2-004573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4" ma:contentTypeDescription="Create a new document." ma:contentTypeScope="" ma:versionID="c490d5300bcc29ccb8b6c915c59431fd">
  <xsd:schema xmlns:xsd="http://www.w3.org/2001/XMLSchema" xmlns:xs="http://www.w3.org/2001/XMLSchema" xmlns:p="http://schemas.microsoft.com/office/2006/metadata/properties" xmlns:ns2="105b4efb-3be6-4b39-a776-8a7d43adc0ca" targetNamespace="http://schemas.microsoft.com/office/2006/metadata/properties" ma:root="true" ma:fieldsID="845fad1c6d5081b7ee8f1539f5ad5338" ns2:_="">
    <xsd:import namespace="105b4efb-3be6-4b39-a776-8a7d43adc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11F05-E12E-406B-A792-956CA0A14BCB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05b4efb-3be6-4b39-a776-8a7d43adc0ca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0EF60E-04B6-4780-8DEF-6414737FC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AF883-BD96-49ED-9417-41FF36D59C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43F4C7-6BF8-49FE-A860-A95FA9F664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298</Words>
  <Characters>2610</Characters>
  <Application>Microsoft Office Word</Application>
  <DocSecurity>2</DocSecurity>
  <Lines>21</Lines>
  <Paragraphs>5</Paragraphs>
  <ScaleCrop>false</ScaleCrop>
  <Company>Caremark RX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2</cp:revision>
  <dcterms:created xsi:type="dcterms:W3CDTF">2024-09-11T13:10:00Z</dcterms:created>
  <dcterms:modified xsi:type="dcterms:W3CDTF">2024-09-11T13:10:00Z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2021-10-07T20:18:43Z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10a70bf1-382a-4730-9a2c-340b50bfce37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</Properties>
</file>