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4571" w14:textId="77777777" w:rsidR="004C6A84" w:rsidRPr="004C6A84" w:rsidRDefault="004C6A84" w:rsidP="004C6A84">
      <w:pPr>
        <w:outlineLvl w:val="0"/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</w:pPr>
      <w:bookmarkStart w:id="0" w:name="_top"/>
      <w:bookmarkStart w:id="1" w:name="OLE_LINK22"/>
      <w:bookmarkStart w:id="2" w:name="OLE_LINK23"/>
      <w:bookmarkStart w:id="3" w:name="OLE_LINK21"/>
      <w:bookmarkEnd w:id="0"/>
      <w:r w:rsidRPr="004C6A84">
        <w:rPr>
          <w:rFonts w:eastAsia="Times New Roman" w:cs="Times New Roman"/>
          <w:b/>
          <w:bCs/>
          <w:noProof/>
          <w:kern w:val="36"/>
          <w:sz w:val="36"/>
          <w:szCs w:val="36"/>
          <w14:ligatures w14:val="none"/>
        </w:rPr>
        <w:drawing>
          <wp:inline distT="0" distB="0" distL="0" distR="0" wp14:anchorId="48613F92" wp14:editId="55D092F0">
            <wp:extent cx="304762" cy="304762"/>
            <wp:effectExtent l="0" t="0" r="635" b="635"/>
            <wp:docPr id="142723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b/>
          <w:bCs/>
          <w:kern w:val="36"/>
          <w:sz w:val="36"/>
          <w:szCs w:val="36"/>
          <w14:ligatures w14:val="none"/>
        </w:rPr>
        <w:t xml:space="preserve"> Brand Over Generic Tier 1 and Tier 2 Strategy (DAW 9) </w:t>
      </w:r>
      <w:bookmarkEnd w:id="1"/>
      <w:bookmarkEnd w:id="2"/>
    </w:p>
    <w:bookmarkEnd w:id="3"/>
    <w:p w14:paraId="103AC2AA" w14:textId="77777777" w:rsidR="004C6A84" w:rsidRPr="004C6A84" w:rsidRDefault="004C6A84" w:rsidP="004C6A84">
      <w:pPr>
        <w:rPr>
          <w:rFonts w:eastAsia="Calibri" w:cs="Arial"/>
          <w:noProof/>
          <w:kern w:val="0"/>
          <w:sz w:val="22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  <w:bookmarkStart w:id="4" w:name="_Overview"/>
      <w:bookmarkEnd w:id="4"/>
      <w:r w:rsidRPr="004C6A84">
        <w:rPr>
          <w:rFonts w:eastAsia="Calibri" w:cs="Arial"/>
          <w:kern w:val="0"/>
          <w:szCs w:val="24"/>
          <w:u w:val="single"/>
          <w14:ligatures w14:val="none"/>
        </w:rPr>
        <w:fldChar w:fldCharType="begin"/>
      </w:r>
      <w:r w:rsidRPr="004C6A84">
        <w:rPr>
          <w:rFonts w:eastAsia="Calibri" w:cs="Arial"/>
          <w:kern w:val="0"/>
          <w:szCs w:val="24"/>
          <w:u w:val="single"/>
          <w14:ligatures w14:val="none"/>
        </w:rPr>
        <w:instrText xml:space="preserve"> TOC \o "2-3" \n \p " " \h \z \u </w:instrText>
      </w:r>
      <w:r w:rsidRPr="004C6A84">
        <w:rPr>
          <w:rFonts w:eastAsia="Calibri" w:cs="Arial"/>
          <w:kern w:val="0"/>
          <w:szCs w:val="24"/>
          <w:u w:val="single"/>
          <w14:ligatures w14:val="none"/>
        </w:rPr>
        <w:fldChar w:fldCharType="separate"/>
      </w:r>
    </w:p>
    <w:p w14:paraId="394AB997" w14:textId="77777777" w:rsidR="004C6A84" w:rsidRPr="004C6A84" w:rsidRDefault="004C6A84" w:rsidP="004C6A84">
      <w:pPr>
        <w:tabs>
          <w:tab w:val="right" w:leader="dot" w:pos="20921"/>
        </w:tabs>
        <w:spacing w:line="259" w:lineRule="auto"/>
        <w:rPr>
          <w:rFonts w:eastAsia="MS Mincho" w:cs="Arial"/>
          <w:noProof/>
          <w:szCs w:val="24"/>
        </w:rPr>
      </w:pPr>
      <w:hyperlink w:anchor="_Toc195278795" w:history="1"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drawing>
            <wp:inline distT="0" distB="0" distL="0" distR="0" wp14:anchorId="3DA1E54B" wp14:editId="06E63B80">
              <wp:extent cx="304762" cy="304762"/>
              <wp:effectExtent l="0" t="0" r="635" b="635"/>
              <wp:docPr id="19040407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7235881" name="Picture 1427235881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t xml:space="preserve"> Daw 9 (Brand Over Generic) General Information</w:t>
        </w:r>
      </w:hyperlink>
    </w:p>
    <w:p w14:paraId="02BEBACA" w14:textId="77777777" w:rsidR="004C6A84" w:rsidRPr="004C6A84" w:rsidRDefault="004C6A84" w:rsidP="004C6A84">
      <w:pPr>
        <w:tabs>
          <w:tab w:val="right" w:leader="dot" w:pos="20921"/>
        </w:tabs>
        <w:spacing w:line="259" w:lineRule="auto"/>
        <w:rPr>
          <w:rFonts w:eastAsia="MS Mincho" w:cs="Arial"/>
          <w:noProof/>
          <w:szCs w:val="24"/>
        </w:rPr>
      </w:pPr>
      <w:hyperlink w:anchor="_Toc195278796" w:history="1"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t>DAW 9 Talking Points</w:t>
        </w:r>
      </w:hyperlink>
    </w:p>
    <w:p w14:paraId="6A107E32" w14:textId="77777777" w:rsidR="004C6A84" w:rsidRPr="004C6A84" w:rsidRDefault="004C6A84" w:rsidP="004C6A84">
      <w:pPr>
        <w:tabs>
          <w:tab w:val="right" w:leader="dot" w:pos="20921"/>
        </w:tabs>
        <w:spacing w:line="259" w:lineRule="auto"/>
        <w:rPr>
          <w:rFonts w:eastAsia="MS Mincho" w:cs="Arial"/>
          <w:noProof/>
          <w:szCs w:val="24"/>
        </w:rPr>
      </w:pPr>
      <w:hyperlink w:anchor="_Toc195278797" w:history="1"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drawing>
            <wp:inline distT="0" distB="0" distL="0" distR="0" wp14:anchorId="49855B64" wp14:editId="1C0FE685">
              <wp:extent cx="304762" cy="304762"/>
              <wp:effectExtent l="0" t="0" r="635" b="635"/>
              <wp:docPr id="70991817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7235881" name="Picture 1427235881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t xml:space="preserve"> Tier 1 and Tier 2 Strategy Drug Identification</w:t>
        </w:r>
      </w:hyperlink>
    </w:p>
    <w:p w14:paraId="15C62174" w14:textId="77777777" w:rsidR="004C6A84" w:rsidRPr="004C6A84" w:rsidRDefault="004C6A84" w:rsidP="004C6A84">
      <w:pPr>
        <w:tabs>
          <w:tab w:val="right" w:leader="dot" w:pos="20921"/>
        </w:tabs>
        <w:spacing w:line="259" w:lineRule="auto"/>
        <w:rPr>
          <w:rFonts w:eastAsia="MS Mincho" w:cs="Arial"/>
          <w:noProof/>
          <w:szCs w:val="24"/>
        </w:rPr>
      </w:pPr>
      <w:hyperlink w:anchor="_Toc195278798" w:history="1">
        <w:r w:rsidRPr="004C6A84">
          <w:rPr>
            <w:rFonts w:eastAsia="Calibri" w:cs="Arial"/>
            <w:noProof/>
            <w:color w:val="0000FF"/>
            <w:kern w:val="0"/>
            <w:szCs w:val="24"/>
            <w:u w:val="single"/>
            <w14:ligatures w14:val="none"/>
          </w:rPr>
          <w:t>DAW 9 FAQs</w:t>
        </w:r>
      </w:hyperlink>
    </w:p>
    <w:p w14:paraId="6CFE2F16" w14:textId="77777777" w:rsidR="004C6A84" w:rsidRPr="004C6A84" w:rsidRDefault="004C6A84" w:rsidP="004C6A84">
      <w:pPr>
        <w:spacing w:before="120" w:after="120"/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kern w:val="0"/>
          <w:szCs w:val="24"/>
          <w14:ligatures w14:val="none"/>
        </w:rPr>
        <w:fldChar w:fldCharType="end"/>
      </w:r>
    </w:p>
    <w:p w14:paraId="6E6157ED" w14:textId="77777777" w:rsidR="004C6A84" w:rsidRPr="004C6A84" w:rsidRDefault="004C6A84" w:rsidP="004C6A84">
      <w:pPr>
        <w:spacing w:before="120" w:after="120"/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290B31F7" wp14:editId="2D88ACAB">
            <wp:extent cx="304762" cy="304762"/>
            <wp:effectExtent l="0" t="0" r="635" b="635"/>
            <wp:docPr id="72878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Description:</w:t>
      </w:r>
      <w:bookmarkStart w:id="5" w:name="OLE_LINK24"/>
      <w:bookmarkStart w:id="6" w:name="OLE_LINK25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 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Information about DAW 9, when a brand-name drug is a preferred and covered option over a generic. It includes instructions and suggested verbiage to use in the event a member questions why they received a brand-name drug instead of the generic.</w:t>
      </w:r>
      <w:bookmarkEnd w:id="5"/>
      <w:bookmarkEnd w:id="6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5"/>
      </w:tblGrid>
      <w:tr w:rsidR="004C6A84" w:rsidRPr="004C6A84" w14:paraId="1B35D58E" w14:textId="77777777" w:rsidTr="005B165C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76FF88" w14:textId="77777777" w:rsidR="004C6A84" w:rsidRPr="004C6A84" w:rsidRDefault="004C6A84" w:rsidP="004C6A84">
            <w:pPr>
              <w:keepNext/>
              <w:keepLines/>
              <w:spacing w:before="120" w:after="120" w:line="259" w:lineRule="auto"/>
              <w:outlineLvl w:val="1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7" w:name="_Toc195278795"/>
            <w:r w:rsidRPr="004C6A84">
              <w:rPr>
                <w:rFonts w:eastAsia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drawing>
                <wp:inline distT="0" distB="0" distL="0" distR="0" wp14:anchorId="6F54F116" wp14:editId="28B1D872">
                  <wp:extent cx="304762" cy="304762"/>
                  <wp:effectExtent l="0" t="0" r="635" b="635"/>
                  <wp:docPr id="296840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35881" name="Picture 142723588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A84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Daw 9 (Brand Over Generic) General Information</w:t>
            </w:r>
            <w:bookmarkEnd w:id="7"/>
          </w:p>
        </w:tc>
      </w:tr>
    </w:tbl>
    <w:p w14:paraId="7B4E778F" w14:textId="77777777" w:rsidR="004C6A84" w:rsidRPr="004C6A84" w:rsidRDefault="004C6A84" w:rsidP="004C6A84">
      <w:pPr>
        <w:spacing w:before="120" w:after="120" w:line="259" w:lineRule="auto"/>
        <w:rPr>
          <w:rFonts w:eastAsia="Times New Roman" w:cs="Times New Roman"/>
          <w:noProof/>
          <w:kern w:val="0"/>
          <w:szCs w:val="24"/>
          <w14:ligatures w14:val="none"/>
        </w:rPr>
      </w:pP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Brand Over Generic approach to deliver lowest net cost.</w:t>
      </w:r>
    </w:p>
    <w:p w14:paraId="0C4D9406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49C96634" wp14:editId="4E62BC18">
            <wp:extent cx="304762" cy="304762"/>
            <wp:effectExtent l="0" t="0" r="635" b="635"/>
            <wp:docPr id="23432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The cornerstone of our formulary approach is always delivering the lowest net cost whether it is for the brand-name drug or generic. Sometimes, because of the way that manufacturers decide to price their drugs, the brand-name drug can be the option that delivers the lowest net cost for the plan.</w:t>
      </w:r>
    </w:p>
    <w:p w14:paraId="17347363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</w:p>
    <w:p w14:paraId="523B6233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3CD6D171" wp14:editId="182DA509">
            <wp:extent cx="304762" cy="304762"/>
            <wp:effectExtent l="0" t="0" r="635" b="635"/>
            <wp:docPr id="118170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We evaluate the financial implication of new generic or authorized generic introductions, and in instances where the generic is not the most cost-effective option for clients, block the generic from our formulary. In these instances, we notify pharmacies that only the brand-name drug is covered on our formulary. This is referred to as our Brand Over Generic Strategy.</w:t>
      </w:r>
    </w:p>
    <w:p w14:paraId="4B331212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</w:p>
    <w:p w14:paraId="01492AB0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2A20FA9A" wp14:editId="4E3A9F7D">
            <wp:extent cx="304762" cy="304762"/>
            <wp:effectExtent l="0" t="0" r="635" b="635"/>
            <wp:docPr id="82361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We are addressing products that qualify for the Brand Over Generic Strategy in two ways, and we refer to the different approaches based on the member cost share (Tier 1 or Tier 2):</w:t>
      </w:r>
    </w:p>
    <w:p w14:paraId="6EF755DC" w14:textId="77777777" w:rsidR="004C6A84" w:rsidRPr="004C6A84" w:rsidRDefault="004C6A84" w:rsidP="004C6A84">
      <w:pPr>
        <w:rPr>
          <w:rFonts w:eastAsia="Times New Roman" w:cs="Times New Roman"/>
          <w:noProof/>
          <w:kern w:val="0"/>
          <w:szCs w:val="24"/>
          <w14:ligatures w14:val="none"/>
        </w:rPr>
      </w:pPr>
    </w:p>
    <w:p w14:paraId="21A5D468" w14:textId="77777777" w:rsidR="004C6A84" w:rsidRPr="004C6A84" w:rsidRDefault="004C6A84" w:rsidP="004C6A84">
      <w:pPr>
        <w:numPr>
          <w:ilvl w:val="0"/>
          <w:numId w:val="4"/>
        </w:numPr>
        <w:spacing w:after="160" w:line="259" w:lineRule="auto"/>
        <w:contextualSpacing/>
        <w:rPr>
          <w:rFonts w:eastAsia="Times New Roman" w:cs="Times New Roman"/>
          <w:noProof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3A056B6E" wp14:editId="7CF73FD0">
            <wp:extent cx="304762" cy="304762"/>
            <wp:effectExtent l="0" t="0" r="635" b="635"/>
            <wp:docPr id="180612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b/>
          <w:bCs/>
          <w:noProof/>
          <w:kern w:val="0"/>
          <w:szCs w:val="24"/>
          <w14:ligatures w14:val="none"/>
        </w:rPr>
        <w:t>For the Tier 1 Strategy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, claims for a select brand adjudicate at the Tier 1 cost share for members, which is typically the tier that includes low-cost generics. The Tier 1 Strategy maintains the generic member cost share for the brand product.</w:t>
      </w:r>
    </w:p>
    <w:p w14:paraId="71D265FB" w14:textId="77777777" w:rsidR="004C6A84" w:rsidRPr="004C6A84" w:rsidRDefault="004C6A84" w:rsidP="004C6A84">
      <w:pPr>
        <w:ind w:left="720"/>
        <w:rPr>
          <w:rFonts w:eastAsia="Times New Roman" w:cs="Times New Roman"/>
          <w:noProof/>
          <w:kern w:val="0"/>
          <w:szCs w:val="24"/>
          <w14:ligatures w14:val="none"/>
        </w:rPr>
      </w:pPr>
    </w:p>
    <w:p w14:paraId="2F9F43F9" w14:textId="77777777" w:rsidR="004C6A84" w:rsidRPr="004C6A84" w:rsidRDefault="004C6A84" w:rsidP="004C6A84">
      <w:pPr>
        <w:numPr>
          <w:ilvl w:val="0"/>
          <w:numId w:val="4"/>
        </w:numPr>
        <w:spacing w:before="120" w:after="120" w:line="259" w:lineRule="auto"/>
        <w:contextualSpacing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3457FB22" wp14:editId="2E4A28D6">
            <wp:extent cx="304762" cy="304762"/>
            <wp:effectExtent l="0" t="0" r="635" b="635"/>
            <wp:docPr id="14991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b/>
          <w:bCs/>
          <w:noProof/>
          <w:kern w:val="0"/>
          <w:szCs w:val="24"/>
          <w14:ligatures w14:val="none"/>
        </w:rPr>
        <w:t>For the Tier 2 Strategy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>, claims for a select brand adjudicate at the brand member cost share. The Tier 2 Strategy is appropriate when select generics are not covered by the member’s plan.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0BFF6F9E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6E0D5947" wp14:editId="1126FA33">
            <wp:extent cx="304762" cy="304762"/>
            <wp:effectExtent l="0" t="0" r="635" b="635"/>
            <wp:docPr id="192027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1F591E51" wp14:editId="38ECCE36">
            <wp:extent cx="238125" cy="209550"/>
            <wp:effectExtent l="0" t="0" r="952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Tier 1 and Tier 2 strategies do NOT waive prior authorization requirements.</w:t>
      </w:r>
    </w:p>
    <w:p w14:paraId="6169B0CD" w14:textId="77777777" w:rsidR="004C6A84" w:rsidRPr="004C6A84" w:rsidRDefault="004C6A84" w:rsidP="004C6A84">
      <w:pPr>
        <w:spacing w:before="120" w:after="120"/>
        <w:ind w:left="720"/>
        <w:contextualSpacing/>
        <w:rPr>
          <w:rFonts w:eastAsia="Times New Roman" w:cs="Times New Roman"/>
          <w:color w:val="000000"/>
          <w:kern w:val="0"/>
          <w:szCs w:val="24"/>
          <w14:ligatures w14:val="none"/>
        </w:rPr>
      </w:pPr>
    </w:p>
    <w:p w14:paraId="2EB08F5A" w14:textId="4211EDEB" w:rsidR="004C6A84" w:rsidRPr="004C6A84" w:rsidRDefault="004C6A84" w:rsidP="004C6A84">
      <w:pPr>
        <w:spacing w:before="120" w:after="120"/>
        <w:rPr>
          <w:rFonts w:eastAsia="Times New Roman" w:cs="Arial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6FAFBDB7" wp14:editId="440DF5FD">
            <wp:extent cx="304762" cy="304762"/>
            <wp:effectExtent l="0" t="0" r="635" b="635"/>
            <wp:docPr id="104704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Calibri" w:cs="Arial"/>
          <w:noProof/>
          <w:kern w:val="0"/>
          <w:szCs w:val="24"/>
          <w14:ligatures w14:val="none"/>
        </w:rPr>
        <w:drawing>
          <wp:inline distT="0" distB="0" distL="0" distR="0" wp14:anchorId="24DBC0C0" wp14:editId="196B3D0D">
            <wp:extent cx="238125" cy="209550"/>
            <wp:effectExtent l="0" t="0" r="9525" b="0"/>
            <wp:docPr id="152944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Arial"/>
          <w:color w:val="000000"/>
          <w:kern w:val="0"/>
          <w:szCs w:val="24"/>
          <w14:ligatures w14:val="none"/>
        </w:rPr>
        <w:t xml:space="preserve"> If a generic alternative is processed and rejects correctly for the brand medication, do NOT override, as the brand medication is what needs to be dispensed. </w:t>
      </w:r>
    </w:p>
    <w:p w14:paraId="4678323B" w14:textId="77777777" w:rsidR="004C6A84" w:rsidRPr="004C6A84" w:rsidRDefault="004C6A84" w:rsidP="004C6A84">
      <w:pPr>
        <w:numPr>
          <w:ilvl w:val="0"/>
          <w:numId w:val="2"/>
        </w:numPr>
        <w:spacing w:before="120" w:after="120" w:line="259" w:lineRule="auto"/>
        <w:contextualSpacing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66A2C2F3" wp14:editId="0D1DCE87">
            <wp:extent cx="304762" cy="304762"/>
            <wp:effectExtent l="0" t="0" r="635" b="635"/>
            <wp:docPr id="126136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If the brand medication is out of stock or has a shortage, utilize </w:t>
      </w:r>
      <w:hyperlink r:id="rId7" w:anchor="!/view?docid=47f1fc7c-d771-45ae-9de3-179ac312f222" w:history="1">
        <w:r w:rsidRPr="004C6A8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Compass – Member Unable to Locate Medication at Mail Order or Retail (Back Order, Shortage, Not in Stock – NIS) 065451</w:t>
        </w:r>
      </w:hyperlink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to attempt to resolve the issue. If caller is unable to obtain brand medication, refer to </w:t>
      </w:r>
      <w:hyperlink r:id="rId8" w:anchor="!/view?docid=cfa341fa-0ce1-4886-9650-f3cb112508e7" w:tgtFrame="_blank" w:history="1">
        <w:r w:rsidRPr="004C6A8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Compass – Lifeline Quick Assist (072646)</w:t>
        </w:r>
      </w:hyperlink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for assistance with a procedural override request.</w:t>
      </w:r>
    </w:p>
    <w:p w14:paraId="0C2BE6AA" w14:textId="77777777" w:rsidR="004C6A84" w:rsidRPr="004C6A84" w:rsidRDefault="004C6A84" w:rsidP="004C6A84">
      <w:pPr>
        <w:spacing w:before="120" w:after="120"/>
        <w:ind w:left="1080"/>
        <w:contextualSpacing/>
        <w:rPr>
          <w:rFonts w:eastAsia="Calibri" w:cs="Arial"/>
          <w:kern w:val="0"/>
          <w:sz w:val="22"/>
          <w14:ligatures w14:val="none"/>
        </w:rPr>
      </w:pPr>
    </w:p>
    <w:p w14:paraId="0B3CCA73" w14:textId="77777777" w:rsidR="004C6A84" w:rsidRPr="004C6A84" w:rsidRDefault="004C6A84" w:rsidP="004C6A84">
      <w:pPr>
        <w:spacing w:before="120" w:after="120" w:line="259" w:lineRule="atLeast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B88DA3F" wp14:editId="5C298E7B">
            <wp:extent cx="304762" cy="304762"/>
            <wp:effectExtent l="0" t="0" r="635" b="635"/>
            <wp:docPr id="43630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4C6A84">
        <w:rPr>
          <w:rFonts w:eastAsia="Times New Roman" w:cs="Arial"/>
          <w:color w:val="000000"/>
          <w:kern w:val="0"/>
          <w:szCs w:val="24"/>
          <w14:ligatures w14:val="none"/>
        </w:rPr>
        <w:t xml:space="preserve">If the member needs the generic specifically for reasons like medical necessity, a Prior Authorization would be required. Refer to </w:t>
      </w:r>
      <w:hyperlink r:id="rId9" w:anchor="!/view?docid=657ddfe3-27d1-4a21-8f51-8cbd3961001c" w:tgtFrame="_blank" w:history="1">
        <w:r w:rsidRPr="004C6A8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Prior Authorization, Exceptions, Appeals Guide (063978)</w:t>
        </w:r>
      </w:hyperlink>
      <w:r w:rsidRPr="004C6A84">
        <w:rPr>
          <w:rFonts w:eastAsia="Times New Roman" w:cs="Times New Roman"/>
          <w:kern w:val="0"/>
          <w:szCs w:val="24"/>
          <w14:ligatures w14:val="none"/>
        </w:rPr>
        <w:t>.</w:t>
      </w:r>
    </w:p>
    <w:p w14:paraId="362F443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4E58D2CA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In these situations, the brand-name drug claim is adjudicated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at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a Tier 1 copay or coinsurance for the member, which is typically the tier that includes low-cost generic alternatives. It also means that we will calculate member cost share using the generic drug cost, ensuring lower member cost during the deductible, if applicable.</w:t>
      </w:r>
    </w:p>
    <w:p w14:paraId="409B5CEF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</w:p>
    <w:p w14:paraId="2349169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414BFE98" wp14:editId="1B72D501">
            <wp:extent cx="238125" cy="20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The deductible still applies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per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plan design.</w:t>
      </w:r>
    </w:p>
    <w:p w14:paraId="45F4698F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</w:p>
    <w:p w14:paraId="4C827076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1F623B4A" wp14:editId="16895B01">
            <wp:extent cx="304762" cy="304762"/>
            <wp:effectExtent l="0" t="0" r="635" b="635"/>
            <wp:docPr id="344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For high-deductible health plan (HDHP) clients: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 </w:t>
      </w:r>
      <w:r w:rsidRPr="004C6A84">
        <w:rPr>
          <w:rFonts w:eastAsia="Times New Roman" w:cs="Times New Roman"/>
          <w:noProof/>
          <w:kern w:val="0"/>
          <w:szCs w:val="24"/>
          <w14:ligatures w14:val="none"/>
        </w:rPr>
        <w:t xml:space="preserve"> Member cost share for Tier 1 Strategy drugs will be based on the generic cost, which may be less than the brand-name drug cost.</w:t>
      </w:r>
    </w:p>
    <w:p w14:paraId="43212CB8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</w:p>
    <w:bookmarkStart w:id="8" w:name="OLE_LINK1"/>
    <w:p w14:paraId="6ABD5E1E" w14:textId="00486550" w:rsidR="004C6A84" w:rsidRPr="004C6A84" w:rsidRDefault="004C6A84" w:rsidP="004C6A84">
      <w:pPr>
        <w:jc w:val="right"/>
        <w:rPr>
          <w:rFonts w:eastAsia="Times New Roman" w:cs="Times New Roman"/>
          <w:kern w:val="0"/>
          <w:sz w:val="27"/>
          <w:szCs w:val="27"/>
          <w14:ligatures w14:val="none"/>
        </w:rPr>
      </w:pPr>
      <w: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begin"/>
      </w:r>
      <w: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instrText>HYPERLINK  \l "_top"</w:instrText>
      </w:r>
      <w: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</w:r>
      <w: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separate"/>
      </w:r>
      <w:r w:rsidRPr="004C6A84">
        <w:rPr>
          <w:rStyle w:val="Hyperlink"/>
          <w:rFonts w:eastAsia="Times New Roman" w:cs="Times New Roman"/>
          <w:kern w:val="0"/>
          <w:szCs w:val="24"/>
          <w14:ligatures w14:val="none"/>
        </w:rPr>
        <w:t>Top of the Document</w:t>
      </w:r>
      <w:r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5"/>
      </w:tblGrid>
      <w:tr w:rsidR="004C6A84" w:rsidRPr="004C6A84" w14:paraId="439D9EB1" w14:textId="77777777" w:rsidTr="004C6A8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DD0857A" w14:textId="77777777" w:rsidR="004C6A84" w:rsidRPr="004C6A84" w:rsidRDefault="004C6A84" w:rsidP="004C6A84">
            <w:pPr>
              <w:keepNext/>
              <w:keepLines/>
              <w:spacing w:before="120" w:after="120" w:line="259" w:lineRule="auto"/>
              <w:outlineLvl w:val="1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9" w:name="_DAW_5__Brand"/>
            <w:bookmarkStart w:id="10" w:name="_Toc29917253"/>
            <w:bookmarkStart w:id="11" w:name="_Toc195278796"/>
            <w:bookmarkEnd w:id="9"/>
            <w:r w:rsidRPr="004C6A84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DAW 9 Talking Points</w:t>
            </w:r>
            <w:bookmarkEnd w:id="10"/>
            <w:bookmarkEnd w:id="11"/>
          </w:p>
        </w:tc>
      </w:tr>
    </w:tbl>
    <w:bookmarkEnd w:id="8"/>
    <w:p w14:paraId="10DDD26E" w14:textId="77777777" w:rsidR="004C6A84" w:rsidRPr="004C6A84" w:rsidRDefault="004C6A84" w:rsidP="004C6A84">
      <w:pPr>
        <w:spacing w:before="120" w:after="120"/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color w:val="000000"/>
          <w:kern w:val="0"/>
          <w:sz w:val="22"/>
          <w14:ligatures w14:val="none"/>
        </w:rPr>
        <w:drawing>
          <wp:inline distT="0" distB="0" distL="0" distR="0" wp14:anchorId="2E74F607" wp14:editId="580F3B04">
            <wp:extent cx="238125" cy="209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 DO NOT instruct the member to have a physician write “DAW 9” on the prescription because this may cause a delay in dispensing.</w:t>
      </w:r>
    </w:p>
    <w:p w14:paraId="28DE8F8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5B57E570" wp14:editId="5609E37C">
            <wp:extent cx="304762" cy="304762"/>
            <wp:effectExtent l="0" t="0" r="635" b="635"/>
            <wp:docPr id="118346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Calibri" w:cs="Arial"/>
          <w:noProof/>
          <w:color w:val="000000"/>
          <w:kern w:val="0"/>
          <w:sz w:val="22"/>
          <w14:ligatures w14:val="none"/>
        </w:rPr>
        <w:drawing>
          <wp:inline distT="0" distB="0" distL="0" distR="0" wp14:anchorId="5468F82B" wp14:editId="5A056794">
            <wp:extent cx="2381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C6A84">
        <w:rPr>
          <w:rFonts w:eastAsia="Calibri" w:cs="Arial"/>
          <w:b/>
          <w:bCs/>
          <w:color w:val="000000"/>
          <w:kern w:val="0"/>
          <w:szCs w:val="24"/>
          <w14:ligatures w14:val="none"/>
        </w:rPr>
        <w:t>Never instruct a pharmacy to use DAW 9 unless the rejection message or test claim instructs you to.</w:t>
      </w:r>
    </w:p>
    <w:p w14:paraId="7D358934" w14:textId="77777777" w:rsidR="004C6A84" w:rsidRPr="004C6A84" w:rsidRDefault="004C6A84" w:rsidP="004C6A84">
      <w:pPr>
        <w:spacing w:before="120" w:after="120"/>
        <w:ind w:left="36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09DD9B9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1C63906E" wp14:editId="32A88283">
            <wp:extent cx="238125" cy="20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Given our ability to negotiate discounts on behalf of payors, there are instances when the brand-name drug will deliver the lowest net cost for clients and their members.</w:t>
      </w:r>
    </w:p>
    <w:p w14:paraId="15A5869B" w14:textId="77777777" w:rsidR="004C6A84" w:rsidRPr="004C6A84" w:rsidRDefault="004C6A84" w:rsidP="004C6A84">
      <w:pPr>
        <w:spacing w:before="120" w:after="120"/>
        <w:ind w:left="36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0A29B0FE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bookmarkStart w:id="12" w:name="OLE_LINK2"/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05A39810" wp14:editId="700D4153">
            <wp:extent cx="2381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For clients with our standard formularies, these brand-name medications will remain a formulary covered option and will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process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at Tier 1 copay or coinsurance for the member. This is typically the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tier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that includes low-cost generic alternatives.</w:t>
      </w:r>
    </w:p>
    <w:bookmarkEnd w:id="12"/>
    <w:p w14:paraId="7C77BB1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185151C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4790111A" wp14:editId="7CECE756">
            <wp:extent cx="304762" cy="304762"/>
            <wp:effectExtent l="0" t="0" r="635" b="635"/>
            <wp:docPr id="92405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2773C6BB" wp14:editId="1F9BAA69">
            <wp:extent cx="238125" cy="209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The generics for these medications will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reject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as not covered with instructions for the pharmacy to dispense the brand and submit with DAW 9.</w:t>
      </w:r>
    </w:p>
    <w:p w14:paraId="02B9F7EA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33687239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31E533A5" wp14:editId="40FB0EF1">
            <wp:extent cx="238125" cy="209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There is virtually no member disruption; the change can take place at the pharmacy and no new prescription is required.</w:t>
      </w:r>
    </w:p>
    <w:p w14:paraId="48F2C09D" w14:textId="2E6EA602" w:rsidR="004C6A84" w:rsidRPr="004C6A84" w:rsidRDefault="004C6A84" w:rsidP="004C6A84">
      <w:pPr>
        <w:spacing w:before="120" w:after="120"/>
        <w:jc w:val="right"/>
        <w:rPr>
          <w:rFonts w:eastAsia="Times New Roman" w:cs="Times New Roman"/>
          <w:color w:val="000000"/>
          <w:kern w:val="0"/>
          <w:szCs w:val="24"/>
          <w14:ligatures w14:val="none"/>
        </w:rPr>
      </w:pPr>
      <w:hyperlink w:anchor="_top" w:history="1">
        <w:r w:rsidRPr="004C6A84">
          <w:rPr>
            <w:rStyle w:val="Hyperlink"/>
            <w:rFonts w:eastAsia="Times New Roman" w:cs="Times New Roman"/>
            <w:kern w:val="0"/>
            <w:szCs w:val="24"/>
            <w14:ligatures w14:val="non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20921"/>
      </w:tblGrid>
      <w:tr w:rsidR="004C6A84" w:rsidRPr="004C6A84" w14:paraId="19B39D6F" w14:textId="77777777" w:rsidTr="005B165C">
        <w:trPr>
          <w:trHeight w:val="341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D41197" w14:textId="77777777" w:rsidR="004C6A84" w:rsidRPr="004C6A84" w:rsidRDefault="004C6A84" w:rsidP="004C6A84">
            <w:pPr>
              <w:keepNext/>
              <w:keepLines/>
              <w:spacing w:before="120" w:after="120" w:line="259" w:lineRule="auto"/>
              <w:outlineLvl w:val="1"/>
              <w:rPr>
                <w:rFonts w:eastAsia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bookmarkStart w:id="13" w:name="_Toc125535082"/>
            <w:bookmarkStart w:id="14" w:name="_Toc195278797"/>
            <w:r w:rsidRPr="004C6A84">
              <w:rPr>
                <w:rFonts w:eastAsia="Times New Roman" w:cs="Times New Roman"/>
                <w:b/>
                <w:bCs/>
                <w:noProof/>
                <w:kern w:val="0"/>
                <w:sz w:val="28"/>
                <w:szCs w:val="28"/>
                <w14:ligatures w14:val="none"/>
              </w:rPr>
              <w:drawing>
                <wp:inline distT="0" distB="0" distL="0" distR="0" wp14:anchorId="7A7910C2" wp14:editId="1184E12F">
                  <wp:extent cx="304762" cy="304762"/>
                  <wp:effectExtent l="0" t="0" r="635" b="635"/>
                  <wp:docPr id="1566580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35881" name="Picture 142723588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A84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Tier 1 and Tier 2 Strategy Drug </w:t>
            </w:r>
            <w:bookmarkEnd w:id="13"/>
            <w:r w:rsidRPr="004C6A84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Identification</w:t>
            </w:r>
            <w:bookmarkEnd w:id="14"/>
          </w:p>
        </w:tc>
      </w:tr>
    </w:tbl>
    <w:p w14:paraId="1AAB5B0E" w14:textId="77777777" w:rsidR="004C6A84" w:rsidRPr="004C6A84" w:rsidRDefault="004C6A84" w:rsidP="004C6A84">
      <w:pPr>
        <w:spacing w:before="120" w:after="120" w:line="259" w:lineRule="auto"/>
        <w:rPr>
          <w:rFonts w:eastAsia="Calibri" w:cs="Arial"/>
          <w:kern w:val="0"/>
          <w:szCs w:val="24"/>
          <w14:ligatures w14:val="none"/>
        </w:rPr>
      </w:pPr>
      <w:proofErr w:type="gramStart"/>
      <w:r w:rsidRPr="004C6A84">
        <w:rPr>
          <w:rFonts w:eastAsia="Calibri" w:cs="Arial"/>
          <w:kern w:val="0"/>
          <w:szCs w:val="24"/>
          <w14:ligatures w14:val="none"/>
        </w:rPr>
        <w:t xml:space="preserve">A </w:t>
      </w:r>
      <w:r w:rsidRPr="004C6A84">
        <w:rPr>
          <w:rFonts w:eastAsia="Calibri" w:cs="Arial"/>
          <w:b/>
          <w:bCs/>
          <w:kern w:val="0"/>
          <w:szCs w:val="24"/>
          <w14:ligatures w14:val="none"/>
        </w:rPr>
        <w:t>Reject</w:t>
      </w:r>
      <w:proofErr w:type="gramEnd"/>
      <w:r w:rsidRPr="004C6A84">
        <w:rPr>
          <w:rFonts w:eastAsia="Calibri" w:cs="Arial"/>
          <w:b/>
          <w:bCs/>
          <w:kern w:val="0"/>
          <w:szCs w:val="24"/>
          <w14:ligatures w14:val="none"/>
        </w:rPr>
        <w:t xml:space="preserve"> 606</w:t>
      </w:r>
      <w:r w:rsidRPr="004C6A84">
        <w:rPr>
          <w:rFonts w:eastAsia="Calibri" w:cs="Arial"/>
          <w:kern w:val="0"/>
          <w:szCs w:val="24"/>
          <w14:ligatures w14:val="none"/>
        </w:rPr>
        <w:t xml:space="preserve"> will indicate that </w:t>
      </w:r>
      <w:proofErr w:type="gramStart"/>
      <w:r w:rsidRPr="004C6A84">
        <w:rPr>
          <w:rFonts w:eastAsia="Calibri" w:cs="Arial"/>
          <w:kern w:val="0"/>
          <w:szCs w:val="24"/>
          <w14:ligatures w14:val="none"/>
        </w:rPr>
        <w:t>a medication</w:t>
      </w:r>
      <w:proofErr w:type="gramEnd"/>
      <w:r w:rsidRPr="004C6A84">
        <w:rPr>
          <w:rFonts w:eastAsia="Calibri" w:cs="Arial"/>
          <w:kern w:val="0"/>
          <w:szCs w:val="24"/>
          <w14:ligatures w14:val="none"/>
        </w:rPr>
        <w:t xml:space="preserve"> is part of the </w:t>
      </w:r>
      <w:r w:rsidRPr="004C6A84">
        <w:rPr>
          <w:rFonts w:eastAsia="Calibri" w:cs="Arial"/>
          <w:b/>
          <w:bCs/>
          <w:kern w:val="0"/>
          <w:szCs w:val="24"/>
          <w14:ligatures w14:val="none"/>
        </w:rPr>
        <w:t>Tier 1 and Tier 2 Strategy</w:t>
      </w:r>
      <w:r w:rsidRPr="004C6A84">
        <w:rPr>
          <w:rFonts w:eastAsia="Calibri" w:cs="Arial"/>
          <w:kern w:val="0"/>
          <w:szCs w:val="24"/>
          <w14:ligatures w14:val="none"/>
        </w:rPr>
        <w:t xml:space="preserve">. </w:t>
      </w:r>
    </w:p>
    <w:p w14:paraId="3AD0F69D" w14:textId="77777777" w:rsidR="004C6A84" w:rsidRPr="004C6A84" w:rsidRDefault="004C6A84" w:rsidP="004C6A84">
      <w:pPr>
        <w:spacing w:after="160" w:line="259" w:lineRule="auto"/>
        <w:rPr>
          <w:rFonts w:eastAsia="Calibri" w:cs="Arial"/>
          <w:kern w:val="0"/>
          <w:szCs w:val="24"/>
          <w14:ligatures w14:val="none"/>
        </w:rPr>
      </w:pPr>
    </w:p>
    <w:p w14:paraId="7D91A64B" w14:textId="77777777" w:rsidR="004C6A84" w:rsidRPr="004C6A84" w:rsidRDefault="004C6A84" w:rsidP="004C6A84">
      <w:pPr>
        <w:spacing w:after="160" w:line="259" w:lineRule="auto"/>
        <w:rPr>
          <w:rFonts w:eastAsia="Calibri" w:cs="Arial"/>
          <w:kern w:val="0"/>
          <w:szCs w:val="24"/>
          <w14:ligatures w14:val="none"/>
        </w:rPr>
      </w:pPr>
      <w:r w:rsidRPr="004C6A84">
        <w:rPr>
          <w:rFonts w:eastAsia="Calibri" w:cs="Arial"/>
          <w:b/>
          <w:bCs/>
          <w:kern w:val="0"/>
          <w:szCs w:val="24"/>
          <w14:ligatures w14:val="none"/>
        </w:rPr>
        <w:t xml:space="preserve">CCR Action:  </w:t>
      </w:r>
      <w:r w:rsidRPr="004C6A84">
        <w:rPr>
          <w:rFonts w:eastAsia="Calibri" w:cs="Arial"/>
          <w:kern w:val="0"/>
          <w:szCs w:val="24"/>
          <w14:ligatures w14:val="none"/>
        </w:rPr>
        <w:t>Review the information provided in the claim rejection and advise the caller:</w:t>
      </w:r>
    </w:p>
    <w:p w14:paraId="57A59377" w14:textId="77777777" w:rsidR="004C6A84" w:rsidRPr="004C6A84" w:rsidRDefault="004C6A84" w:rsidP="004C6A84">
      <w:pPr>
        <w:widowControl w:val="0"/>
        <w:numPr>
          <w:ilvl w:val="0"/>
          <w:numId w:val="3"/>
        </w:numPr>
        <w:tabs>
          <w:tab w:val="left" w:pos="1800"/>
        </w:tabs>
        <w:spacing w:after="160" w:line="259" w:lineRule="auto"/>
        <w:contextualSpacing/>
        <w:rPr>
          <w:rFonts w:eastAsia="Calibri" w:cs="Arial"/>
          <w:kern w:val="0"/>
          <w:szCs w:val="24"/>
          <w14:ligatures w14:val="none"/>
        </w:rPr>
      </w:pPr>
      <w:r w:rsidRPr="004C6A84">
        <w:rPr>
          <w:rFonts w:eastAsia="Calibri" w:cs="Arial"/>
          <w:kern w:val="0"/>
          <w:szCs w:val="24"/>
          <w14:ligatures w14:val="none"/>
        </w:rPr>
        <w:t xml:space="preserve">The generic is not covered under the plan and will require </w:t>
      </w:r>
      <w:proofErr w:type="gramStart"/>
      <w:r w:rsidRPr="004C6A84">
        <w:rPr>
          <w:rFonts w:eastAsia="Calibri" w:cs="Arial"/>
          <w:kern w:val="0"/>
          <w:szCs w:val="24"/>
          <w14:ligatures w14:val="none"/>
        </w:rPr>
        <w:t>the brand</w:t>
      </w:r>
      <w:proofErr w:type="gramEnd"/>
      <w:r w:rsidRPr="004C6A84">
        <w:rPr>
          <w:rFonts w:eastAsia="Calibri" w:cs="Arial"/>
          <w:kern w:val="0"/>
          <w:szCs w:val="24"/>
          <w14:ligatures w14:val="none"/>
        </w:rPr>
        <w:t xml:space="preserve"> medication to be filled. </w:t>
      </w:r>
    </w:p>
    <w:p w14:paraId="06171EC4" w14:textId="77777777" w:rsidR="004C6A84" w:rsidRPr="004C6A84" w:rsidRDefault="004C6A84" w:rsidP="004C6A84">
      <w:pPr>
        <w:widowControl w:val="0"/>
        <w:numPr>
          <w:ilvl w:val="0"/>
          <w:numId w:val="3"/>
        </w:numPr>
        <w:tabs>
          <w:tab w:val="left" w:pos="1800"/>
        </w:tabs>
        <w:spacing w:after="160" w:line="259" w:lineRule="auto"/>
        <w:contextualSpacing/>
        <w:rPr>
          <w:rFonts w:eastAsia="Calibri" w:cs="Arial"/>
          <w:kern w:val="0"/>
          <w:szCs w:val="24"/>
          <w14:ligatures w14:val="none"/>
        </w:rPr>
      </w:pPr>
      <w:r w:rsidRPr="004C6A84">
        <w:rPr>
          <w:rFonts w:eastAsia="Calibri" w:cs="Arial"/>
          <w:kern w:val="0"/>
          <w:szCs w:val="24"/>
          <w14:ligatures w14:val="none"/>
        </w:rPr>
        <w:t xml:space="preserve">The pharmacy will need to reprocess the claim for the brand medication with DAW 9. </w:t>
      </w:r>
    </w:p>
    <w:p w14:paraId="4003F336" w14:textId="77777777" w:rsidR="004C6A84" w:rsidRPr="004C6A84" w:rsidRDefault="004C6A84" w:rsidP="004C6A84">
      <w:pPr>
        <w:widowControl w:val="0"/>
        <w:numPr>
          <w:ilvl w:val="0"/>
          <w:numId w:val="3"/>
        </w:numPr>
        <w:tabs>
          <w:tab w:val="left" w:pos="1800"/>
        </w:tabs>
        <w:spacing w:after="160" w:line="259" w:lineRule="auto"/>
        <w:contextualSpacing/>
        <w:rPr>
          <w:rFonts w:eastAsia="Calibri" w:cs="Arial"/>
          <w:kern w:val="0"/>
          <w:szCs w:val="24"/>
          <w14:ligatures w14:val="none"/>
        </w:rPr>
      </w:pPr>
      <w:r w:rsidRPr="004C6A84">
        <w:rPr>
          <w:rFonts w:eastAsia="Calibri" w:cs="Arial"/>
          <w:kern w:val="0"/>
          <w:szCs w:val="24"/>
          <w14:ligatures w14:val="none"/>
        </w:rPr>
        <w:t>A new prescription is NOT required.</w:t>
      </w:r>
    </w:p>
    <w:p w14:paraId="72962652" w14:textId="77777777" w:rsidR="004C6A84" w:rsidRPr="004C6A84" w:rsidRDefault="004C6A84" w:rsidP="004C6A84">
      <w:pPr>
        <w:spacing w:after="160" w:line="259" w:lineRule="auto"/>
        <w:rPr>
          <w:rFonts w:eastAsia="Calibri" w:cs="Arial"/>
          <w:kern w:val="0"/>
          <w:sz w:val="22"/>
          <w14:ligatures w14:val="none"/>
        </w:rPr>
      </w:pPr>
    </w:p>
    <w:p w14:paraId="0549117A" w14:textId="77777777" w:rsidR="004C6A84" w:rsidRPr="004C6A84" w:rsidRDefault="004C6A84" w:rsidP="004C6A84">
      <w:pPr>
        <w:spacing w:after="160" w:line="259" w:lineRule="auto"/>
        <w:jc w:val="center"/>
        <w:rPr>
          <w:rFonts w:eastAsia="Calibri" w:cs="Arial"/>
          <w:kern w:val="0"/>
          <w:sz w:val="22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31BF818C" wp14:editId="1AD9978D">
            <wp:extent cx="9144000" cy="1984508"/>
            <wp:effectExtent l="0" t="0" r="0" b="0"/>
            <wp:docPr id="2054335048" name="Picture 205433504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3504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9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2832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</w:p>
    <w:p w14:paraId="5582ECD1" w14:textId="77777777" w:rsidR="004C6A84" w:rsidRPr="004C6A84" w:rsidRDefault="004C6A84" w:rsidP="004C6A84">
      <w:pPr>
        <w:spacing w:before="120" w:after="120"/>
        <w:jc w:val="right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1AC3E1EC" w14:textId="77777777" w:rsidR="004C6A84" w:rsidRPr="004C6A84" w:rsidRDefault="004C6A84" w:rsidP="004C6A84">
      <w:pPr>
        <w:jc w:val="right"/>
        <w:rPr>
          <w:rFonts w:eastAsia="Times New Roman" w:cs="Times New Roman"/>
          <w:kern w:val="0"/>
          <w:sz w:val="27"/>
          <w:szCs w:val="27"/>
          <w14:ligatures w14:val="none"/>
        </w:rPr>
      </w:pPr>
      <w:hyperlink w:anchor="_top" w:history="1">
        <w:r w:rsidRPr="004C6A84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Top of the Document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5"/>
      </w:tblGrid>
      <w:tr w:rsidR="004C6A84" w:rsidRPr="004C6A84" w14:paraId="2188F64B" w14:textId="77777777" w:rsidTr="004C6A84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7BEE5F6" w14:textId="77777777" w:rsidR="004C6A84" w:rsidRPr="004C6A84" w:rsidRDefault="004C6A84" w:rsidP="004C6A84">
            <w:pPr>
              <w:keepNext/>
              <w:keepLines/>
              <w:spacing w:before="120" w:after="120" w:line="259" w:lineRule="auto"/>
              <w:outlineLvl w:val="1"/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bookmarkStart w:id="15" w:name="_Member_Received_a"/>
            <w:bookmarkStart w:id="16" w:name="_Process_for_Handling"/>
            <w:bookmarkStart w:id="17" w:name="_Rationale"/>
            <w:bookmarkStart w:id="18" w:name="_Toc29917254"/>
            <w:bookmarkStart w:id="19" w:name="_Toc195278798"/>
            <w:bookmarkEnd w:id="15"/>
            <w:bookmarkEnd w:id="16"/>
            <w:bookmarkEnd w:id="17"/>
            <w:r w:rsidRPr="004C6A84">
              <w:rPr>
                <w:rFonts w:eastAsia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DAW 9 FAQs</w:t>
            </w:r>
            <w:bookmarkEnd w:id="18"/>
            <w:bookmarkEnd w:id="19"/>
          </w:p>
        </w:tc>
      </w:tr>
    </w:tbl>
    <w:p w14:paraId="1E5D729D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Refer to the talking points below if a member calls with questions about receiving a brand-name drug at the generic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copay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(DAW 9):  </w:t>
      </w:r>
    </w:p>
    <w:p w14:paraId="0202C2F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</w:p>
    <w:p w14:paraId="3EFD12C1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 Will the </w:t>
      </w:r>
      <w:proofErr w:type="gram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member</w:t>
      </w:r>
      <w:proofErr w:type="gram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 pay more under this strategy?</w:t>
      </w:r>
    </w:p>
    <w:p w14:paraId="0DC55E58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A1: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Members will pay the Tier 1 member cost share. In most situations, members will pay the same or less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than what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they would pay for the generic medication.</w:t>
      </w:r>
    </w:p>
    <w:p w14:paraId="67C1137C" w14:textId="77777777" w:rsidR="004C6A84" w:rsidRPr="004C6A84" w:rsidRDefault="004C6A84" w:rsidP="004C6A84">
      <w:pPr>
        <w:spacing w:after="160" w:line="259" w:lineRule="auto"/>
        <w:rPr>
          <w:rFonts w:eastAsia="CVS Health Sans" w:cs="CVS Health Sans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2897BED6" wp14:editId="6080DD93">
            <wp:extent cx="304762" cy="304762"/>
            <wp:effectExtent l="0" t="0" r="635" b="635"/>
            <wp:docPr id="203880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W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spacing w:val="-1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2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spacing w:val="-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kern w:val="0"/>
          <w:szCs w:val="24"/>
          <w14:ligatures w14:val="none"/>
        </w:rPr>
        <w:t>2</w:t>
      </w:r>
      <w:r w:rsidRPr="004C6A84">
        <w:rPr>
          <w:rFonts w:eastAsia="CVS Health Sans" w:cs="Arial"/>
          <w:spacing w:val="-12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at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g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y</w:t>
      </w:r>
      <w:r w:rsidRPr="004C6A84">
        <w:rPr>
          <w:rFonts w:eastAsia="CVS Health Sans" w:cs="Arial"/>
          <w:kern w:val="0"/>
          <w:szCs w:val="24"/>
          <w14:ligatures w14:val="none"/>
        </w:rPr>
        <w:t>,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12"/>
          <w:kern w:val="0"/>
          <w:szCs w:val="24"/>
          <w14:ligatures w14:val="none"/>
        </w:rPr>
        <w:t xml:space="preserve"> </w:t>
      </w:r>
      <w:proofErr w:type="gramStart"/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kern w:val="0"/>
          <w:szCs w:val="24"/>
          <w14:ligatures w14:val="none"/>
        </w:rPr>
        <w:t>b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r</w:t>
      </w:r>
      <w:proofErr w:type="gramEnd"/>
      <w:r w:rsidRPr="004C6A84">
        <w:rPr>
          <w:rFonts w:eastAsia="CVS Health Sans" w:cs="Arial"/>
          <w:spacing w:val="-20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w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-3"/>
          <w:kern w:val="0"/>
          <w:szCs w:val="24"/>
          <w14:ligatures w14:val="none"/>
        </w:rPr>
        <w:t>l</w:t>
      </w:r>
      <w:r w:rsidRPr="004C6A84">
        <w:rPr>
          <w:rFonts w:eastAsia="CVS Health Sans" w:cs="Arial"/>
          <w:kern w:val="0"/>
          <w:szCs w:val="24"/>
          <w14:ligatures w14:val="none"/>
        </w:rPr>
        <w:t>l</w:t>
      </w:r>
      <w:r w:rsidRPr="004C6A84">
        <w:rPr>
          <w:rFonts w:eastAsia="CVS Health Sans" w:cs="Arial"/>
          <w:spacing w:val="-23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n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nu</w:t>
      </w:r>
      <w:r w:rsidRPr="004C6A84">
        <w:rPr>
          <w:rFonts w:eastAsia="CVS Health Sans" w:cs="Arial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-1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kern w:val="0"/>
          <w:szCs w:val="24"/>
          <w14:ligatures w14:val="none"/>
        </w:rPr>
        <w:t>p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kern w:val="0"/>
          <w:szCs w:val="24"/>
          <w14:ligatures w14:val="none"/>
        </w:rPr>
        <w:t>y</w:t>
      </w:r>
      <w:r w:rsidRPr="004C6A84">
        <w:rPr>
          <w:rFonts w:eastAsia="CVS Health Sans" w:cs="Arial"/>
          <w:spacing w:val="-20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kern w:val="0"/>
          <w:szCs w:val="24"/>
          <w14:ligatures w14:val="none"/>
        </w:rPr>
        <w:t>b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n</w:t>
      </w:r>
      <w:r w:rsidRPr="004C6A84">
        <w:rPr>
          <w:rFonts w:eastAsia="CVS Health Sans" w:cs="Arial"/>
          <w:kern w:val="0"/>
          <w:szCs w:val="24"/>
          <w14:ligatures w14:val="none"/>
        </w:rPr>
        <w:t>d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member cost share</w:t>
      </w:r>
      <w:r w:rsidRPr="004C6A84">
        <w:rPr>
          <w:rFonts w:eastAsia="CVS Health Sans" w:cs="Arial"/>
          <w:kern w:val="0"/>
          <w:szCs w:val="24"/>
          <w14:ligatures w14:val="none"/>
        </w:rPr>
        <w:t>.</w:t>
      </w:r>
      <w:r w:rsidRPr="004C6A84">
        <w:rPr>
          <w:rFonts w:eastAsia="CVS Health Sans" w:cs="Arial"/>
          <w:w w:val="99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ddi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n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kern w:val="0"/>
          <w:szCs w:val="24"/>
          <w14:ligatures w14:val="none"/>
        </w:rPr>
        <w:t>l</w:t>
      </w:r>
      <w:r w:rsidRPr="004C6A84">
        <w:rPr>
          <w:rFonts w:eastAsia="CVS Health Sans" w:cs="Arial"/>
          <w:spacing w:val="-24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fa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spacing w:val="-28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u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spacing w:val="-1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d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d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u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kern w:val="0"/>
          <w:szCs w:val="24"/>
          <w14:ligatures w14:val="none"/>
        </w:rPr>
        <w:t>b</w:t>
      </w:r>
      <w:r w:rsidRPr="004C6A84">
        <w:rPr>
          <w:rFonts w:eastAsia="CVS Health Sans" w:cs="Arial"/>
          <w:spacing w:val="-3"/>
          <w:kern w:val="0"/>
          <w:szCs w:val="24"/>
          <w14:ligatures w14:val="none"/>
        </w:rPr>
        <w:t>l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es</w:t>
      </w:r>
      <w:r w:rsidRPr="004C6A84">
        <w:rPr>
          <w:rFonts w:eastAsia="CVS Health Sans" w:cs="Arial"/>
          <w:kern w:val="0"/>
          <w:szCs w:val="24"/>
          <w14:ligatures w14:val="none"/>
        </w:rPr>
        <w:t>,</w:t>
      </w:r>
      <w:r w:rsidRPr="004C6A84">
        <w:rPr>
          <w:rFonts w:eastAsia="CVS Health Sans" w:cs="Arial"/>
          <w:spacing w:val="-14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kern w:val="0"/>
          <w:szCs w:val="24"/>
          <w14:ligatures w14:val="none"/>
        </w:rPr>
        <w:t>.</w:t>
      </w:r>
      <w:r w:rsidRPr="004C6A84">
        <w:rPr>
          <w:rFonts w:eastAsia="CVS Health Sans" w:cs="Arial"/>
          <w:spacing w:val="-13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kern w:val="0"/>
          <w:szCs w:val="24"/>
          <w14:ligatures w14:val="none"/>
        </w:rPr>
        <w:t>y</w:t>
      </w:r>
      <w:r w:rsidRPr="004C6A84">
        <w:rPr>
          <w:rFonts w:eastAsia="CVS Health Sans" w:cs="Arial"/>
          <w:spacing w:val="-21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kern w:val="0"/>
          <w:szCs w:val="24"/>
          <w14:ligatures w14:val="none"/>
        </w:rPr>
        <w:t>p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27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m</w:t>
      </w:r>
      <w:r w:rsidRPr="004C6A84">
        <w:rPr>
          <w:rFonts w:eastAsia="CVS Health Sans" w:cs="Arial"/>
          <w:kern w:val="0"/>
          <w:szCs w:val="24"/>
          <w14:ligatures w14:val="none"/>
        </w:rPr>
        <w:t>b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spacing w:val="-20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Arial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kern w:val="0"/>
          <w:szCs w:val="24"/>
          <w14:ligatures w14:val="none"/>
        </w:rPr>
        <w:t>t</w:t>
      </w:r>
      <w:r w:rsidRPr="004C6A84">
        <w:rPr>
          <w:rFonts w:eastAsia="CVS Health Sans" w:cs="Arial"/>
          <w:spacing w:val="-26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s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,</w:t>
      </w:r>
      <w:r w:rsidRPr="004C6A84">
        <w:rPr>
          <w:rFonts w:eastAsia="CVS Health Sans" w:cs="Arial"/>
          <w:spacing w:val="-14"/>
          <w:kern w:val="0"/>
          <w:szCs w:val="24"/>
          <w14:ligatures w14:val="none"/>
        </w:rPr>
        <w:t xml:space="preserve"> </w:t>
      </w:r>
      <w:proofErr w:type="gramStart"/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we</w:t>
      </w:r>
      <w:r w:rsidRPr="004C6A84">
        <w:rPr>
          <w:rFonts w:eastAsia="CVS Health Sans" w:cs="Arial"/>
          <w:spacing w:val="1"/>
          <w:kern w:val="0"/>
          <w:szCs w:val="24"/>
          <w14:ligatures w14:val="none"/>
        </w:rPr>
        <w:t>v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>r</w:t>
      </w:r>
      <w:proofErr w:type="gramEnd"/>
      <w:r w:rsidRPr="004C6A84">
        <w:rPr>
          <w:rFonts w:eastAsia="CVS Health Sans" w:cs="Arial"/>
          <w:spacing w:val="-20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w</w:t>
      </w:r>
      <w:r w:rsidRPr="004C6A84">
        <w:rPr>
          <w:rFonts w:eastAsia="CVS Health Sans" w:cs="Arial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Arial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Arial"/>
          <w:kern w:val="0"/>
          <w:szCs w:val="24"/>
          <w14:ligatures w14:val="none"/>
        </w:rPr>
        <w:t xml:space="preserve">n 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CVS Health Sans"/>
          <w:spacing w:val="4"/>
          <w:kern w:val="0"/>
          <w:szCs w:val="24"/>
          <w14:ligatures w14:val="none"/>
        </w:rPr>
        <w:t>h</w:t>
      </w:r>
      <w:r w:rsidRPr="004C6A84">
        <w:rPr>
          <w:rFonts w:eastAsia="CVS Health Sans" w:cs="CVS Health Sans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CVS Health Sans"/>
          <w:spacing w:val="-8"/>
          <w:kern w:val="0"/>
          <w:szCs w:val="24"/>
          <w14:ligatures w14:val="none"/>
        </w:rPr>
        <w:t>s</w:t>
      </w:r>
      <w:r w:rsidRPr="004C6A84">
        <w:rPr>
          <w:rFonts w:eastAsia="CVS Health Sans" w:cs="CVS Health Sans"/>
          <w:kern w:val="0"/>
          <w:szCs w:val="24"/>
          <w14:ligatures w14:val="none"/>
        </w:rPr>
        <w:t>e</w:t>
      </w:r>
      <w:r w:rsidRPr="004C6A84">
        <w:rPr>
          <w:rFonts w:eastAsia="CVS Health Sans" w:cs="CVS Health Sans"/>
          <w:spacing w:val="-28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fa</w:t>
      </w:r>
      <w:r w:rsidRPr="004C6A84">
        <w:rPr>
          <w:rFonts w:eastAsia="CVS Health Sans" w:cs="CVS Health Sans"/>
          <w:spacing w:val="-6"/>
          <w:kern w:val="0"/>
          <w:szCs w:val="24"/>
          <w14:ligatures w14:val="none"/>
        </w:rPr>
        <w:t>c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CVS Health Sans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CVS Health Sans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CVS Health Sans"/>
          <w:kern w:val="0"/>
          <w:szCs w:val="24"/>
          <w14:ligatures w14:val="none"/>
        </w:rPr>
        <w:t>s</w:t>
      </w:r>
      <w:r w:rsidRPr="004C6A84">
        <w:rPr>
          <w:rFonts w:eastAsia="CVS Health Sans" w:cs="CVS Health Sans"/>
          <w:spacing w:val="-13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CVS Health Sans"/>
          <w:spacing w:val="1"/>
          <w:kern w:val="0"/>
          <w:szCs w:val="24"/>
          <w14:ligatures w14:val="none"/>
        </w:rPr>
        <w:t>r</w:t>
      </w:r>
      <w:r w:rsidRPr="004C6A84">
        <w:rPr>
          <w:rFonts w:eastAsia="CVS Health Sans" w:cs="CVS Health Sans"/>
          <w:kern w:val="0"/>
          <w:szCs w:val="24"/>
          <w14:ligatures w14:val="none"/>
        </w:rPr>
        <w:t>e</w:t>
      </w:r>
      <w:r w:rsidRPr="004C6A84">
        <w:rPr>
          <w:rFonts w:eastAsia="CVS Health Sans" w:cs="CVS Health Sans"/>
          <w:spacing w:val="-27"/>
          <w:kern w:val="0"/>
          <w:szCs w:val="24"/>
          <w14:ligatures w14:val="none"/>
        </w:rPr>
        <w:t xml:space="preserve"> </w:t>
      </w:r>
      <w:proofErr w:type="gramStart"/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ta</w:t>
      </w:r>
      <w:r w:rsidRPr="004C6A84">
        <w:rPr>
          <w:rFonts w:eastAsia="CVS Health Sans" w:cs="CVS Health Sans"/>
          <w:spacing w:val="-2"/>
          <w:kern w:val="0"/>
          <w:szCs w:val="24"/>
          <w14:ligatures w14:val="none"/>
        </w:rPr>
        <w:t>k</w:t>
      </w:r>
      <w:r w:rsidRPr="004C6A84">
        <w:rPr>
          <w:rFonts w:eastAsia="CVS Health Sans" w:cs="CVS Health Sans"/>
          <w:spacing w:val="-8"/>
          <w:kern w:val="0"/>
          <w:szCs w:val="24"/>
          <w14:ligatures w14:val="none"/>
        </w:rPr>
        <w:t>e</w:t>
      </w:r>
      <w:r w:rsidRPr="004C6A84">
        <w:rPr>
          <w:rFonts w:eastAsia="CVS Health Sans" w:cs="CVS Health Sans"/>
          <w:kern w:val="0"/>
          <w:szCs w:val="24"/>
          <w14:ligatures w14:val="none"/>
        </w:rPr>
        <w:t>n</w:t>
      </w:r>
      <w:r w:rsidRPr="004C6A84">
        <w:rPr>
          <w:rFonts w:eastAsia="CVS Health Sans" w:cs="CVS Health Sans"/>
          <w:spacing w:val="-3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CVS Health Sans"/>
          <w:spacing w:val="-1"/>
          <w:kern w:val="0"/>
          <w:szCs w:val="24"/>
          <w14:ligatures w14:val="none"/>
        </w:rPr>
        <w:t>i</w:t>
      </w:r>
      <w:r w:rsidRPr="004C6A84">
        <w:rPr>
          <w:rFonts w:eastAsia="CVS Health Sans" w:cs="CVS Health Sans"/>
          <w:spacing w:val="4"/>
          <w:kern w:val="0"/>
          <w:szCs w:val="24"/>
          <w14:ligatures w14:val="none"/>
        </w:rPr>
        <w:t>n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t</w:t>
      </w:r>
      <w:r w:rsidRPr="004C6A84">
        <w:rPr>
          <w:rFonts w:eastAsia="CVS Health Sans" w:cs="CVS Health Sans"/>
          <w:kern w:val="0"/>
          <w:szCs w:val="24"/>
          <w14:ligatures w14:val="none"/>
        </w:rPr>
        <w:t>o</w:t>
      </w:r>
      <w:r w:rsidRPr="004C6A84">
        <w:rPr>
          <w:rFonts w:eastAsia="CVS Health Sans" w:cs="CVS Health Sans"/>
          <w:spacing w:val="-16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a</w:t>
      </w:r>
      <w:r w:rsidRPr="004C6A84">
        <w:rPr>
          <w:rFonts w:eastAsia="CVS Health Sans" w:cs="CVS Health Sans"/>
          <w:spacing w:val="-6"/>
          <w:kern w:val="0"/>
          <w:szCs w:val="24"/>
          <w14:ligatures w14:val="none"/>
        </w:rPr>
        <w:t>cc</w:t>
      </w:r>
      <w:r w:rsidRPr="004C6A84">
        <w:rPr>
          <w:rFonts w:eastAsia="CVS Health Sans" w:cs="CVS Health Sans"/>
          <w:spacing w:val="6"/>
          <w:kern w:val="0"/>
          <w:szCs w:val="24"/>
          <w14:ligatures w14:val="none"/>
        </w:rPr>
        <w:t>o</w:t>
      </w:r>
      <w:r w:rsidRPr="004C6A84">
        <w:rPr>
          <w:rFonts w:eastAsia="CVS Health Sans" w:cs="CVS Health Sans"/>
          <w:spacing w:val="4"/>
          <w:kern w:val="0"/>
          <w:szCs w:val="24"/>
          <w14:ligatures w14:val="none"/>
        </w:rPr>
        <w:t>un</w:t>
      </w:r>
      <w:r w:rsidRPr="004C6A84">
        <w:rPr>
          <w:rFonts w:eastAsia="CVS Health Sans" w:cs="CVS Health Sans"/>
          <w:spacing w:val="-7"/>
          <w:kern w:val="0"/>
          <w:szCs w:val="24"/>
          <w14:ligatures w14:val="none"/>
        </w:rPr>
        <w:t>t</w:t>
      </w:r>
      <w:proofErr w:type="gramEnd"/>
      <w:r w:rsidRPr="004C6A84">
        <w:rPr>
          <w:rFonts w:eastAsia="CVS Health Sans" w:cs="CVS Health Sans"/>
          <w:kern w:val="0"/>
          <w:szCs w:val="24"/>
          <w14:ligatures w14:val="none"/>
        </w:rPr>
        <w:t>.</w:t>
      </w:r>
    </w:p>
    <w:p w14:paraId="75155AC1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4F478EB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Q2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How does this affect network pharmacies including mail service? How will the pharmacies be notified and educated about how to correctly process claims to help prevent member disruption or delay?</w:t>
      </w:r>
    </w:p>
    <w:p w14:paraId="073B761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A2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There will be a reject message at Point of Sale (POS) for generic prescriptions with a message to use the brand-name product and process with a Dispense as Written 9 (DAW 9). We will notify both mail service and network pharmacies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for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this approach. We will also provide current generic drug utilization data to ensure that the pharmacies have time to update stock for brand name product.</w:t>
      </w:r>
    </w:p>
    <w:p w14:paraId="0F2D7E16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5F4ADAE5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Q3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 Can clients opt out of the Tier 1 strategy? The client letter indicates </w:t>
      </w:r>
      <w:proofErr w:type="gram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that</w:t>
      </w:r>
      <w:proofErr w:type="gram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 may be an option.</w:t>
      </w:r>
    </w:p>
    <w:p w14:paraId="55BC794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A3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 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Clients can choose to keep the brand-name drug copay for these medications for their members, but it would apply to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all of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the drugs in the Tier 1 strategy. </w:t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Example: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A client can choose for their members to pay the brand-name drug copay for all in the category, but they cannot choose that for one drug and not the others.</w:t>
      </w:r>
    </w:p>
    <w:p w14:paraId="3A857CD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Note:  We do not recommend this strategy as it disadvantages the </w:t>
      </w:r>
      <w:proofErr w:type="gram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member</w:t>
      </w:r>
      <w:proofErr w:type="gram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.</w:t>
      </w:r>
    </w:p>
    <w:p w14:paraId="2E1270F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14836934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Q4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Can we accommodate a client request to make the generic the preferred product?</w:t>
      </w:r>
    </w:p>
    <w:p w14:paraId="1067A458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A4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No, formulary placement of the brand drug as preferred is embedded into our template formularies.</w:t>
      </w:r>
    </w:p>
    <w:p w14:paraId="73187D2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0D85984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Q5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Will this approach apply to mail order?</w:t>
      </w:r>
    </w:p>
    <w:p w14:paraId="592EEF38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A5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Yes. This strategy will apply in both the retail and mail order settings.</w:t>
      </w:r>
    </w:p>
    <w:p w14:paraId="789C2FFA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1AE97499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4AC13555" wp14:editId="7127CB0D">
            <wp:extent cx="304762" cy="304762"/>
            <wp:effectExtent l="0" t="0" r="635" b="635"/>
            <wp:docPr id="166401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Q6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 Will this apply to Value Formulary (VF)? </w:t>
      </w:r>
    </w:p>
    <w:p w14:paraId="092ABEE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1EA5B560" wp14:editId="562BDCE5">
            <wp:extent cx="304762" cy="304762"/>
            <wp:effectExtent l="0" t="0" r="635" b="635"/>
            <wp:docPr id="148973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A6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 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This strategy also applies to VF.</w:t>
      </w:r>
    </w:p>
    <w:p w14:paraId="47EAECBA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1A886D9F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Q7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How will Customer Care Representatives be trained to address member questions?</w:t>
      </w:r>
    </w:p>
    <w:p w14:paraId="7EE21C4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6BC61FCB" wp14:editId="2ABEB073">
            <wp:extent cx="304762" cy="304762"/>
            <wp:effectExtent l="0" t="0" r="635" b="635"/>
            <wp:docPr id="115792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A7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A broad Customer Care talk track will be provided for this situation. A reject message will state: PLEASE SUBMIT BRAND WITH </w:t>
      </w:r>
      <w:proofErr w:type="spell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DAW9</w:t>
      </w:r>
      <w:proofErr w:type="spell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</w:t>
      </w:r>
      <w:proofErr w:type="spell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NDC</w:t>
      </w:r>
      <w:proofErr w:type="spell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NOT COVERED, USE BRAND *** WITH </w:t>
      </w:r>
      <w:proofErr w:type="spell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DAW9</w:t>
      </w:r>
      <w:proofErr w:type="spell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. NO OVERRIDE ALLOWED.</w:t>
      </w:r>
    </w:p>
    <w:p w14:paraId="43633CB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7083EF6F" wp14:editId="1085765B">
            <wp:extent cx="304762" cy="304762"/>
            <wp:effectExtent l="0" t="0" r="635" b="635"/>
            <wp:docPr id="9520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Note: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If the rejection message mentions “non-formulary drug, contact prescriber”, this instruction can be ignored.</w:t>
      </w:r>
    </w:p>
    <w:p w14:paraId="511BF9A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3944C9E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Q8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What will we do when additional generic products enter the market?</w:t>
      </w:r>
    </w:p>
    <w:p w14:paraId="1F02FED6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A8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Changes in the market (</w:t>
      </w: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Example: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 New generic products are available, changes in the current pricing of the brand and/or first generic entry) will prompt a re-evaluation of our approach and change (if needed).</w:t>
      </w:r>
    </w:p>
    <w:p w14:paraId="50F70FA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311FCD6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Q9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 Will we provide educational materials </w:t>
      </w:r>
      <w:proofErr w:type="gram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to</w:t>
      </w:r>
      <w:proofErr w:type="gram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 clients to share with their members about why we typically encourage generics, but in this case the brand-name product is preferred?</w:t>
      </w:r>
    </w:p>
    <w:p w14:paraId="2C171B65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A9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No educational materials are planned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at this time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. The key message is around ensuring the lower-cost product is available. In some instances, the brand-name version of the drug is the lower-cost option. Network pharmacies should be able to educate the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member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on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this situation based on the communication they receive from our Network team. A standard formulary disruption letter will be sent as part of our standard quarterly formulary change notification process to alert members that their generic drug will no longer be covered.</w:t>
      </w:r>
    </w:p>
    <w:p w14:paraId="0D82AFA9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6999A22F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Q10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How will the claims price for brand-name medications be processed since we are treating them as Tier 1 for members?</w:t>
      </w:r>
    </w:p>
    <w:p w14:paraId="45EFE354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A10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Pricing is as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following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:  </w:t>
      </w:r>
    </w:p>
    <w:p w14:paraId="1EF0E9D4" w14:textId="77777777" w:rsidR="004C6A84" w:rsidRPr="004C6A84" w:rsidRDefault="004C6A84" w:rsidP="004C6A84">
      <w:pPr>
        <w:numPr>
          <w:ilvl w:val="0"/>
          <w:numId w:val="1"/>
        </w:numPr>
        <w:spacing w:before="120" w:after="120" w:line="276" w:lineRule="auto"/>
        <w:contextualSpacing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Member cost:  Priced as generic</w:t>
      </w:r>
    </w:p>
    <w:p w14:paraId="1B473B77" w14:textId="77777777" w:rsidR="004C6A84" w:rsidRPr="004C6A84" w:rsidRDefault="004C6A84" w:rsidP="004C6A84">
      <w:pPr>
        <w:numPr>
          <w:ilvl w:val="0"/>
          <w:numId w:val="1"/>
        </w:numPr>
        <w:spacing w:before="120" w:after="120" w:line="276" w:lineRule="auto"/>
        <w:contextualSpacing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Pharmacy cost:  Priced as brand</w:t>
      </w:r>
    </w:p>
    <w:p w14:paraId="16C108B8" w14:textId="77777777" w:rsidR="004C6A84" w:rsidRPr="004C6A84" w:rsidRDefault="004C6A84" w:rsidP="004C6A84">
      <w:pPr>
        <w:numPr>
          <w:ilvl w:val="0"/>
          <w:numId w:val="1"/>
        </w:numPr>
        <w:spacing w:before="120" w:after="120" w:line="276" w:lineRule="auto"/>
        <w:contextualSpacing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Client price:  Priced as brand. However, net of rebate/discount, the brand-name medication may be the lower net cost. This is based on any client variation on generic guarantees.</w:t>
      </w:r>
    </w:p>
    <w:p w14:paraId="06782F13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4BB2902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Q11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What if a client has applied a unique copay amount to the brand-name medication within the plan design, such as Evidence Based Plan Design (</w:t>
      </w: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EBPD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) or Preventive Drug List (PDL)?</w:t>
      </w:r>
    </w:p>
    <w:p w14:paraId="1C51982A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A11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If the client uses </w:t>
      </w:r>
      <w:proofErr w:type="spell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EBPD</w:t>
      </w:r>
      <w:proofErr w:type="spell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, the copay defined by </w:t>
      </w:r>
      <w:proofErr w:type="spell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EBPD</w:t>
      </w:r>
      <w:proofErr w:type="spell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will still apply to the brand. For clients that leverage a PDL, which includes the brand-name medication, the copay terms determined by the PDL set up will continue to apply.</w:t>
      </w:r>
    </w:p>
    <w:p w14:paraId="0147553C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 </w:t>
      </w:r>
    </w:p>
    <w:p w14:paraId="289D8756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Q12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Will we offer a version of the PDL that includes both Tier 1 brand-name drugs and generic products?</w:t>
      </w:r>
    </w:p>
    <w:p w14:paraId="3E5DABFC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A12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No, the PDL document will reflect the Tier 1 strategy only.</w:t>
      </w:r>
    </w:p>
    <w:p w14:paraId="2A9BBB4D" w14:textId="77777777" w:rsidR="004C6A84" w:rsidRPr="004C6A84" w:rsidRDefault="004C6A84" w:rsidP="004C6A84">
      <w:pPr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336D458D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Q13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Can you provide example copay comparisons of the Tier 1 strategy vs. generic copay?</w:t>
      </w:r>
    </w:p>
    <w:p w14:paraId="0211FE21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A13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See example.</w:t>
      </w:r>
    </w:p>
    <w:p w14:paraId="074EEB8B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Example: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 Member with flat copay: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  <w:gridCol w:w="5229"/>
        <w:gridCol w:w="5229"/>
      </w:tblGrid>
      <w:tr w:rsidR="004C6A84" w:rsidRPr="004C6A84" w14:paraId="09A63F7D" w14:textId="77777777" w:rsidTr="004C6A84">
        <w:trPr>
          <w:trHeight w:val="13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9AEE5C6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B1C931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Brand (+ cost difference if applicable)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080397D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Brand with </w:t>
            </w:r>
            <w:proofErr w:type="spellStart"/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DAW9</w:t>
            </w:r>
            <w:proofErr w:type="spellEnd"/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*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22A3E55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Generic</w:t>
            </w:r>
          </w:p>
        </w:tc>
      </w:tr>
      <w:tr w:rsidR="004C6A84" w:rsidRPr="004C6A84" w14:paraId="3FA4EFF0" w14:textId="77777777" w:rsidTr="005B165C">
        <w:trPr>
          <w:trHeight w:val="13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DE5482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Calibri" w:cs="Arial"/>
                <w:noProof/>
                <w:kern w:val="0"/>
                <w:sz w:val="22"/>
                <w14:ligatures w14:val="none"/>
              </w:rPr>
              <w:drawing>
                <wp:inline distT="0" distB="0" distL="0" distR="0" wp14:anchorId="6B1A2C71" wp14:editId="6627CB68">
                  <wp:extent cx="304762" cy="304762"/>
                  <wp:effectExtent l="0" t="0" r="635" b="635"/>
                  <wp:docPr id="178846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35881" name="Picture 142723588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A84">
              <w:rPr>
                <w:rFonts w:eastAsia="Calibri" w:cs="Arial"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Mitigare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15CDE9C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$50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D4E948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$25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D062422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$25</w:t>
            </w:r>
          </w:p>
        </w:tc>
      </w:tr>
    </w:tbl>
    <w:p w14:paraId="35959DE2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*Example only.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Actual member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cost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may vary depending on the specific generic and its price, but the cost will be similar.</w:t>
      </w:r>
    </w:p>
    <w:p w14:paraId="47D6BCD2" w14:textId="77777777" w:rsidR="004C6A84" w:rsidRPr="004C6A84" w:rsidRDefault="004C6A84" w:rsidP="004C6A84">
      <w:pPr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1416965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Example:  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Member with coinsurance/deductible: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9"/>
        <w:gridCol w:w="5229"/>
        <w:gridCol w:w="5229"/>
      </w:tblGrid>
      <w:tr w:rsidR="004C6A84" w:rsidRPr="004C6A84" w14:paraId="044F675D" w14:textId="77777777" w:rsidTr="004C6A84">
        <w:trPr>
          <w:trHeight w:val="13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192371C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590D28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Brand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05A8528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 xml:space="preserve">Brand with </w:t>
            </w:r>
            <w:proofErr w:type="spellStart"/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DAW9</w:t>
            </w:r>
            <w:proofErr w:type="spellEnd"/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*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BB33043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Generic</w:t>
            </w:r>
          </w:p>
        </w:tc>
      </w:tr>
      <w:tr w:rsidR="004C6A84" w:rsidRPr="004C6A84" w14:paraId="566BFD87" w14:textId="77777777" w:rsidTr="005B165C">
        <w:trPr>
          <w:trHeight w:val="135"/>
        </w:trPr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53D1946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Calibri" w:cs="Arial"/>
                <w:noProof/>
                <w:kern w:val="0"/>
                <w:sz w:val="22"/>
                <w14:ligatures w14:val="none"/>
              </w:rPr>
              <w:drawing>
                <wp:inline distT="0" distB="0" distL="0" distR="0" wp14:anchorId="1FB34567" wp14:editId="3B7A341E">
                  <wp:extent cx="304762" cy="304762"/>
                  <wp:effectExtent l="0" t="0" r="635" b="635"/>
                  <wp:docPr id="168235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35881" name="Picture 142723588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C6A84">
              <w:rPr>
                <w:rFonts w:eastAsia="Calibri" w:cs="Arial"/>
                <w:kern w:val="0"/>
                <w:sz w:val="22"/>
                <w14:ligatures w14:val="none"/>
              </w:rPr>
              <w:t xml:space="preserve"> </w:t>
            </w:r>
            <w:proofErr w:type="spellStart"/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Mitigare</w:t>
            </w:r>
            <w:proofErr w:type="spellEnd"/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3FF7F00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DAW dep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BB8047B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$167.52</w:t>
            </w:r>
          </w:p>
        </w:tc>
        <w:tc>
          <w:tcPr>
            <w:tcW w:w="1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D90C897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$168.41</w:t>
            </w:r>
          </w:p>
        </w:tc>
      </w:tr>
    </w:tbl>
    <w:p w14:paraId="07EA187C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*Example only.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 Actual member </w:t>
      </w:r>
      <w:proofErr w:type="gramStart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cost</w:t>
      </w:r>
      <w:proofErr w:type="gramEnd"/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 may vary depending on the specific generic and its price, but the cost will be similar.</w:t>
      </w:r>
    </w:p>
    <w:p w14:paraId="3ABA0ADD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0E3F9482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Q14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Can you provide an example of client cost based on the Tier 1 strategy?</w:t>
      </w:r>
    </w:p>
    <w:p w14:paraId="3830F8FF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A14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 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7"/>
        <w:gridCol w:w="7157"/>
        <w:gridCol w:w="6881"/>
      </w:tblGrid>
      <w:tr w:rsidR="004C6A84" w:rsidRPr="004C6A84" w14:paraId="6F378AA5" w14:textId="77777777" w:rsidTr="004C6A84">
        <w:trPr>
          <w:trHeight w:val="135"/>
        </w:trPr>
        <w:tc>
          <w:tcPr>
            <w:tcW w:w="1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9CD2A33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ED8BF04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Brand</w:t>
            </w:r>
          </w:p>
        </w:tc>
        <w:tc>
          <w:tcPr>
            <w:tcW w:w="1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C24EA26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b/>
                <w:bCs/>
                <w:kern w:val="0"/>
                <w:szCs w:val="24"/>
                <w14:ligatures w14:val="none"/>
              </w:rPr>
              <w:t>Generic</w:t>
            </w:r>
          </w:p>
        </w:tc>
      </w:tr>
      <w:tr w:rsidR="004C6A84" w:rsidRPr="004C6A84" w14:paraId="1937826E" w14:textId="77777777" w:rsidTr="005B165C">
        <w:trPr>
          <w:trHeight w:val="135"/>
        </w:trPr>
        <w:tc>
          <w:tcPr>
            <w:tcW w:w="1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0CEC9C9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Brand cost</w:t>
            </w:r>
          </w:p>
        </w:tc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82008F2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$100</w:t>
            </w:r>
          </w:p>
        </w:tc>
        <w:tc>
          <w:tcPr>
            <w:tcW w:w="1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041F74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$60</w:t>
            </w:r>
          </w:p>
        </w:tc>
      </w:tr>
      <w:tr w:rsidR="004C6A84" w:rsidRPr="004C6A84" w14:paraId="2080B518" w14:textId="77777777" w:rsidTr="005B165C">
        <w:trPr>
          <w:trHeight w:val="135"/>
        </w:trPr>
        <w:tc>
          <w:tcPr>
            <w:tcW w:w="1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936EE9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Member cost share</w:t>
            </w:r>
          </w:p>
        </w:tc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01295EC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$10</w:t>
            </w:r>
          </w:p>
        </w:tc>
        <w:tc>
          <w:tcPr>
            <w:tcW w:w="1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40E37D5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$10</w:t>
            </w:r>
          </w:p>
        </w:tc>
      </w:tr>
      <w:tr w:rsidR="004C6A84" w:rsidRPr="004C6A84" w14:paraId="017AD62A" w14:textId="77777777" w:rsidTr="005B165C">
        <w:trPr>
          <w:trHeight w:val="135"/>
        </w:trPr>
        <w:tc>
          <w:tcPr>
            <w:tcW w:w="1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4B01939" w14:textId="77777777" w:rsidR="004C6A84" w:rsidRPr="004C6A84" w:rsidRDefault="004C6A84" w:rsidP="004C6A84">
            <w:pPr>
              <w:spacing w:before="120" w:after="120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Plan net cost</w:t>
            </w:r>
          </w:p>
        </w:tc>
        <w:tc>
          <w:tcPr>
            <w:tcW w:w="1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2C46414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$30</w:t>
            </w:r>
          </w:p>
        </w:tc>
        <w:tc>
          <w:tcPr>
            <w:tcW w:w="16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3403695" w14:textId="77777777" w:rsidR="004C6A84" w:rsidRPr="004C6A84" w:rsidRDefault="004C6A84" w:rsidP="004C6A84">
            <w:pPr>
              <w:spacing w:before="120" w:after="120"/>
              <w:jc w:val="center"/>
              <w:rPr>
                <w:rFonts w:eastAsia="Times New Roman" w:cs="Times New Roman"/>
                <w:kern w:val="0"/>
                <w:szCs w:val="24"/>
                <w14:ligatures w14:val="none"/>
              </w:rPr>
            </w:pPr>
            <w:r w:rsidRPr="004C6A84">
              <w:rPr>
                <w:rFonts w:eastAsia="Times New Roman" w:cs="Times New Roman"/>
                <w:kern w:val="0"/>
                <w:szCs w:val="24"/>
                <w14:ligatures w14:val="none"/>
              </w:rPr>
              <w:t>$50</w:t>
            </w:r>
          </w:p>
        </w:tc>
      </w:tr>
    </w:tbl>
    <w:p w14:paraId="6076A94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**Example only. 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>Actual cost,  member cost share, and plan net cost may vary.</w:t>
      </w:r>
    </w:p>
    <w:p w14:paraId="4347EB98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39260860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Q15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:  What happens if the pharmacy submits the brand-name drug claim but uses a DAW other than DAW 9?</w:t>
      </w:r>
    </w:p>
    <w:p w14:paraId="031C22C5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Cs w:val="24"/>
          <w14:ligatures w14:val="none"/>
        </w:rPr>
      </w:pPr>
      <w:r w:rsidRPr="004C6A84">
        <w:rPr>
          <w:rFonts w:eastAsia="Calibri" w:cs="Arial"/>
          <w:noProof/>
          <w:kern w:val="0"/>
          <w:sz w:val="22"/>
          <w14:ligatures w14:val="none"/>
        </w:rPr>
        <w:drawing>
          <wp:inline distT="0" distB="0" distL="0" distR="0" wp14:anchorId="5A2E4979" wp14:editId="3CC59A59">
            <wp:extent cx="304762" cy="304762"/>
            <wp:effectExtent l="0" t="0" r="635" b="635"/>
            <wp:docPr id="46183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5881" name="Picture 14272358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alibri" w:cs="Arial"/>
          <w:kern w:val="0"/>
          <w:sz w:val="22"/>
          <w14:ligatures w14:val="none"/>
        </w:rPr>
        <w:t xml:space="preserve"> </w:t>
      </w:r>
      <w:proofErr w:type="spellStart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A15</w:t>
      </w:r>
      <w:proofErr w:type="spellEnd"/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 xml:space="preserve">:  </w:t>
      </w:r>
      <w:r w:rsidRPr="004C6A84">
        <w:rPr>
          <w:rFonts w:eastAsia="Times New Roman" w:cs="Times New Roman"/>
          <w:color w:val="000000"/>
          <w:kern w:val="0"/>
          <w:szCs w:val="24"/>
          <w14:ligatures w14:val="none"/>
        </w:rPr>
        <w:t xml:space="preserve">The Tier 1 Strategy will also apply if the pharmacy used any of the DAW codes. </w:t>
      </w:r>
    </w:p>
    <w:p w14:paraId="696E9583" w14:textId="77777777" w:rsidR="004C6A84" w:rsidRPr="004C6A84" w:rsidRDefault="004C6A84" w:rsidP="004C6A84">
      <w:pPr>
        <w:widowControl w:val="0"/>
        <w:ind w:left="720"/>
        <w:rPr>
          <w:rFonts w:eastAsia="CVS Health Sans" w:cs="Times New Roman"/>
          <w:kern w:val="0"/>
          <w:szCs w:val="24"/>
          <w14:ligatures w14:val="none"/>
        </w:rPr>
      </w:pPr>
      <w:r w:rsidRPr="004C6A84">
        <w:rPr>
          <w:rFonts w:eastAsia="CVS Health Sans" w:cs="Times New Roman"/>
          <w:noProof/>
          <w:spacing w:val="2"/>
          <w:w w:val="105"/>
          <w:kern w:val="0"/>
          <w:szCs w:val="24"/>
          <w14:ligatures w14:val="none"/>
        </w:rPr>
        <w:drawing>
          <wp:inline distT="0" distB="0" distL="0" distR="0" wp14:anchorId="03BF17AF" wp14:editId="54FC55C3">
            <wp:extent cx="238095" cy="209524"/>
            <wp:effectExtent l="0" t="0" r="0" b="635"/>
            <wp:docPr id="1902942585" name="Picture 1902942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42585" name="Picture 19029425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A84">
        <w:rPr>
          <w:rFonts w:eastAsia="CVS Health Sans" w:cs="Times New Roman"/>
          <w:spacing w:val="2"/>
          <w:w w:val="105"/>
          <w:kern w:val="0"/>
          <w:szCs w:val="24"/>
          <w14:ligatures w14:val="none"/>
        </w:rPr>
        <w:t xml:space="preserve"> T</w:t>
      </w:r>
      <w:r w:rsidRPr="004C6A84">
        <w:rPr>
          <w:rFonts w:eastAsia="CVS Health Sans" w:cs="Times New Roman"/>
          <w:spacing w:val="4"/>
          <w:w w:val="105"/>
          <w:kern w:val="0"/>
          <w:szCs w:val="24"/>
          <w14:ligatures w14:val="none"/>
        </w:rPr>
        <w:t>h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spacing w:val="-32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2"/>
          <w:w w:val="105"/>
          <w:kern w:val="0"/>
          <w:szCs w:val="24"/>
          <w14:ligatures w14:val="none"/>
        </w:rPr>
        <w:t>T</w:t>
      </w:r>
      <w:r w:rsidRPr="004C6A84">
        <w:rPr>
          <w:rFonts w:eastAsia="CVS Health Sans" w:cs="Times New Roman"/>
          <w:spacing w:val="-1"/>
          <w:w w:val="105"/>
          <w:kern w:val="0"/>
          <w:szCs w:val="24"/>
          <w14:ligatures w14:val="none"/>
        </w:rPr>
        <w:t>i</w:t>
      </w:r>
      <w:r w:rsidRPr="004C6A84">
        <w:rPr>
          <w:rFonts w:eastAsia="CVS Health Sans" w:cs="Times New Roman"/>
          <w:spacing w:val="-8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r</w:t>
      </w:r>
      <w:r w:rsidRPr="004C6A84">
        <w:rPr>
          <w:rFonts w:eastAsia="CVS Health Sans" w:cs="Times New Roman"/>
          <w:spacing w:val="-24"/>
          <w:w w:val="105"/>
          <w:kern w:val="0"/>
          <w:szCs w:val="24"/>
          <w14:ligatures w14:val="none"/>
        </w:rPr>
        <w:t xml:space="preserve"> 1 and Tier 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2</w:t>
      </w:r>
      <w:r w:rsidRPr="004C6A84">
        <w:rPr>
          <w:rFonts w:eastAsia="CVS Health Sans" w:cs="Times New Roman"/>
          <w:spacing w:val="-18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S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t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r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at</w:t>
      </w:r>
      <w:r w:rsidRPr="004C6A84">
        <w:rPr>
          <w:rFonts w:eastAsia="CVS Health Sans" w:cs="Times New Roman"/>
          <w:spacing w:val="-8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gy</w:t>
      </w:r>
      <w:r w:rsidRPr="004C6A84">
        <w:rPr>
          <w:rFonts w:eastAsia="CVS Health Sans" w:cs="Times New Roman"/>
          <w:spacing w:val="-24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r</w:t>
      </w:r>
      <w:r w:rsidRPr="004C6A84">
        <w:rPr>
          <w:rFonts w:eastAsia="CVS Health Sans" w:cs="Times New Roman"/>
          <w:spacing w:val="-8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q</w:t>
      </w:r>
      <w:r w:rsidRPr="004C6A84">
        <w:rPr>
          <w:rFonts w:eastAsia="CVS Health Sans" w:cs="Times New Roman"/>
          <w:spacing w:val="4"/>
          <w:w w:val="105"/>
          <w:kern w:val="0"/>
          <w:szCs w:val="24"/>
          <w14:ligatures w14:val="none"/>
        </w:rPr>
        <w:t>u</w:t>
      </w:r>
      <w:r w:rsidRPr="004C6A84">
        <w:rPr>
          <w:rFonts w:eastAsia="CVS Health Sans" w:cs="Times New Roman"/>
          <w:spacing w:val="-1"/>
          <w:w w:val="105"/>
          <w:kern w:val="0"/>
          <w:szCs w:val="24"/>
          <w14:ligatures w14:val="none"/>
        </w:rPr>
        <w:t>i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r</w:t>
      </w:r>
      <w:r w:rsidRPr="004C6A84">
        <w:rPr>
          <w:rFonts w:eastAsia="CVS Health Sans" w:cs="Times New Roman"/>
          <w:spacing w:val="-8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s</w:t>
      </w:r>
      <w:r w:rsidRPr="004C6A84">
        <w:rPr>
          <w:rFonts w:eastAsia="CVS Health Sans" w:cs="Times New Roman"/>
          <w:spacing w:val="-31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t</w:t>
      </w:r>
      <w:r w:rsidRPr="004C6A84">
        <w:rPr>
          <w:rFonts w:eastAsia="CVS Health Sans" w:cs="Times New Roman"/>
          <w:spacing w:val="4"/>
          <w:w w:val="105"/>
          <w:kern w:val="0"/>
          <w:szCs w:val="24"/>
          <w14:ligatures w14:val="none"/>
        </w:rPr>
        <w:t>h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e</w:t>
      </w:r>
      <w:r w:rsidRPr="004C6A84">
        <w:rPr>
          <w:rFonts w:eastAsia="CVS Health Sans" w:cs="Times New Roman"/>
          <w:spacing w:val="-31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p</w:t>
      </w:r>
      <w:r w:rsidRPr="004C6A84">
        <w:rPr>
          <w:rFonts w:eastAsia="CVS Health Sans" w:cs="Times New Roman"/>
          <w:spacing w:val="4"/>
          <w:w w:val="105"/>
          <w:kern w:val="0"/>
          <w:szCs w:val="24"/>
          <w14:ligatures w14:val="none"/>
        </w:rPr>
        <w:t>h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a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rm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a</w:t>
      </w:r>
      <w:r w:rsidRPr="004C6A84">
        <w:rPr>
          <w:rFonts w:eastAsia="CVS Health Sans" w:cs="Times New Roman"/>
          <w:spacing w:val="-6"/>
          <w:w w:val="105"/>
          <w:kern w:val="0"/>
          <w:szCs w:val="24"/>
          <w14:ligatures w14:val="none"/>
        </w:rPr>
        <w:t>c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y</w:t>
      </w:r>
      <w:r w:rsidRPr="004C6A84">
        <w:rPr>
          <w:rFonts w:eastAsia="CVS Health Sans" w:cs="Times New Roman"/>
          <w:spacing w:val="-26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t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o</w:t>
      </w:r>
      <w:r w:rsidRPr="004C6A84">
        <w:rPr>
          <w:rFonts w:eastAsia="CVS Health Sans" w:cs="Times New Roman"/>
          <w:spacing w:val="-22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-8"/>
          <w:w w:val="105"/>
          <w:kern w:val="0"/>
          <w:szCs w:val="24"/>
          <w14:ligatures w14:val="none"/>
        </w:rPr>
        <w:t>s</w:t>
      </w:r>
      <w:r w:rsidRPr="004C6A84">
        <w:rPr>
          <w:rFonts w:eastAsia="CVS Health Sans" w:cs="Times New Roman"/>
          <w:spacing w:val="4"/>
          <w:w w:val="105"/>
          <w:kern w:val="0"/>
          <w:szCs w:val="24"/>
          <w14:ligatures w14:val="none"/>
        </w:rPr>
        <w:t>u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b</w:t>
      </w:r>
      <w:r w:rsidRPr="004C6A84">
        <w:rPr>
          <w:rFonts w:eastAsia="CVS Health Sans" w:cs="Times New Roman"/>
          <w:spacing w:val="1"/>
          <w:w w:val="105"/>
          <w:kern w:val="0"/>
          <w:szCs w:val="24"/>
          <w14:ligatures w14:val="none"/>
        </w:rPr>
        <w:t>m</w:t>
      </w:r>
      <w:r w:rsidRPr="004C6A84">
        <w:rPr>
          <w:rFonts w:eastAsia="CVS Health Sans" w:cs="Times New Roman"/>
          <w:spacing w:val="-1"/>
          <w:w w:val="105"/>
          <w:kern w:val="0"/>
          <w:szCs w:val="24"/>
          <w14:ligatures w14:val="none"/>
        </w:rPr>
        <w:t>i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t</w:t>
      </w:r>
      <w:r w:rsidRPr="004C6A84">
        <w:rPr>
          <w:rFonts w:eastAsia="CVS Health Sans" w:cs="Times New Roman"/>
          <w:spacing w:val="-30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-7"/>
          <w:w w:val="105"/>
          <w:kern w:val="0"/>
          <w:szCs w:val="24"/>
          <w14:ligatures w14:val="none"/>
        </w:rPr>
        <w:t>D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AW</w:t>
      </w:r>
      <w:r w:rsidRPr="004C6A84">
        <w:rPr>
          <w:rFonts w:eastAsia="CVS Health Sans" w:cs="Times New Roman"/>
          <w:spacing w:val="-26"/>
          <w:w w:val="105"/>
          <w:kern w:val="0"/>
          <w:szCs w:val="24"/>
          <w14:ligatures w14:val="none"/>
        </w:rPr>
        <w:t xml:space="preserve"> </w:t>
      </w:r>
      <w:r w:rsidRPr="004C6A84">
        <w:rPr>
          <w:rFonts w:eastAsia="CVS Health Sans" w:cs="Times New Roman"/>
          <w:spacing w:val="2"/>
          <w:w w:val="105"/>
          <w:kern w:val="0"/>
          <w:szCs w:val="24"/>
          <w14:ligatures w14:val="none"/>
        </w:rPr>
        <w:t>9</w:t>
      </w:r>
      <w:r w:rsidRPr="004C6A84">
        <w:rPr>
          <w:rFonts w:eastAsia="CVS Health Sans" w:cs="Times New Roman"/>
          <w:w w:val="105"/>
          <w:kern w:val="0"/>
          <w:szCs w:val="24"/>
          <w14:ligatures w14:val="none"/>
        </w:rPr>
        <w:t>.</w:t>
      </w:r>
    </w:p>
    <w:p w14:paraId="526ABA67" w14:textId="77777777" w:rsidR="004C6A84" w:rsidRPr="004C6A84" w:rsidRDefault="004C6A84" w:rsidP="004C6A84">
      <w:pPr>
        <w:spacing w:before="120" w:after="120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</w:p>
    <w:p w14:paraId="637DDCE7" w14:textId="77777777" w:rsidR="004C6A84" w:rsidRPr="004C6A84" w:rsidRDefault="004C6A84" w:rsidP="004C6A84">
      <w:pPr>
        <w:spacing w:before="120" w:after="120"/>
        <w:jc w:val="right"/>
        <w:rPr>
          <w:rFonts w:eastAsia="Times New Roman" w:cs="Times New Roman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Cs w:val="24"/>
          <w14:ligatures w14:val="none"/>
        </w:rPr>
        <w:t> </w:t>
      </w:r>
      <w:bookmarkStart w:id="20" w:name="OLE_LINK20"/>
      <w:r w:rsidRPr="004C6A84">
        <w:rPr>
          <w:rFonts w:eastAsia="Times New Roman" w:cs="Times New Roman"/>
          <w:kern w:val="0"/>
          <w:szCs w:val="24"/>
          <w14:ligatures w14:val="none"/>
        </w:rPr>
        <w:fldChar w:fldCharType="begin"/>
      </w:r>
      <w:r w:rsidRPr="004C6A84">
        <w:rPr>
          <w:rFonts w:eastAsia="Times New Roman" w:cs="Times New Roman"/>
          <w:kern w:val="0"/>
          <w:szCs w:val="24"/>
          <w14:ligatures w14:val="none"/>
        </w:rPr>
        <w:instrText>HYPERLINK  \l "_top"</w:instrText>
      </w:r>
      <w:r w:rsidRPr="004C6A84">
        <w:rPr>
          <w:rFonts w:eastAsia="Times New Roman" w:cs="Times New Roman"/>
          <w:kern w:val="0"/>
          <w:szCs w:val="24"/>
          <w14:ligatures w14:val="none"/>
        </w:rPr>
      </w:r>
      <w:r w:rsidRPr="004C6A84">
        <w:rPr>
          <w:rFonts w:eastAsia="Times New Roman" w:cs="Times New Roman"/>
          <w:kern w:val="0"/>
          <w:szCs w:val="24"/>
          <w14:ligatures w14:val="none"/>
        </w:rPr>
        <w:fldChar w:fldCharType="separate"/>
      </w:r>
      <w:r w:rsidRPr="004C6A84">
        <w:rPr>
          <w:rFonts w:eastAsia="Times New Roman" w:cs="Times New Roman"/>
          <w:color w:val="0000FF"/>
          <w:kern w:val="0"/>
          <w:szCs w:val="24"/>
          <w:u w:val="single"/>
          <w14:ligatures w14:val="none"/>
        </w:rPr>
        <w:t>Top of the Document</w:t>
      </w:r>
      <w:r w:rsidRPr="004C6A84">
        <w:rPr>
          <w:rFonts w:eastAsia="Times New Roman" w:cs="Times New Roman"/>
          <w:kern w:val="0"/>
          <w:szCs w:val="24"/>
          <w14:ligatures w14:val="none"/>
        </w:rPr>
        <w:fldChar w:fldCharType="end"/>
      </w:r>
    </w:p>
    <w:bookmarkEnd w:id="20"/>
    <w:p w14:paraId="6E9081CD" w14:textId="77777777" w:rsidR="004C6A84" w:rsidRPr="004C6A84" w:rsidRDefault="004C6A84" w:rsidP="004C6A84">
      <w:pPr>
        <w:jc w:val="center"/>
        <w:rPr>
          <w:rFonts w:eastAsia="Times New Roman" w:cs="Times New Roman"/>
          <w:color w:val="000000"/>
          <w:kern w:val="0"/>
          <w:sz w:val="16"/>
          <w:szCs w:val="16"/>
          <w14:ligatures w14:val="none"/>
        </w:rPr>
      </w:pPr>
    </w:p>
    <w:p w14:paraId="38D0874A" w14:textId="77777777" w:rsidR="004C6A84" w:rsidRPr="004C6A84" w:rsidRDefault="004C6A84" w:rsidP="004C6A84">
      <w:pPr>
        <w:jc w:val="center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color w:val="000000"/>
          <w:kern w:val="0"/>
          <w:sz w:val="16"/>
          <w:szCs w:val="16"/>
          <w14:ligatures w14:val="none"/>
        </w:rPr>
        <w:t>Not to Be Reproduced or Disclosed to Others without Prior Written Approval</w:t>
      </w:r>
    </w:p>
    <w:p w14:paraId="32E2F86D" w14:textId="77777777" w:rsidR="004C6A84" w:rsidRPr="004C6A84" w:rsidRDefault="004C6A84" w:rsidP="004C6A84">
      <w:pPr>
        <w:jc w:val="center"/>
        <w:rPr>
          <w:rFonts w:eastAsia="Times New Roman" w:cs="Times New Roman"/>
          <w:color w:val="000000"/>
          <w:kern w:val="0"/>
          <w:sz w:val="27"/>
          <w:szCs w:val="27"/>
          <w14:ligatures w14:val="none"/>
        </w:rPr>
      </w:pPr>
      <w:r w:rsidRPr="004C6A84">
        <w:rPr>
          <w:rFonts w:eastAsia="Times New Roman" w:cs="Times New Roman"/>
          <w:b/>
          <w:bCs/>
          <w:color w:val="000000"/>
          <w:kern w:val="0"/>
          <w:sz w:val="16"/>
          <w:szCs w:val="16"/>
          <w14:ligatures w14:val="none"/>
        </w:rPr>
        <w:t>ELECTRONIC DATA = OFFICIAL VERSION / PAPER COPY = INFORMATIONAL ONLY</w:t>
      </w:r>
    </w:p>
    <w:p w14:paraId="0F749B25" w14:textId="77777777" w:rsidR="00EA26A9" w:rsidRDefault="00EA26A9"/>
    <w:sectPr w:rsidR="00EA26A9" w:rsidSect="004C6A84">
      <w:pgSz w:w="23811" w:h="16838" w:orient="landscape" w:code="8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3F64"/>
    <w:multiLevelType w:val="hybridMultilevel"/>
    <w:tmpl w:val="4766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56DB4"/>
    <w:multiLevelType w:val="hybridMultilevel"/>
    <w:tmpl w:val="B180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3ABD"/>
    <w:multiLevelType w:val="hybridMultilevel"/>
    <w:tmpl w:val="5B96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27ED"/>
    <w:multiLevelType w:val="hybridMultilevel"/>
    <w:tmpl w:val="F38C09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9003804">
    <w:abstractNumId w:val="1"/>
  </w:num>
  <w:num w:numId="2" w16cid:durableId="445776457">
    <w:abstractNumId w:val="3"/>
  </w:num>
  <w:num w:numId="3" w16cid:durableId="1552494216">
    <w:abstractNumId w:val="2"/>
  </w:num>
  <w:num w:numId="4" w16cid:durableId="1796828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84"/>
    <w:rsid w:val="00135BDB"/>
    <w:rsid w:val="001B401C"/>
    <w:rsid w:val="0035274B"/>
    <w:rsid w:val="004276FA"/>
    <w:rsid w:val="004C6A84"/>
    <w:rsid w:val="005B000E"/>
    <w:rsid w:val="006436E2"/>
    <w:rsid w:val="006C505C"/>
    <w:rsid w:val="00733DC3"/>
    <w:rsid w:val="007B3953"/>
    <w:rsid w:val="00A171EC"/>
    <w:rsid w:val="00AE3A1B"/>
    <w:rsid w:val="00B826DA"/>
    <w:rsid w:val="00C038D0"/>
    <w:rsid w:val="00E248A4"/>
    <w:rsid w:val="00E5241A"/>
    <w:rsid w:val="00E600D6"/>
    <w:rsid w:val="00EA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EAFA"/>
  <w15:chartTrackingRefBased/>
  <w15:docId w15:val="{A9069526-CA90-4B03-AEB5-7F12103E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A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A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A8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A8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A8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A8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A84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A84"/>
    <w:rPr>
      <w:rFonts w:asciiTheme="minorHAnsi" w:eastAsiaTheme="majorEastAsia" w:hAnsiTheme="minorHAnsi" w:cstheme="majorBidi"/>
      <w:color w:val="0F476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A84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A84"/>
    <w:rPr>
      <w:rFonts w:asciiTheme="minorHAnsi" w:eastAsiaTheme="majorEastAsia" w:hAnsiTheme="minorHAnsi" w:cstheme="majorBidi"/>
      <w:color w:val="595959" w:themeColor="text1" w:themeTint="A6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A84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A84"/>
    <w:rPr>
      <w:rFonts w:asciiTheme="minorHAnsi" w:eastAsiaTheme="majorEastAsia" w:hAnsiTheme="minorHAnsi" w:cstheme="majorBidi"/>
      <w:color w:val="272727" w:themeColor="text1" w:themeTint="D8"/>
      <w:sz w:val="24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C6A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A8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A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A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A84"/>
    <w:rPr>
      <w:rFonts w:ascii="Verdana" w:hAnsi="Verdana" w:cstheme="minorBidi"/>
      <w:i/>
      <w:iCs/>
      <w:color w:val="404040" w:themeColor="text1" w:themeTint="BF"/>
      <w:sz w:val="24"/>
      <w:szCs w:val="22"/>
    </w:rPr>
  </w:style>
  <w:style w:type="paragraph" w:styleId="ListParagraph">
    <w:name w:val="List Paragraph"/>
    <w:basedOn w:val="Normal"/>
    <w:uiPriority w:val="34"/>
    <w:qFormat/>
    <w:rsid w:val="004C6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A84"/>
    <w:rPr>
      <w:rFonts w:ascii="Verdana" w:hAnsi="Verdana" w:cstheme="minorBidi"/>
      <w:i/>
      <w:iCs/>
      <w:color w:val="0F4761" w:themeColor="accent1" w:themeShade="BF"/>
      <w:sz w:val="24"/>
      <w:szCs w:val="22"/>
    </w:rPr>
  </w:style>
  <w:style w:type="character" w:styleId="IntenseReference">
    <w:name w:val="Intense Reference"/>
    <w:basedOn w:val="DefaultParagraphFont"/>
    <w:uiPriority w:val="32"/>
    <w:qFormat/>
    <w:rsid w:val="004C6A84"/>
    <w:rPr>
      <w:b/>
      <w:bCs/>
      <w:smallCaps/>
      <w:color w:val="0F4761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4C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esource.cvshealth.com/nuxeo/thesourc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1</cp:revision>
  <dcterms:created xsi:type="dcterms:W3CDTF">2025-04-11T20:50:00Z</dcterms:created>
  <dcterms:modified xsi:type="dcterms:W3CDTF">2025-04-11T20:52:00Z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2025-04-11T20:52:54Z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33e61845-857c-4fb3-acd7-ed649ec667aa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