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77316" w14:textId="68E2FAC5" w:rsidR="00524CDD" w:rsidRPr="00C311D3" w:rsidRDefault="009A0F35" w:rsidP="00C311D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3"/>
      <w:bookmarkEnd w:id="0"/>
      <w:r>
        <w:rPr>
          <w:rFonts w:ascii="Verdana" w:hAnsi="Verdana"/>
          <w:color w:val="000000"/>
          <w:sz w:val="36"/>
          <w:szCs w:val="36"/>
        </w:rPr>
        <w:t>Override Index</w:t>
      </w:r>
    </w:p>
    <w:bookmarkEnd w:id="1"/>
    <w:p w14:paraId="4A535235" w14:textId="15DA3583" w:rsidR="00272E22" w:rsidRDefault="00C821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00753146" w:history="1">
        <w:r w:rsidR="00272E22" w:rsidRPr="00BD495A">
          <w:rPr>
            <w:rStyle w:val="Hyperlink"/>
            <w:rFonts w:ascii="Verdana" w:hAnsi="Verdana"/>
            <w:noProof/>
          </w:rPr>
          <w:t>Document Listing</w:t>
        </w:r>
      </w:hyperlink>
    </w:p>
    <w:p w14:paraId="7985897A" w14:textId="133669EE" w:rsidR="00272E22" w:rsidRDefault="00272E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753147" w:history="1">
        <w:r w:rsidRPr="00BD495A">
          <w:rPr>
            <w:rStyle w:val="Hyperlink"/>
            <w:rFonts w:ascii="Verdana" w:hAnsi="Verdana"/>
            <w:noProof/>
          </w:rPr>
          <w:t>Related Documents</w:t>
        </w:r>
      </w:hyperlink>
    </w:p>
    <w:p w14:paraId="5EF4A12D" w14:textId="12F7FF70" w:rsidR="001B1FBE" w:rsidRDefault="00C821ED" w:rsidP="001B1FBE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7475EC7A" w14:textId="2C4974EB" w:rsidR="00E30B3D" w:rsidRDefault="001B1FBE" w:rsidP="001B1FBE">
      <w:pPr>
        <w:rPr>
          <w:rFonts w:ascii="Verdana" w:hAnsi="Verdana"/>
        </w:rPr>
      </w:pPr>
      <w:r w:rsidRPr="001B1FBE">
        <w:rPr>
          <w:rFonts w:ascii="Verdana" w:hAnsi="Verdana"/>
          <w:b/>
          <w:bCs/>
        </w:rPr>
        <w:t>Description</w:t>
      </w:r>
      <w:bookmarkStart w:id="2" w:name="OLE_LINK14"/>
      <w:r w:rsidR="00694B74">
        <w:rPr>
          <w:rFonts w:ascii="Verdana" w:hAnsi="Verdana"/>
          <w:b/>
          <w:bCs/>
        </w:rPr>
        <w:t xml:space="preserve">: </w:t>
      </w:r>
      <w:r w:rsidR="00C22C29">
        <w:rPr>
          <w:rFonts w:ascii="Verdana" w:hAnsi="Verdana"/>
        </w:rPr>
        <w:t>Provides</w:t>
      </w:r>
      <w:r w:rsidR="009A0F35">
        <w:rPr>
          <w:rFonts w:ascii="Verdana" w:hAnsi="Verdana"/>
        </w:rPr>
        <w:t xml:space="preserve"> document titles, hyperlinks and the description for all documents that pertain to Overrides</w:t>
      </w:r>
      <w:r w:rsidR="00272E22">
        <w:rPr>
          <w:rFonts w:ascii="Verdana" w:hAnsi="Verdana"/>
        </w:rPr>
        <w:t>.</w:t>
      </w:r>
      <w:bookmarkEnd w:id="2"/>
    </w:p>
    <w:p w14:paraId="2A3E14CA" w14:textId="5657A742" w:rsidR="00806B9D" w:rsidRDefault="00806B9D" w:rsidP="00406DB5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8070C" w14:paraId="4B291B66" w14:textId="77777777" w:rsidTr="0038070C">
        <w:tc>
          <w:tcPr>
            <w:tcW w:w="5000" w:type="pct"/>
            <w:shd w:val="clear" w:color="auto" w:fill="C0C0C0"/>
          </w:tcPr>
          <w:p w14:paraId="2AB05E94" w14:textId="0480CA85" w:rsidR="00A97B7D" w:rsidRPr="0038070C" w:rsidRDefault="00272E22" w:rsidP="00272E2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Various_Work_Instructions"/>
            <w:bookmarkStart w:id="4" w:name="_Process"/>
            <w:bookmarkStart w:id="5" w:name="_Various_Work_Instructions1"/>
            <w:bookmarkStart w:id="6" w:name="_Various_Work_Instructions_1"/>
            <w:bookmarkStart w:id="7" w:name="_Toc100753146"/>
            <w:bookmarkEnd w:id="3"/>
            <w:bookmarkEnd w:id="4"/>
            <w:bookmarkEnd w:id="5"/>
            <w:bookmarkEnd w:id="6"/>
            <w:r>
              <w:rPr>
                <w:rFonts w:ascii="Verdana" w:hAnsi="Verdana"/>
                <w:i w:val="0"/>
                <w:iCs w:val="0"/>
              </w:rPr>
              <w:t>Document Listing</w:t>
            </w:r>
            <w:bookmarkEnd w:id="7"/>
          </w:p>
        </w:tc>
      </w:tr>
    </w:tbl>
    <w:p w14:paraId="7BE140A0" w14:textId="77777777" w:rsidR="00272E22" w:rsidRDefault="00671A28" w:rsidP="000825E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03241029" w14:textId="09076603" w:rsidR="000825E5" w:rsidRDefault="009A0F35" w:rsidP="000825E5">
      <w:pPr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Style w:val="TableGrid"/>
        <w:tblW w:w="4982" w:type="pct"/>
        <w:tblLook w:val="04A0" w:firstRow="1" w:lastRow="0" w:firstColumn="1" w:lastColumn="0" w:noHBand="0" w:noVBand="1"/>
      </w:tblPr>
      <w:tblGrid>
        <w:gridCol w:w="5059"/>
        <w:gridCol w:w="7844"/>
      </w:tblGrid>
      <w:tr w:rsidR="00521CC9" w:rsidRPr="00016FDA" w14:paraId="5F9E3F81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B85C08" w14:textId="77777777" w:rsidR="009A0F35" w:rsidRPr="00016FDA" w:rsidRDefault="009A0F35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016FDA">
              <w:rPr>
                <w:rFonts w:ascii="Verdana" w:hAnsi="Verdana"/>
                <w:b/>
                <w:bCs/>
              </w:rPr>
              <w:t>Title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3EA073" w14:textId="77777777" w:rsidR="009A0F35" w:rsidRPr="00016FDA" w:rsidRDefault="009A0F35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016FDA"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521CC9" w:rsidRPr="00016FDA" w14:paraId="15BFB366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F698" w14:textId="77777777" w:rsidR="009A0F35" w:rsidRPr="00016FDA" w:rsidRDefault="009A0F35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Plan Benefit Overrides (PBO) CCR</w:t>
            </w:r>
          </w:p>
          <w:p w14:paraId="54F72F00" w14:textId="20166C4C" w:rsidR="009A0F35" w:rsidRPr="00016FDA" w:rsidRDefault="009A0F35">
            <w:pPr>
              <w:spacing w:before="120" w:after="120"/>
              <w:rPr>
                <w:rFonts w:ascii="Verdana" w:hAnsi="Verdana"/>
              </w:rPr>
            </w:pPr>
            <w:hyperlink r:id="rId8" w:anchor="!/view?docid=f075340f-87ec-41b3-bdeb-16422d0fed0e" w:history="1">
              <w:r w:rsidRPr="00016FDA">
                <w:rPr>
                  <w:rStyle w:val="Hyperlink"/>
                  <w:rFonts w:ascii="Verdana" w:hAnsi="Verdana" w:cs="Helvetica"/>
                  <w:shd w:val="clear" w:color="auto" w:fill="FFFFFF"/>
                </w:rPr>
                <w:t>CMS-2-024671</w:t>
              </w:r>
            </w:hyperlink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1274" w14:textId="275838C9" w:rsidR="009A0F35" w:rsidRPr="00016FDA" w:rsidRDefault="00854A33">
            <w:pPr>
              <w:spacing w:before="120" w:after="120"/>
              <w:rPr>
                <w:rFonts w:ascii="Verdana" w:hAnsi="Verdana"/>
              </w:rPr>
            </w:pPr>
            <w:bookmarkStart w:id="8" w:name="OLE_LINK40"/>
            <w:r>
              <w:rPr>
                <w:rFonts w:ascii="Verdana" w:hAnsi="Verdana"/>
                <w:color w:val="000000"/>
              </w:rPr>
              <w:t>Instructions for handling override requests. A Plan Benefit Override (PBO) bypasses the general plan design limitations by permitting a claim to pay and allowing a covered medication to be filled.</w:t>
            </w:r>
            <w:bookmarkEnd w:id="8"/>
          </w:p>
        </w:tc>
      </w:tr>
      <w:tr w:rsidR="00521CC9" w:rsidRPr="00016FDA" w14:paraId="639F29F9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E51" w14:textId="77777777" w:rsidR="009A0F35" w:rsidRPr="00016FDA" w:rsidRDefault="009A0F35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Plan Summary Screen Field Descriptions (Accumulations, Override and Specialty)</w:t>
            </w:r>
          </w:p>
          <w:p w14:paraId="76521FED" w14:textId="1152A0B8" w:rsidR="009A0F35" w:rsidRPr="00016FDA" w:rsidRDefault="009A0F35">
            <w:pPr>
              <w:spacing w:before="120" w:after="120"/>
              <w:rPr>
                <w:rFonts w:ascii="Verdana" w:hAnsi="Verdana"/>
              </w:rPr>
            </w:pPr>
            <w:hyperlink r:id="rId9" w:anchor="!/view?docid=d339dc13-3fb0-4611-a7c2-78a417ba79eb" w:history="1">
              <w:r w:rsidRPr="00016FDA">
                <w:rPr>
                  <w:rStyle w:val="Hyperlink"/>
                  <w:rFonts w:ascii="Verdana" w:hAnsi="Verdana" w:cs="Helvetica"/>
                  <w:shd w:val="clear" w:color="auto" w:fill="FFFFFF"/>
                </w:rPr>
                <w:t>CMS-PCP1-040585</w:t>
              </w:r>
            </w:hyperlink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7F4A" w14:textId="12CF3ECD" w:rsidR="009A0F35" w:rsidRPr="00016FDA" w:rsidRDefault="009A0F35">
            <w:pPr>
              <w:spacing w:before="120" w:after="120"/>
              <w:rPr>
                <w:rFonts w:ascii="Verdana" w:hAnsi="Verdana"/>
              </w:rPr>
            </w:pPr>
            <w:r w:rsidRPr="00016FDA">
              <w:rPr>
                <w:rFonts w:ascii="Verdana" w:hAnsi="Verdana" w:cs="Helvetica"/>
                <w:shd w:val="clear" w:color="auto" w:fill="FFFFFF"/>
              </w:rPr>
              <w:t xml:space="preserve">This document provides field descriptions and information related to the Plan Summary, Accumulations, Specialty and Override Summary screens for </w:t>
            </w:r>
            <w:proofErr w:type="spellStart"/>
            <w:r w:rsidRPr="00016FDA">
              <w:rPr>
                <w:rFonts w:ascii="Verdana" w:hAnsi="Verdana" w:cs="Helvetica"/>
                <w:shd w:val="clear" w:color="auto" w:fill="FFFFFF"/>
              </w:rPr>
              <w:t>RxClaim</w:t>
            </w:r>
            <w:proofErr w:type="spellEnd"/>
            <w:r w:rsidRPr="00016FDA">
              <w:rPr>
                <w:rFonts w:ascii="Verdana" w:hAnsi="Verdana" w:cs="Helvetica"/>
                <w:shd w:val="clear" w:color="auto" w:fill="FFFFFF"/>
              </w:rPr>
              <w:t xml:space="preserve"> members.</w:t>
            </w:r>
          </w:p>
        </w:tc>
      </w:tr>
      <w:tr w:rsidR="00521CC9" w:rsidRPr="00016FDA" w14:paraId="49D8649F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0A2B" w14:textId="29EC65CC" w:rsidR="009A0F35" w:rsidRPr="00016FDA" w:rsidRDefault="009A0F35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 xml:space="preserve">Override Reason Codes - Compass vs. </w:t>
            </w:r>
            <w:proofErr w:type="spellStart"/>
            <w:r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PeopleSafe</w:t>
            </w:r>
            <w:proofErr w:type="spellEnd"/>
            <w:r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 xml:space="preserve"> Differences</w:t>
            </w:r>
          </w:p>
          <w:p w14:paraId="20EF7C39" w14:textId="6D0A0A5D" w:rsidR="009A0F35" w:rsidRPr="00016FDA" w:rsidRDefault="009A0F35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hyperlink r:id="rId10" w:anchor="!/view?docid=a316f4c4-c3a0-441d-a582-a3d108dedf8c" w:history="1">
              <w:r w:rsidRPr="00016FDA">
                <w:rPr>
                  <w:rStyle w:val="Hyperlink"/>
                  <w:rFonts w:ascii="Verdana" w:hAnsi="Verdana" w:cs="Helvetica"/>
                  <w:shd w:val="clear" w:color="auto" w:fill="FFFFFF"/>
                </w:rPr>
                <w:t>TSRC-PROD-044060</w:t>
              </w:r>
            </w:hyperlink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5952" w14:textId="524DDB8B" w:rsidR="009A0F35" w:rsidRPr="00016FDA" w:rsidRDefault="00157554">
            <w:pPr>
              <w:spacing w:before="120" w:after="120"/>
              <w:rPr>
                <w:rFonts w:ascii="Verdana" w:hAnsi="Verdana" w:cs="Helvetica"/>
                <w:shd w:val="clear" w:color="auto" w:fill="FFFFFF"/>
              </w:rPr>
            </w:pPr>
            <w:r>
              <w:rPr>
                <w:rFonts w:ascii="Verdana" w:hAnsi="Verdana"/>
                <w:color w:val="000000"/>
              </w:rPr>
              <w:t>T</w:t>
            </w:r>
            <w:r w:rsidR="001D0A44">
              <w:rPr>
                <w:rFonts w:ascii="Verdana" w:hAnsi="Verdana"/>
                <w:color w:val="000000"/>
              </w:rPr>
              <w:t>his document provides Reason Codes, as well as the </w:t>
            </w:r>
            <w:proofErr w:type="spellStart"/>
            <w:r w:rsidR="001D0A44">
              <w:rPr>
                <w:rFonts w:ascii="Verdana" w:hAnsi="Verdana"/>
                <w:color w:val="000000"/>
              </w:rPr>
              <w:t>PeopleSafe</w:t>
            </w:r>
            <w:proofErr w:type="spellEnd"/>
            <w:r w:rsidR="001D0A44">
              <w:rPr>
                <w:rFonts w:ascii="Verdana" w:hAnsi="Verdana"/>
                <w:color w:val="000000"/>
              </w:rPr>
              <w:t> and Compass descriptions for placing overrides.</w:t>
            </w:r>
          </w:p>
        </w:tc>
      </w:tr>
      <w:tr w:rsidR="00521CC9" w:rsidRPr="00016FDA" w14:paraId="1BEB3F44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9EF7" w14:textId="77777777" w:rsidR="009A0F35" w:rsidRPr="00016FDA" w:rsidRDefault="009A0F35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PBO Access Request Form</w:t>
            </w:r>
          </w:p>
          <w:p w14:paraId="7AD74D3E" w14:textId="353C8806" w:rsidR="009A0F35" w:rsidRPr="00016FDA" w:rsidRDefault="009A0F35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hyperlink r:id="rId11" w:anchor="!/view?docid=4247bf5b-112c-4531-adfe-f2ebf43145ae" w:history="1">
              <w:r w:rsidRPr="00016FDA">
                <w:rPr>
                  <w:rStyle w:val="Hyperlink"/>
                  <w:rFonts w:ascii="Verdana" w:hAnsi="Verdana" w:cs="Helvetica"/>
                  <w:shd w:val="clear" w:color="auto" w:fill="FFFFFF"/>
                </w:rPr>
                <w:t>CMS-PRD1-071471</w:t>
              </w:r>
            </w:hyperlink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604F" w14:textId="77777777" w:rsidR="0042627A" w:rsidRPr="00016FDA" w:rsidRDefault="0042627A" w:rsidP="0042627A">
            <w:pPr>
              <w:pStyle w:val="NormalWeb"/>
              <w:shd w:val="clear" w:color="auto" w:fill="FFFFFF"/>
              <w:rPr>
                <w:rFonts w:ascii="Verdana" w:hAnsi="Verdana" w:cs="Helvetica"/>
              </w:rPr>
            </w:pPr>
            <w:r w:rsidRPr="00016FDA">
              <w:rPr>
                <w:rFonts w:ascii="Verdana" w:hAnsi="Verdana" w:cs="Helvetica"/>
              </w:rPr>
              <w:t xml:space="preserve">The PBO Sign Off Form is required for any users who will be granted access to enter plan benefit overrides within </w:t>
            </w:r>
            <w:proofErr w:type="spellStart"/>
            <w:r w:rsidRPr="00016FDA">
              <w:rPr>
                <w:rFonts w:ascii="Verdana" w:hAnsi="Verdana" w:cs="Helvetica"/>
              </w:rPr>
              <w:t>PeopleSafe</w:t>
            </w:r>
            <w:proofErr w:type="spellEnd"/>
            <w:r w:rsidRPr="00016FDA">
              <w:rPr>
                <w:rFonts w:ascii="Verdana" w:hAnsi="Verdana" w:cs="Helvetica"/>
              </w:rPr>
              <w:t>.</w:t>
            </w:r>
          </w:p>
          <w:p w14:paraId="30BB48F9" w14:textId="77777777" w:rsidR="009A0F35" w:rsidRPr="00016FDA" w:rsidRDefault="009A0F35">
            <w:pPr>
              <w:spacing w:before="120" w:after="120"/>
              <w:rPr>
                <w:rFonts w:ascii="Verdana" w:hAnsi="Verdana" w:cs="Helvetica"/>
                <w:shd w:val="clear" w:color="auto" w:fill="FFFFFF"/>
              </w:rPr>
            </w:pPr>
          </w:p>
        </w:tc>
      </w:tr>
      <w:tr w:rsidR="00521CC9" w:rsidRPr="00016FDA" w14:paraId="27271C6F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5101" w14:textId="77777777" w:rsidR="0088308B" w:rsidRPr="0088308B" w:rsidRDefault="0088308B" w:rsidP="0088308B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88308B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Member Initiated Prior Use Exemption (MIPUE) Process for Formulary Exclusions</w:t>
            </w:r>
          </w:p>
          <w:p w14:paraId="631C418B" w14:textId="6C5EB1CD" w:rsidR="0042627A" w:rsidRPr="00016FDA" w:rsidRDefault="0042627A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hyperlink r:id="rId12" w:anchor="!/view?docid=d18776b6-c98d-44aa-9872-16be0b7a5d28" w:history="1">
              <w:r w:rsidRPr="00016FDA">
                <w:rPr>
                  <w:rStyle w:val="Hyperlink"/>
                  <w:rFonts w:ascii="Verdana" w:hAnsi="Verdana" w:cs="Helvetica"/>
                  <w:shd w:val="clear" w:color="auto" w:fill="FFFFFF"/>
                </w:rPr>
                <w:t>TSRC-PROD-031682</w:t>
              </w:r>
            </w:hyperlink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6B7B" w14:textId="1152BFD3" w:rsidR="0042627A" w:rsidRPr="00016FDA" w:rsidRDefault="00FC6662" w:rsidP="0042627A">
            <w:pPr>
              <w:pStyle w:val="NormalWeb"/>
              <w:shd w:val="clear" w:color="auto" w:fill="FFFFFF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42627A" w:rsidRPr="00016FDA">
              <w:rPr>
                <w:rFonts w:ascii="Verdana" w:hAnsi="Verdana"/>
              </w:rPr>
              <w:t>rocedures and information for clients implementing the Prior Use Exception process for formulary exclusions.</w:t>
            </w:r>
          </w:p>
        </w:tc>
      </w:tr>
      <w:tr w:rsidR="0042627A" w:rsidRPr="00016FDA" w14:paraId="0917AB9B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A408" w14:textId="36646686" w:rsidR="0042627A" w:rsidRPr="00016FDA" w:rsidRDefault="008070F0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PeopleSafe</w:t>
            </w:r>
            <w:proofErr w:type="spellEnd"/>
            <w:r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 xml:space="preserve"> - </w:t>
            </w:r>
            <w:r w:rsidR="0042627A"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Pharmacy or Prescriber Lock In (Commercial and Medicaid)</w:t>
            </w:r>
          </w:p>
          <w:p w14:paraId="6AFF76E0" w14:textId="07D7E682" w:rsidR="0042627A" w:rsidRPr="00016FDA" w:rsidRDefault="0042627A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hyperlink r:id="rId13" w:anchor="!/view?docid=01616463-5a9d-415c-824d-9d8878d817bd" w:history="1">
              <w:r w:rsidRPr="00016FDA">
                <w:rPr>
                  <w:rStyle w:val="Hyperlink"/>
                  <w:rFonts w:ascii="Verdana" w:hAnsi="Verdana" w:cs="Helvetica"/>
                  <w:shd w:val="clear" w:color="auto" w:fill="FFFFFF"/>
                </w:rPr>
                <w:t>TSRC-PROD-014281</w:t>
              </w:r>
            </w:hyperlink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610A" w14:textId="3F4450D1" w:rsidR="0042627A" w:rsidRPr="00016FDA" w:rsidRDefault="008070F0" w:rsidP="0042627A">
            <w:pPr>
              <w:pStyle w:val="NormalWeb"/>
              <w:shd w:val="clear" w:color="auto" w:fill="FFFFFF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Information for a medication rejection when a pharmacy is processing the claim that is not part of the Restricted Recipient Network or if there is a Member Level Pharmacy Exclusion Override for the specific drug.</w:t>
            </w:r>
          </w:p>
        </w:tc>
      </w:tr>
      <w:tr w:rsidR="0042627A" w:rsidRPr="00016FDA" w14:paraId="4DA74E07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2203" w14:textId="77777777" w:rsidR="0042627A" w:rsidRPr="00016FDA" w:rsidRDefault="00521CC9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Member Low or Out of Medication</w:t>
            </w:r>
          </w:p>
          <w:p w14:paraId="5CCD7A53" w14:textId="00B2C566" w:rsidR="00521CC9" w:rsidRPr="00016FDA" w:rsidRDefault="00521CC9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hyperlink r:id="rId14" w:anchor="!/view?docid=3b7dbf62-c6e3-494d-86af-4a5ff49a52af" w:history="1">
              <w:r w:rsidRPr="00016FDA">
                <w:rPr>
                  <w:rStyle w:val="Hyperlink"/>
                  <w:rFonts w:ascii="Verdana" w:hAnsi="Verdana" w:cs="Helvetica"/>
                  <w:shd w:val="clear" w:color="auto" w:fill="FFFFFF"/>
                </w:rPr>
                <w:t>TSRC-PROD-046109</w:t>
              </w:r>
            </w:hyperlink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B039" w14:textId="54C91A2F" w:rsidR="0042627A" w:rsidRPr="00016FDA" w:rsidRDefault="0052151F" w:rsidP="0042627A">
            <w:pPr>
              <w:pStyle w:val="NormalWeb"/>
              <w:shd w:val="clear" w:color="auto" w:fill="FFFFFF"/>
              <w:rPr>
                <w:rFonts w:ascii="Verdana" w:hAnsi="Verdana" w:cs="Helvetica"/>
                <w:shd w:val="clear" w:color="auto" w:fill="FFFFFF"/>
              </w:rPr>
            </w:pPr>
            <w:r>
              <w:rPr>
                <w:rFonts w:ascii="Verdana" w:hAnsi="Verdana"/>
              </w:rPr>
              <w:t>P</w:t>
            </w:r>
            <w:r w:rsidR="00521CC9" w:rsidRPr="00016FDA">
              <w:rPr>
                <w:rFonts w:ascii="Verdana" w:hAnsi="Verdana"/>
              </w:rPr>
              <w:t>rovides several opportunities to offer a member when they are low or out of medication. </w:t>
            </w:r>
          </w:p>
        </w:tc>
      </w:tr>
      <w:tr w:rsidR="00521CC9" w:rsidRPr="00016FDA" w14:paraId="5E7EFC8D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8FD0" w14:textId="77777777" w:rsidR="00521CC9" w:rsidRPr="00016FDA" w:rsidRDefault="00521CC9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Topical Drug Dose Reject 88 Max is XXX in 30 Day Period</w:t>
            </w:r>
          </w:p>
          <w:p w14:paraId="2A854F50" w14:textId="654B880F" w:rsidR="00521CC9" w:rsidRPr="00016FDA" w:rsidRDefault="00521CC9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hyperlink r:id="rId15" w:anchor="!/view?docid=8939f3bb-9dff-48d1-9a42-6912a9e3d3c5" w:history="1">
              <w:r w:rsidRPr="00016FDA">
                <w:rPr>
                  <w:rStyle w:val="Hyperlink"/>
                  <w:rFonts w:ascii="Verdana" w:hAnsi="Verdana" w:cs="Helvetica"/>
                  <w:shd w:val="clear" w:color="auto" w:fill="FFFFFF"/>
                </w:rPr>
                <w:t>TSRC-PROD-010698</w:t>
              </w:r>
            </w:hyperlink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72BF" w14:textId="41FE60F4" w:rsidR="00521CC9" w:rsidRPr="00016FDA" w:rsidRDefault="0052151F" w:rsidP="0042627A">
            <w:pPr>
              <w:pStyle w:val="NormalWeb"/>
              <w:shd w:val="clear" w:color="auto" w:fill="FFFFFF"/>
              <w:rPr>
                <w:rFonts w:ascii="Verdana" w:hAnsi="Verdana"/>
              </w:rPr>
            </w:pPr>
            <w:r>
              <w:rPr>
                <w:rFonts w:ascii="Verdana" w:hAnsi="Verdana" w:cs="Helvetica"/>
                <w:shd w:val="clear" w:color="auto" w:fill="FFFFFF"/>
              </w:rPr>
              <w:t>I</w:t>
            </w:r>
            <w:r w:rsidR="00521CC9" w:rsidRPr="00016FDA">
              <w:rPr>
                <w:rFonts w:ascii="Verdana" w:hAnsi="Verdana" w:cs="Helvetica"/>
                <w:shd w:val="clear" w:color="auto" w:fill="FFFFFF"/>
              </w:rPr>
              <w:t>nstructions to process a Reject 88 Max is XXX in a 30-day period. The Topical Drug Dose Edit is enabled in our system for all clients (excluding Medicare Part D). This edit applies a maximum daily dosage limit to select topical medications. It is a ‘hard reject,’ meaning that no override can be created for the member unless the client specifies otherwise.</w:t>
            </w:r>
          </w:p>
        </w:tc>
      </w:tr>
      <w:tr w:rsidR="00521CC9" w:rsidRPr="00016FDA" w14:paraId="625BC382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8DBA" w14:textId="77777777" w:rsidR="00521CC9" w:rsidRPr="00016FDA" w:rsidRDefault="00521CC9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Inactive NDC</w:t>
            </w:r>
          </w:p>
          <w:bookmarkStart w:id="9" w:name="OLE_LINK1"/>
          <w:p w14:paraId="6455C21F" w14:textId="7407EE19" w:rsidR="00521CC9" w:rsidRPr="00016FDA" w:rsidRDefault="00521CC9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016FDA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begin"/>
            </w:r>
            <w:r w:rsidR="000A6116">
              <w:rPr>
                <w:rFonts w:ascii="Verdana" w:hAnsi="Verdana" w:cs="Helvetica"/>
                <w:color w:val="000000"/>
                <w:shd w:val="clear" w:color="auto" w:fill="FFFFFF"/>
              </w:rPr>
              <w:instrText>HYPERLINK "https://thesource.cvshealth.com/nuxeo/thesource/" \l "!/view?docid=e8ae12f9-7004-49d0-b6c0-a6c2151a0993"</w:instrText>
            </w:r>
            <w:r w:rsidRPr="00016FDA">
              <w:rPr>
                <w:rFonts w:ascii="Verdana" w:hAnsi="Verdana" w:cs="Helvetica"/>
                <w:color w:val="000000"/>
                <w:shd w:val="clear" w:color="auto" w:fill="FFFFFF"/>
              </w:rPr>
            </w:r>
            <w:r w:rsidRPr="00016FDA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separate"/>
            </w:r>
            <w:r w:rsidRPr="00016FDA">
              <w:rPr>
                <w:rStyle w:val="Hyperlink"/>
                <w:rFonts w:ascii="Verdana" w:hAnsi="Verdana" w:cs="Helvetica"/>
                <w:shd w:val="clear" w:color="auto" w:fill="FFFFFF"/>
              </w:rPr>
              <w:t>CMS-PCP1-022377</w:t>
            </w:r>
            <w:bookmarkEnd w:id="9"/>
            <w:r w:rsidRPr="00016FDA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10A1" w14:textId="56DA4F59" w:rsidR="00521CC9" w:rsidRPr="00016FDA" w:rsidRDefault="00EB7B36" w:rsidP="0042627A">
            <w:pPr>
              <w:pStyle w:val="NormalWeb"/>
              <w:shd w:val="clear" w:color="auto" w:fill="FFFFFF"/>
              <w:rPr>
                <w:rFonts w:ascii="Verdana" w:hAnsi="Verdana" w:cs="Helvetica"/>
                <w:shd w:val="clear" w:color="auto" w:fill="FFFFFF"/>
              </w:rPr>
            </w:pPr>
            <w:r>
              <w:rPr>
                <w:rFonts w:ascii="Verdana" w:hAnsi="Verdana" w:cs="Helvetica"/>
                <w:shd w:val="clear" w:color="auto" w:fill="FFFFFF"/>
              </w:rPr>
              <w:t>How</w:t>
            </w:r>
            <w:r w:rsidR="00521CC9" w:rsidRPr="00016FDA">
              <w:rPr>
                <w:rFonts w:ascii="Verdana" w:hAnsi="Verdana" w:cs="Helvetica"/>
                <w:shd w:val="clear" w:color="auto" w:fill="FFFFFF"/>
              </w:rPr>
              <w:t xml:space="preserve"> to ensure that our Mail Order pharmacies </w:t>
            </w:r>
            <w:proofErr w:type="gramStart"/>
            <w:r w:rsidR="00521CC9" w:rsidRPr="00016FDA">
              <w:rPr>
                <w:rFonts w:ascii="Verdana" w:hAnsi="Verdana" w:cs="Helvetica"/>
                <w:shd w:val="clear" w:color="auto" w:fill="FFFFFF"/>
              </w:rPr>
              <w:t>are in compliance with</w:t>
            </w:r>
            <w:proofErr w:type="gramEnd"/>
            <w:r w:rsidR="00521CC9" w:rsidRPr="00016FDA">
              <w:rPr>
                <w:rFonts w:ascii="Verdana" w:hAnsi="Verdana" w:cs="Helvetica"/>
                <w:shd w:val="clear" w:color="auto" w:fill="FFFFFF"/>
              </w:rPr>
              <w:t xml:space="preserve"> states that do not allow the dispensing of inactive NDCs under their state-sponsored plans, clients have requested that a warning and/or a reject message be built for retail / POS claims to notify the retail pharmacies that they are dispensing an inactive NDC.</w:t>
            </w:r>
          </w:p>
        </w:tc>
      </w:tr>
      <w:tr w:rsidR="00521CC9" w:rsidRPr="00016FDA" w14:paraId="458706E6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DBE0" w14:textId="3F3B50D1" w:rsidR="00521CC9" w:rsidRPr="00016FDA" w:rsidRDefault="002C213A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PeopleSafe</w:t>
            </w:r>
            <w:proofErr w:type="spellEnd"/>
            <w:r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 xml:space="preserve"> – </w:t>
            </w:r>
            <w:r w:rsidR="00521CC9"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Expiring Prior Authorization (PA) Opportunity</w:t>
            </w:r>
            <w:r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PeopleSafe</w:t>
            </w:r>
            <w:proofErr w:type="spellEnd"/>
          </w:p>
          <w:p w14:paraId="0166CF17" w14:textId="722C7210" w:rsidR="00521CC9" w:rsidRPr="00016FDA" w:rsidRDefault="00521CC9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hyperlink r:id="rId16" w:anchor="!/view?docid=95fb1de7-7c74-474a-bba3-7e9897093a90" w:history="1">
              <w:r w:rsidRPr="00016FDA">
                <w:rPr>
                  <w:rStyle w:val="Hyperlink"/>
                  <w:rFonts w:ascii="Verdana" w:hAnsi="Verdana" w:cs="Helvetica"/>
                  <w:shd w:val="clear" w:color="auto" w:fill="FFFFFF"/>
                </w:rPr>
                <w:t>CMS-PCP1-017373</w:t>
              </w:r>
            </w:hyperlink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4E7D" w14:textId="1022F9F4" w:rsidR="00521CC9" w:rsidRPr="00016FDA" w:rsidRDefault="00C22C29" w:rsidP="0042627A">
            <w:pPr>
              <w:pStyle w:val="NormalWeb"/>
              <w:shd w:val="clear" w:color="auto" w:fill="FFFFFF"/>
              <w:rPr>
                <w:rFonts w:ascii="Verdana" w:hAnsi="Verdana" w:cs="Helvetica"/>
                <w:shd w:val="clear" w:color="auto" w:fill="FFFFFF"/>
              </w:rPr>
            </w:pPr>
            <w:r>
              <w:rPr>
                <w:rFonts w:ascii="Verdana" w:hAnsi="Verdana"/>
              </w:rPr>
              <w:t>P</w:t>
            </w:r>
            <w:r w:rsidR="00521CC9" w:rsidRPr="00016FDA">
              <w:rPr>
                <w:rFonts w:ascii="Verdana" w:hAnsi="Verdana"/>
              </w:rPr>
              <w:t>rovides the process for accessing, reviewing, and advising a member of an expiring Prior Authorization event.</w:t>
            </w:r>
          </w:p>
        </w:tc>
      </w:tr>
      <w:tr w:rsidR="00521CC9" w:rsidRPr="00016FDA" w14:paraId="79A1D215" w14:textId="77777777" w:rsidTr="00694B74"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6374" w14:textId="77777777" w:rsidR="00521CC9" w:rsidRPr="00016FDA" w:rsidRDefault="00521CC9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016FD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Standard Formulary Changes FAQ</w:t>
            </w:r>
          </w:p>
          <w:bookmarkStart w:id="10" w:name="OLE_LINK2"/>
          <w:p w14:paraId="391340C2" w14:textId="381326A7" w:rsidR="00521CC9" w:rsidRPr="00016FDA" w:rsidRDefault="00FD217F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016FDA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begin"/>
            </w:r>
            <w:r w:rsidR="000A6116">
              <w:rPr>
                <w:rFonts w:ascii="Verdana" w:hAnsi="Verdana" w:cs="Helvetica"/>
                <w:color w:val="000000"/>
                <w:shd w:val="clear" w:color="auto" w:fill="FFFFFF"/>
              </w:rPr>
              <w:instrText>HYPERLINK "https://thesource.cvshealth.com/nuxeo/thesource/" \l "!/view?docid=0afb51c4-054b-4d6e-b989-5aeefdb37145"</w:instrText>
            </w:r>
            <w:r w:rsidRPr="00016FDA">
              <w:rPr>
                <w:rFonts w:ascii="Verdana" w:hAnsi="Verdana" w:cs="Helvetica"/>
                <w:color w:val="000000"/>
                <w:shd w:val="clear" w:color="auto" w:fill="FFFFFF"/>
              </w:rPr>
            </w:r>
            <w:r w:rsidRPr="00016FDA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separate"/>
            </w:r>
            <w:r w:rsidR="00521CC9" w:rsidRPr="00016FDA">
              <w:rPr>
                <w:rStyle w:val="Hyperlink"/>
                <w:rFonts w:ascii="Verdana" w:hAnsi="Verdana" w:cs="Helvetica"/>
                <w:shd w:val="clear" w:color="auto" w:fill="FFFFFF"/>
              </w:rPr>
              <w:t>CMS-PRD1-114719</w:t>
            </w:r>
            <w:bookmarkEnd w:id="10"/>
            <w:r w:rsidRPr="00016FDA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3263" w14:textId="28DBB958" w:rsidR="00521CC9" w:rsidRPr="00016FDA" w:rsidRDefault="00C22C29" w:rsidP="0042627A">
            <w:pPr>
              <w:pStyle w:val="NormalWeb"/>
              <w:shd w:val="clear" w:color="auto" w:fill="FFFFFF"/>
              <w:rPr>
                <w:rFonts w:ascii="Verdana" w:hAnsi="Verdana"/>
              </w:rPr>
            </w:pPr>
            <w:r>
              <w:rPr>
                <w:rFonts w:ascii="Verdana" w:hAnsi="Verdana" w:cs="Helvetica"/>
                <w:shd w:val="clear" w:color="auto" w:fill="FFFFFF"/>
              </w:rPr>
              <w:t>I</w:t>
            </w:r>
            <w:r w:rsidR="00521CC9" w:rsidRPr="00016FDA">
              <w:rPr>
                <w:rFonts w:ascii="Verdana" w:hAnsi="Verdana" w:cs="Helvetica"/>
                <w:shd w:val="clear" w:color="auto" w:fill="FFFFFF"/>
              </w:rPr>
              <w:t>nformation regarding the Standard Formulary Options. They include Drug Removal Option (drug no longer covered), Prior Authorization Option (drug not covered unless a prior authorization is received) and Preferred Formulary Lists that are compiled by a panel of registered pharmacists and doctors working in coordination with PBM and the employer.</w:t>
            </w:r>
          </w:p>
        </w:tc>
      </w:tr>
    </w:tbl>
    <w:p w14:paraId="51CA539F" w14:textId="77777777" w:rsidR="007E2192" w:rsidRDefault="007E2192" w:rsidP="000825E5">
      <w:pPr>
        <w:rPr>
          <w:rFonts w:ascii="Verdana" w:hAnsi="Verdana"/>
        </w:rPr>
      </w:pPr>
    </w:p>
    <w:p w14:paraId="6F108410" w14:textId="77777777" w:rsidR="005F2CCC" w:rsidRDefault="005F2CCC" w:rsidP="009D03D9">
      <w:pPr>
        <w:rPr>
          <w:rFonts w:ascii="Verdana" w:hAnsi="Verdana"/>
        </w:rPr>
      </w:pPr>
    </w:p>
    <w:bookmarkStart w:id="11" w:name="_Hlk75760717"/>
    <w:bookmarkStart w:id="12" w:name="_Hlk75760658"/>
    <w:p w14:paraId="77DF39B4" w14:textId="5632CB80" w:rsidR="009A4A14" w:rsidRDefault="000B2A67" w:rsidP="00272E22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D01A14" w:rsidRPr="000B2A67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4A14" w:rsidRPr="0038070C" w14:paraId="5959B601" w14:textId="77777777" w:rsidTr="00C66B1B">
        <w:tc>
          <w:tcPr>
            <w:tcW w:w="5000" w:type="pct"/>
            <w:shd w:val="clear" w:color="auto" w:fill="C0C0C0"/>
          </w:tcPr>
          <w:p w14:paraId="49B5AA79" w14:textId="77777777" w:rsidR="009A4A14" w:rsidRPr="0038070C" w:rsidRDefault="009A4A14" w:rsidP="00272E2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10075314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3"/>
          </w:p>
        </w:tc>
      </w:tr>
    </w:tbl>
    <w:bookmarkEnd w:id="11"/>
    <w:p w14:paraId="61A81A3B" w14:textId="1776895E" w:rsidR="009A4A14" w:rsidRPr="009A4A14" w:rsidRDefault="007E2192" w:rsidP="00D01A14">
      <w:pPr>
        <w:rPr>
          <w:rStyle w:val="Hyperlink"/>
          <w:rFonts w:ascii="Verdana" w:hAnsi="Verdana"/>
          <w:color w:val="000000" w:themeColor="text1"/>
          <w:u w:val="none"/>
        </w:rPr>
      </w:pPr>
      <w:r>
        <w:rPr>
          <w:rStyle w:val="Hyperlink"/>
          <w:rFonts w:ascii="Verdana" w:hAnsi="Verdana"/>
          <w:color w:val="000000" w:themeColor="text1"/>
          <w:u w:val="none"/>
        </w:rPr>
        <w:t xml:space="preserve"> </w:t>
      </w:r>
    </w:p>
    <w:p w14:paraId="0903296C" w14:textId="2F81622F" w:rsidR="00D01A14" w:rsidRDefault="000A6116" w:rsidP="00D01A14">
      <w:pPr>
        <w:rPr>
          <w:rStyle w:val="Hyperlink"/>
          <w:rFonts w:ascii="Verdana" w:hAnsi="Verdana"/>
        </w:rPr>
      </w:pPr>
      <w:hyperlink r:id="rId17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5958BB7F" w14:textId="177B98CE" w:rsidR="00D01A14" w:rsidRDefault="007E2192" w:rsidP="00D01A14">
      <w:pPr>
        <w:rPr>
          <w:rFonts w:ascii="Verdana" w:hAnsi="Verdana"/>
        </w:rPr>
      </w:pPr>
      <w:r>
        <w:rPr>
          <w:rStyle w:val="Hyperlink"/>
          <w:rFonts w:ascii="Verdana" w:hAnsi="Verdana"/>
          <w:b/>
          <w:color w:val="000000" w:themeColor="text1"/>
          <w:u w:val="none"/>
        </w:rPr>
        <w:t xml:space="preserve"> </w:t>
      </w:r>
    </w:p>
    <w:bookmarkStart w:id="14" w:name="_Hlk75760682"/>
    <w:bookmarkEnd w:id="12"/>
    <w:p w14:paraId="3C1DD7DF" w14:textId="2756DBB1" w:rsidR="00FD0FDA" w:rsidRDefault="000B2A67" w:rsidP="00FD0F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FD0FDA" w:rsidRPr="000B2A67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5FEF4C98" w14:textId="77777777" w:rsidR="00A97B7D" w:rsidRPr="00B46A95" w:rsidRDefault="00A97B7D" w:rsidP="00BB371A">
      <w:pPr>
        <w:jc w:val="right"/>
        <w:rPr>
          <w:rFonts w:ascii="Verdana" w:hAnsi="Verdana"/>
        </w:rPr>
      </w:pPr>
    </w:p>
    <w:p w14:paraId="7A5A411A" w14:textId="77777777" w:rsidR="009D03D9" w:rsidRPr="00C247CB" w:rsidRDefault="009D03D9" w:rsidP="009D03D9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F118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118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118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3807322" w14:textId="77777777" w:rsidR="009D03D9" w:rsidRDefault="009D03D9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F2CC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bookmarkEnd w:id="14"/>
    <w:p w14:paraId="21CDE6C0" w14:textId="77777777" w:rsidR="005F2CCC" w:rsidRDefault="005F2CCC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5F2CCC" w:rsidSect="00303F88">
      <w:footerReference w:type="even" r:id="rId18"/>
      <w:footerReference w:type="defaul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C2CBD" w14:textId="77777777" w:rsidR="001C43EB" w:rsidRDefault="001C43EB">
      <w:r>
        <w:separator/>
      </w:r>
    </w:p>
  </w:endnote>
  <w:endnote w:type="continuationSeparator" w:id="0">
    <w:p w14:paraId="10D9A533" w14:textId="77777777" w:rsidR="001C43EB" w:rsidRDefault="001C4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FA67F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34B19" w14:textId="77777777" w:rsidR="00290527" w:rsidRDefault="00290527" w:rsidP="00AC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88694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A1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FFE4E3" w14:textId="77777777" w:rsidR="00290527" w:rsidRDefault="00290527" w:rsidP="00AC3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A02E5" w14:textId="77777777" w:rsidR="001C43EB" w:rsidRDefault="001C43EB">
      <w:r>
        <w:separator/>
      </w:r>
    </w:p>
  </w:footnote>
  <w:footnote w:type="continuationSeparator" w:id="0">
    <w:p w14:paraId="7644A7AA" w14:textId="77777777" w:rsidR="001C43EB" w:rsidRDefault="001C4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BB5"/>
    <w:multiLevelType w:val="hybridMultilevel"/>
    <w:tmpl w:val="17428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AA3F34"/>
    <w:multiLevelType w:val="hybridMultilevel"/>
    <w:tmpl w:val="CEB6D47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D15"/>
    <w:multiLevelType w:val="hybridMultilevel"/>
    <w:tmpl w:val="B5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6550B"/>
    <w:multiLevelType w:val="hybridMultilevel"/>
    <w:tmpl w:val="8B20F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13699"/>
    <w:multiLevelType w:val="hybridMultilevel"/>
    <w:tmpl w:val="C122A60C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63138923">
    <w:abstractNumId w:val="10"/>
  </w:num>
  <w:num w:numId="2" w16cid:durableId="2140830955">
    <w:abstractNumId w:val="9"/>
  </w:num>
  <w:num w:numId="3" w16cid:durableId="1773473891">
    <w:abstractNumId w:val="12"/>
  </w:num>
  <w:num w:numId="4" w16cid:durableId="1799494117">
    <w:abstractNumId w:val="0"/>
  </w:num>
  <w:num w:numId="5" w16cid:durableId="1660310026">
    <w:abstractNumId w:val="2"/>
  </w:num>
  <w:num w:numId="6" w16cid:durableId="1815638375">
    <w:abstractNumId w:val="13"/>
  </w:num>
  <w:num w:numId="7" w16cid:durableId="619339233">
    <w:abstractNumId w:val="14"/>
  </w:num>
  <w:num w:numId="8" w16cid:durableId="547843764">
    <w:abstractNumId w:val="1"/>
  </w:num>
  <w:num w:numId="9" w16cid:durableId="2135562771">
    <w:abstractNumId w:val="15"/>
  </w:num>
  <w:num w:numId="10" w16cid:durableId="1601570586">
    <w:abstractNumId w:val="6"/>
  </w:num>
  <w:num w:numId="11" w16cid:durableId="1117069353">
    <w:abstractNumId w:val="4"/>
  </w:num>
  <w:num w:numId="12" w16cid:durableId="1389963047">
    <w:abstractNumId w:val="5"/>
  </w:num>
  <w:num w:numId="13" w16cid:durableId="358706888">
    <w:abstractNumId w:val="3"/>
  </w:num>
  <w:num w:numId="14" w16cid:durableId="555700464">
    <w:abstractNumId w:val="8"/>
  </w:num>
  <w:num w:numId="15" w16cid:durableId="1142114492">
    <w:abstractNumId w:val="11"/>
  </w:num>
  <w:num w:numId="16" w16cid:durableId="1115172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16FDA"/>
    <w:rsid w:val="000825E5"/>
    <w:rsid w:val="0008665F"/>
    <w:rsid w:val="000A6116"/>
    <w:rsid w:val="000B2A67"/>
    <w:rsid w:val="000B3C4C"/>
    <w:rsid w:val="000C311D"/>
    <w:rsid w:val="000C5599"/>
    <w:rsid w:val="000D6714"/>
    <w:rsid w:val="00122B8F"/>
    <w:rsid w:val="00131E49"/>
    <w:rsid w:val="00157554"/>
    <w:rsid w:val="0016273A"/>
    <w:rsid w:val="00182A5F"/>
    <w:rsid w:val="0019344F"/>
    <w:rsid w:val="0019353A"/>
    <w:rsid w:val="001A32B4"/>
    <w:rsid w:val="001A5C22"/>
    <w:rsid w:val="001B1FBE"/>
    <w:rsid w:val="001C43EB"/>
    <w:rsid w:val="001C5560"/>
    <w:rsid w:val="001D0A44"/>
    <w:rsid w:val="001D38A1"/>
    <w:rsid w:val="001D5D68"/>
    <w:rsid w:val="002016B4"/>
    <w:rsid w:val="00215763"/>
    <w:rsid w:val="0024202F"/>
    <w:rsid w:val="002467D2"/>
    <w:rsid w:val="002609A1"/>
    <w:rsid w:val="0026321A"/>
    <w:rsid w:val="00265A08"/>
    <w:rsid w:val="00272E22"/>
    <w:rsid w:val="00282C8D"/>
    <w:rsid w:val="00290527"/>
    <w:rsid w:val="00293370"/>
    <w:rsid w:val="002970D7"/>
    <w:rsid w:val="002B593E"/>
    <w:rsid w:val="002C213A"/>
    <w:rsid w:val="002F5A53"/>
    <w:rsid w:val="00303F88"/>
    <w:rsid w:val="00356DBE"/>
    <w:rsid w:val="0038070C"/>
    <w:rsid w:val="0038233B"/>
    <w:rsid w:val="003B079F"/>
    <w:rsid w:val="003E1B34"/>
    <w:rsid w:val="003E3D95"/>
    <w:rsid w:val="00406DB5"/>
    <w:rsid w:val="00412557"/>
    <w:rsid w:val="0041305E"/>
    <w:rsid w:val="00413BA5"/>
    <w:rsid w:val="0042627A"/>
    <w:rsid w:val="00436228"/>
    <w:rsid w:val="00457EAE"/>
    <w:rsid w:val="00460203"/>
    <w:rsid w:val="00485A27"/>
    <w:rsid w:val="004B35F9"/>
    <w:rsid w:val="004E35BC"/>
    <w:rsid w:val="0052151F"/>
    <w:rsid w:val="00521CC9"/>
    <w:rsid w:val="00524CDD"/>
    <w:rsid w:val="00536FF5"/>
    <w:rsid w:val="00540E4C"/>
    <w:rsid w:val="00544465"/>
    <w:rsid w:val="005910B5"/>
    <w:rsid w:val="005A2DE3"/>
    <w:rsid w:val="005F2CCC"/>
    <w:rsid w:val="00622039"/>
    <w:rsid w:val="00622D77"/>
    <w:rsid w:val="006230B5"/>
    <w:rsid w:val="0062346D"/>
    <w:rsid w:val="00636B18"/>
    <w:rsid w:val="00637CA1"/>
    <w:rsid w:val="00652F46"/>
    <w:rsid w:val="00655B34"/>
    <w:rsid w:val="00655C08"/>
    <w:rsid w:val="00671A28"/>
    <w:rsid w:val="00694B74"/>
    <w:rsid w:val="006A0481"/>
    <w:rsid w:val="006A23D7"/>
    <w:rsid w:val="006C0382"/>
    <w:rsid w:val="006D7806"/>
    <w:rsid w:val="006F581F"/>
    <w:rsid w:val="006F768E"/>
    <w:rsid w:val="00702C2E"/>
    <w:rsid w:val="00704AF2"/>
    <w:rsid w:val="0073294A"/>
    <w:rsid w:val="00732C3E"/>
    <w:rsid w:val="00750920"/>
    <w:rsid w:val="00752801"/>
    <w:rsid w:val="007752BC"/>
    <w:rsid w:val="00786BEB"/>
    <w:rsid w:val="007924BF"/>
    <w:rsid w:val="00797157"/>
    <w:rsid w:val="007A6931"/>
    <w:rsid w:val="007E2192"/>
    <w:rsid w:val="00806B9D"/>
    <w:rsid w:val="008070F0"/>
    <w:rsid w:val="0082021E"/>
    <w:rsid w:val="00827C8A"/>
    <w:rsid w:val="00854A33"/>
    <w:rsid w:val="008739E5"/>
    <w:rsid w:val="00873D09"/>
    <w:rsid w:val="00877414"/>
    <w:rsid w:val="0088113F"/>
    <w:rsid w:val="00882A79"/>
    <w:rsid w:val="0088308B"/>
    <w:rsid w:val="008867A6"/>
    <w:rsid w:val="008C0BCC"/>
    <w:rsid w:val="008C2197"/>
    <w:rsid w:val="008C3493"/>
    <w:rsid w:val="008D11A6"/>
    <w:rsid w:val="008D27A5"/>
    <w:rsid w:val="008D2D64"/>
    <w:rsid w:val="008D46DE"/>
    <w:rsid w:val="008E11B8"/>
    <w:rsid w:val="008E5D28"/>
    <w:rsid w:val="008F32F4"/>
    <w:rsid w:val="008F4B0F"/>
    <w:rsid w:val="00902E07"/>
    <w:rsid w:val="00911B67"/>
    <w:rsid w:val="00925DA0"/>
    <w:rsid w:val="00934DD7"/>
    <w:rsid w:val="0094232F"/>
    <w:rsid w:val="00943E7A"/>
    <w:rsid w:val="00956E2A"/>
    <w:rsid w:val="00965DD5"/>
    <w:rsid w:val="009A0F35"/>
    <w:rsid w:val="009A4A14"/>
    <w:rsid w:val="009B3495"/>
    <w:rsid w:val="009B4D41"/>
    <w:rsid w:val="009C55E4"/>
    <w:rsid w:val="009D03D9"/>
    <w:rsid w:val="009D29D8"/>
    <w:rsid w:val="00A141FD"/>
    <w:rsid w:val="00A40E31"/>
    <w:rsid w:val="00A44145"/>
    <w:rsid w:val="00A7166B"/>
    <w:rsid w:val="00A7191A"/>
    <w:rsid w:val="00A82722"/>
    <w:rsid w:val="00A85045"/>
    <w:rsid w:val="00A97B7D"/>
    <w:rsid w:val="00AB1D50"/>
    <w:rsid w:val="00AB33E1"/>
    <w:rsid w:val="00AB4BB3"/>
    <w:rsid w:val="00AC2A58"/>
    <w:rsid w:val="00AC3152"/>
    <w:rsid w:val="00AC6059"/>
    <w:rsid w:val="00AD1646"/>
    <w:rsid w:val="00AD5E23"/>
    <w:rsid w:val="00B10BC8"/>
    <w:rsid w:val="00B14282"/>
    <w:rsid w:val="00B24CF8"/>
    <w:rsid w:val="00B26045"/>
    <w:rsid w:val="00B437C0"/>
    <w:rsid w:val="00B45DAC"/>
    <w:rsid w:val="00B46A95"/>
    <w:rsid w:val="00B548B1"/>
    <w:rsid w:val="00B54C9B"/>
    <w:rsid w:val="00BB371A"/>
    <w:rsid w:val="00BC33E0"/>
    <w:rsid w:val="00BD78D8"/>
    <w:rsid w:val="00BF74E9"/>
    <w:rsid w:val="00C03C70"/>
    <w:rsid w:val="00C1124A"/>
    <w:rsid w:val="00C22C29"/>
    <w:rsid w:val="00C23A92"/>
    <w:rsid w:val="00C311D3"/>
    <w:rsid w:val="00C3523B"/>
    <w:rsid w:val="00C566B3"/>
    <w:rsid w:val="00C65FBD"/>
    <w:rsid w:val="00C67B32"/>
    <w:rsid w:val="00C821ED"/>
    <w:rsid w:val="00CB0C1D"/>
    <w:rsid w:val="00CD3007"/>
    <w:rsid w:val="00CE0B2F"/>
    <w:rsid w:val="00CE20A5"/>
    <w:rsid w:val="00CE6586"/>
    <w:rsid w:val="00D01A14"/>
    <w:rsid w:val="00D226FE"/>
    <w:rsid w:val="00D36733"/>
    <w:rsid w:val="00D471B5"/>
    <w:rsid w:val="00D5449B"/>
    <w:rsid w:val="00D571DB"/>
    <w:rsid w:val="00D61075"/>
    <w:rsid w:val="00D710E2"/>
    <w:rsid w:val="00D74426"/>
    <w:rsid w:val="00D76D6A"/>
    <w:rsid w:val="00D82C2E"/>
    <w:rsid w:val="00D85254"/>
    <w:rsid w:val="00D92B56"/>
    <w:rsid w:val="00DA0760"/>
    <w:rsid w:val="00DB4750"/>
    <w:rsid w:val="00DC5934"/>
    <w:rsid w:val="00DD57FD"/>
    <w:rsid w:val="00E0107F"/>
    <w:rsid w:val="00E041FD"/>
    <w:rsid w:val="00E1265F"/>
    <w:rsid w:val="00E30B3D"/>
    <w:rsid w:val="00E35B3E"/>
    <w:rsid w:val="00E52789"/>
    <w:rsid w:val="00EB52F0"/>
    <w:rsid w:val="00EB57EB"/>
    <w:rsid w:val="00EB7B36"/>
    <w:rsid w:val="00EE3919"/>
    <w:rsid w:val="00EE68E7"/>
    <w:rsid w:val="00F11850"/>
    <w:rsid w:val="00F1355E"/>
    <w:rsid w:val="00F22BA2"/>
    <w:rsid w:val="00F27C5D"/>
    <w:rsid w:val="00F30C73"/>
    <w:rsid w:val="00F47C2E"/>
    <w:rsid w:val="00F51150"/>
    <w:rsid w:val="00F558AA"/>
    <w:rsid w:val="00F67BD0"/>
    <w:rsid w:val="00F859B7"/>
    <w:rsid w:val="00F86918"/>
    <w:rsid w:val="00FA5189"/>
    <w:rsid w:val="00FC1C44"/>
    <w:rsid w:val="00FC49D1"/>
    <w:rsid w:val="00FC6662"/>
    <w:rsid w:val="00FD0FDA"/>
    <w:rsid w:val="00FD217F"/>
    <w:rsid w:val="00F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4698F"/>
  <w15:chartTrackingRefBased/>
  <w15:docId w15:val="{93066A54-14E7-4293-AAE3-3B159A6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rsid w:val="001D5D68"/>
    <w:pPr>
      <w:widowControl w:val="0"/>
      <w:numPr>
        <w:numId w:val="1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AC3152"/>
  </w:style>
  <w:style w:type="paragraph" w:styleId="BalloonText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821ED"/>
    <w:pPr>
      <w:tabs>
        <w:tab w:val="right" w:leader="dot" w:pos="12950"/>
      </w:tabs>
    </w:pPr>
  </w:style>
  <w:style w:type="character" w:customStyle="1" w:styleId="Heading2Char">
    <w:name w:val="Heading 2 Char"/>
    <w:basedOn w:val="DefaultParagraphFont"/>
    <w:link w:val="Heading2"/>
    <w:rsid w:val="00E30B3D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A0F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627A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655C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001">
                  <w:marLeft w:val="2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6AF883-BD96-49ED-9417-41FF36D5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4970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5832731</vt:i4>
      </vt:variant>
      <vt:variant>
        <vt:i4>27</vt:i4>
      </vt:variant>
      <vt:variant>
        <vt:i4>0</vt:i4>
      </vt:variant>
      <vt:variant>
        <vt:i4>5</vt:i4>
      </vt:variant>
      <vt:variant>
        <vt:lpwstr>CMS-2-010590</vt:lpwstr>
      </vt:variant>
      <vt:variant>
        <vt:lpwstr/>
      </vt:variant>
      <vt:variant>
        <vt:i4>5242896</vt:i4>
      </vt:variant>
      <vt:variant>
        <vt:i4>24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5242903</vt:i4>
      </vt:variant>
      <vt:variant>
        <vt:i4>15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1048626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_Toc475959604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_Toc475959603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_Toc475959602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_Toc475959601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Martinez, Vennessa M</cp:lastModifiedBy>
  <cp:revision>3</cp:revision>
  <dcterms:created xsi:type="dcterms:W3CDTF">2025-05-07T19:51:00Z</dcterms:created>
  <dcterms:modified xsi:type="dcterms:W3CDTF">2025-05-07T19:58:00Z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2021-11-16T20:53:09Z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147fd15c-b6d8-4dd8-b982-1db3eb5f1107</vt:lpwstr>
  </property>
  <property fmtid="{D5CDD505-2E9C-101B-9397-08002B2CF9AE}" pid="8" name="MSIP_Label_67599526-06ca-49cc-9fa9-5307800a949a_ContentBits">
    <vt:lpwstr>0</vt:lpwstr>
  </property>
</Properties>
</file>