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0A8D6" w14:textId="77777777" w:rsidR="00EA26A9" w:rsidRPr="00E325ED" w:rsidRDefault="00CF03B9" w:rsidP="006A3EC0">
      <w:pPr>
        <w:pStyle w:val="Heading1"/>
      </w:pPr>
      <w:bookmarkStart w:id="0" w:name="_top"/>
      <w:bookmarkStart w:id="1" w:name="OLE_LINK1"/>
      <w:bookmarkStart w:id="2" w:name="OLE_LINK155"/>
      <w:bookmarkEnd w:id="0"/>
      <w:r w:rsidRPr="00E325ED">
        <w:t xml:space="preserve">Prior Authorization or Clinical Exception </w:t>
      </w:r>
      <w:r w:rsidR="00362D54" w:rsidRPr="00E325ED">
        <w:t>Urgent</w:t>
      </w:r>
      <w:bookmarkEnd w:id="1"/>
      <w:r w:rsidR="00362D54" w:rsidRPr="00E325ED">
        <w:t>, Duplicate, and Back Dating Requests</w:t>
      </w:r>
    </w:p>
    <w:bookmarkEnd w:id="2"/>
    <w:p w14:paraId="68BA11B3" w14:textId="77777777" w:rsidR="00131E9B" w:rsidRPr="00E325ED" w:rsidRDefault="00131E9B" w:rsidP="006A3EC0">
      <w:pPr>
        <w:pStyle w:val="TOC2"/>
        <w:tabs>
          <w:tab w:val="right" w:leader="dot" w:pos="9350"/>
        </w:tabs>
        <w:spacing w:after="120"/>
        <w:ind w:left="0"/>
      </w:pPr>
    </w:p>
    <w:p w14:paraId="5413720A" w14:textId="2877FDDD" w:rsidR="00E325ED" w:rsidRPr="009B6667" w:rsidRDefault="00071DD3" w:rsidP="00D50E46">
      <w:pPr>
        <w:pStyle w:val="TOC2"/>
        <w:tabs>
          <w:tab w:val="right" w:leader="dot" w:pos="9350"/>
        </w:tabs>
        <w:spacing w:after="120"/>
        <w:rPr>
          <w:rFonts w:eastAsiaTheme="minorEastAsia"/>
          <w:noProof/>
          <w:kern w:val="2"/>
          <w:szCs w:val="24"/>
          <w14:ligatures w14:val="standardContextual"/>
        </w:rPr>
      </w:pPr>
      <w:r w:rsidRPr="00E325ED">
        <w:fldChar w:fldCharType="begin"/>
      </w:r>
      <w:r w:rsidRPr="00E325ED">
        <w:instrText xml:space="preserve"> TOC \o "2-2" \n \p " " \h \z \u </w:instrText>
      </w:r>
      <w:r w:rsidRPr="00E325ED">
        <w:fldChar w:fldCharType="separate"/>
      </w:r>
      <w:hyperlink w:anchor="_Toc197006212" w:history="1">
        <w:r w:rsidR="00E325ED" w:rsidRPr="00E325ED">
          <w:rPr>
            <w:rStyle w:val="Hyperlink"/>
            <w:noProof/>
          </w:rPr>
          <w:t>Prior Authorization or Clinical Exception Urgent Requests</w:t>
        </w:r>
      </w:hyperlink>
    </w:p>
    <w:p w14:paraId="090ACB91" w14:textId="6965DEE5" w:rsidR="00E325ED" w:rsidRPr="009B6667" w:rsidRDefault="00E325ED" w:rsidP="00D50E46">
      <w:pPr>
        <w:pStyle w:val="TOC2"/>
        <w:tabs>
          <w:tab w:val="right" w:leader="dot" w:pos="9350"/>
        </w:tabs>
        <w:spacing w:after="120"/>
        <w:rPr>
          <w:rFonts w:eastAsiaTheme="minorEastAsia"/>
          <w:noProof/>
          <w:kern w:val="2"/>
          <w:szCs w:val="24"/>
          <w14:ligatures w14:val="standardContextual"/>
        </w:rPr>
      </w:pPr>
      <w:hyperlink w:anchor="_Toc197006213" w:history="1">
        <w:r w:rsidRPr="00E325ED">
          <w:rPr>
            <w:rStyle w:val="Hyperlink"/>
            <w:rFonts w:cs="Arial"/>
            <w:iCs/>
            <w:noProof/>
          </w:rPr>
          <w:t>Prior Authorization or Clinical Exception Review Process Duplicate Requests</w:t>
        </w:r>
      </w:hyperlink>
    </w:p>
    <w:p w14:paraId="7E303CA9" w14:textId="15AFF7D8" w:rsidR="00E325ED" w:rsidRPr="009B6667" w:rsidRDefault="00E325ED" w:rsidP="00D50E46">
      <w:pPr>
        <w:pStyle w:val="TOC2"/>
        <w:tabs>
          <w:tab w:val="right" w:leader="dot" w:pos="9350"/>
        </w:tabs>
        <w:spacing w:after="120"/>
        <w:rPr>
          <w:rFonts w:eastAsiaTheme="minorEastAsia"/>
          <w:noProof/>
          <w:kern w:val="2"/>
          <w:szCs w:val="24"/>
          <w14:ligatures w14:val="standardContextual"/>
        </w:rPr>
      </w:pPr>
      <w:hyperlink w:anchor="_Toc197006214" w:history="1">
        <w:r w:rsidRPr="00E325ED">
          <w:rPr>
            <w:rStyle w:val="Hyperlink"/>
            <w:rFonts w:cs="Arial"/>
            <w:iCs/>
            <w:noProof/>
          </w:rPr>
          <w:t>Prior Authorization or Clinical Exception Back Dating Requests</w:t>
        </w:r>
      </w:hyperlink>
    </w:p>
    <w:p w14:paraId="1B940812" w14:textId="681DE91B" w:rsidR="00E325ED" w:rsidRPr="009B6667" w:rsidRDefault="00E325ED" w:rsidP="00D50E46">
      <w:pPr>
        <w:pStyle w:val="TOC2"/>
        <w:tabs>
          <w:tab w:val="right" w:leader="dot" w:pos="9350"/>
        </w:tabs>
        <w:spacing w:after="120"/>
        <w:rPr>
          <w:rFonts w:eastAsiaTheme="minorEastAsia"/>
          <w:noProof/>
          <w:kern w:val="2"/>
          <w:szCs w:val="24"/>
          <w14:ligatures w14:val="standardContextual"/>
        </w:rPr>
      </w:pPr>
      <w:hyperlink w:anchor="_Toc197006215" w:history="1">
        <w:r w:rsidRPr="00E325ED">
          <w:rPr>
            <w:rStyle w:val="Hyperlink"/>
            <w:noProof/>
          </w:rPr>
          <w:t>Related Documents</w:t>
        </w:r>
      </w:hyperlink>
    </w:p>
    <w:p w14:paraId="7BDFC9B3" w14:textId="77777777" w:rsidR="00362D54" w:rsidRPr="00E325ED" w:rsidRDefault="00071DD3" w:rsidP="00D50E46">
      <w:r w:rsidRPr="00E325ED">
        <w:fldChar w:fldCharType="end"/>
      </w:r>
    </w:p>
    <w:p w14:paraId="5349E2CB" w14:textId="3C774231" w:rsidR="00362D54" w:rsidRPr="00E325ED" w:rsidRDefault="00701200" w:rsidP="006A3EC0">
      <w:r>
        <w:rPr>
          <w:b/>
          <w:bCs/>
        </w:rPr>
        <w:t xml:space="preserve"> </w:t>
      </w:r>
      <w:r w:rsidR="00362D54" w:rsidRPr="00E325ED">
        <w:rPr>
          <w:b/>
          <w:bCs/>
        </w:rPr>
        <w:t>Description:</w:t>
      </w:r>
      <w:r w:rsidR="00362D54" w:rsidRPr="00E325ED">
        <w:t xml:space="preserve"> </w:t>
      </w:r>
      <w:bookmarkStart w:id="3" w:name="OLE_LINK169"/>
      <w:r w:rsidR="00362D54" w:rsidRPr="00E325ED">
        <w:t xml:space="preserve">Provides process and information on </w:t>
      </w:r>
      <w:r w:rsidR="00CF03B9" w:rsidRPr="00E325ED">
        <w:t xml:space="preserve">Prior Authorization or Clinical Exception </w:t>
      </w:r>
      <w:r w:rsidR="00362D54" w:rsidRPr="00E325ED">
        <w:t>urgent, duplicate, and back dating request</w:t>
      </w:r>
      <w:r w:rsidR="00D1099D" w:rsidRPr="00E325ED">
        <w:t>s</w:t>
      </w:r>
      <w:r w:rsidR="00A975A8" w:rsidRPr="00E325ED">
        <w:t xml:space="preserve"> for Compass and </w:t>
      </w:r>
      <w:proofErr w:type="spellStart"/>
      <w:r w:rsidR="00A975A8" w:rsidRPr="00E325ED">
        <w:t>People</w:t>
      </w:r>
      <w:r w:rsidR="00A51DCE">
        <w:t>S</w:t>
      </w:r>
      <w:r w:rsidR="00A975A8" w:rsidRPr="00E325ED">
        <w:t>afe</w:t>
      </w:r>
      <w:proofErr w:type="spellEnd"/>
      <w:r w:rsidR="00A975A8" w:rsidRPr="00E325ED">
        <w:t xml:space="preserve"> users</w:t>
      </w:r>
      <w:r w:rsidR="00362D54" w:rsidRPr="00E325ED">
        <w:t>.</w:t>
      </w:r>
      <w:bookmarkEnd w:id="3"/>
    </w:p>
    <w:p w14:paraId="548E6EDF" w14:textId="77777777" w:rsidR="00362D54" w:rsidRPr="00E325ED" w:rsidRDefault="00362D54" w:rsidP="00075945">
      <w:pPr>
        <w:jc w:val="right"/>
        <w:rPr>
          <w:rStyle w:val="Hyperlin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362D54" w:rsidRPr="00E325ED" w14:paraId="7535B957" w14:textId="77777777" w:rsidTr="00362D5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74034C7" w14:textId="77777777" w:rsidR="00362D54" w:rsidRPr="00E325ED" w:rsidRDefault="00CF03B9" w:rsidP="00075945">
            <w:pPr>
              <w:pStyle w:val="Heading2"/>
              <w:spacing w:line="256" w:lineRule="auto"/>
            </w:pPr>
            <w:bookmarkStart w:id="4" w:name="_Prior_Authorization,_Exception,"/>
            <w:bookmarkStart w:id="5" w:name="_Toc138410560"/>
            <w:bookmarkStart w:id="6" w:name="OLE_LINK21"/>
            <w:bookmarkStart w:id="7" w:name="OLE_LINK20"/>
            <w:bookmarkStart w:id="8" w:name="_Toc74060395"/>
            <w:bookmarkStart w:id="9" w:name="_Toc197006212"/>
            <w:bookmarkEnd w:id="4"/>
            <w:r w:rsidRPr="00E325ED">
              <w:t xml:space="preserve">Prior Authorization or Clinical Exception </w:t>
            </w:r>
            <w:r w:rsidR="00362D54" w:rsidRPr="00E325ED">
              <w:t>Urgent Requests</w:t>
            </w:r>
            <w:bookmarkEnd w:id="5"/>
            <w:bookmarkEnd w:id="6"/>
            <w:bookmarkEnd w:id="7"/>
            <w:bookmarkEnd w:id="8"/>
            <w:bookmarkEnd w:id="9"/>
          </w:p>
        </w:tc>
      </w:tr>
    </w:tbl>
    <w:p w14:paraId="291432F9" w14:textId="77777777" w:rsidR="00362D54" w:rsidRPr="00E325ED" w:rsidRDefault="00362D54" w:rsidP="006A3EC0">
      <w:pPr>
        <w:rPr>
          <w:rFonts w:eastAsia="Times New Roman" w:cs="Arial"/>
        </w:rPr>
      </w:pPr>
      <w:r w:rsidRPr="00E325ED">
        <w:rPr>
          <w:rFonts w:cs="Arial"/>
        </w:rPr>
        <w:t xml:space="preserve">Use this when a </w:t>
      </w:r>
      <w:r w:rsidR="00CF03B9" w:rsidRPr="00E325ED">
        <w:rPr>
          <w:rFonts w:cs="Arial"/>
        </w:rPr>
        <w:t>PA or Clinical Exception</w:t>
      </w:r>
      <w:r w:rsidR="002B31AF" w:rsidRPr="00E325ED">
        <w:rPr>
          <w:rFonts w:cs="Arial"/>
        </w:rPr>
        <w:t xml:space="preserve"> </w:t>
      </w:r>
      <w:r w:rsidRPr="00E325ED">
        <w:rPr>
          <w:rFonts w:cs="Arial"/>
        </w:rPr>
        <w:t xml:space="preserve">request is </w:t>
      </w:r>
      <w:r w:rsidR="00D1099D" w:rsidRPr="00E325ED">
        <w:rPr>
          <w:rFonts w:cs="Arial"/>
        </w:rPr>
        <w:t>u</w:t>
      </w:r>
      <w:r w:rsidRPr="00E325ED">
        <w:rPr>
          <w:rFonts w:cs="Arial"/>
        </w:rPr>
        <w:t xml:space="preserve">rgent. These steps can be performed at any time during the process. </w:t>
      </w:r>
    </w:p>
    <w:p w14:paraId="06F43162" w14:textId="5A0B21B9" w:rsidR="0086084A" w:rsidRPr="00E325ED" w:rsidRDefault="00362D54" w:rsidP="006A3EC0">
      <w:pPr>
        <w:rPr>
          <w:rFonts w:cs="Arial"/>
        </w:rPr>
      </w:pPr>
      <w:r w:rsidRPr="00E325ED">
        <w:rPr>
          <w:rFonts w:cs="Arial"/>
          <w:b/>
          <w:bCs/>
        </w:rPr>
        <w:t>Reminder:</w:t>
      </w:r>
      <w:r w:rsidRPr="00E325ED">
        <w:rPr>
          <w:rFonts w:cs="Arial"/>
        </w:rPr>
        <w:t xml:space="preserve"> For any urgent requests that are escalated in nature, seek assistance from the</w:t>
      </w:r>
      <w:r w:rsidR="0038489B" w:rsidRPr="00E325ED">
        <w:rPr>
          <w:rFonts w:cs="Arial"/>
        </w:rPr>
        <w:t xml:space="preserve"> Senior Team</w:t>
      </w:r>
      <w:r w:rsidRPr="00E325ED">
        <w:rPr>
          <w:rFonts w:cs="Arial"/>
        </w:rPr>
        <w:t xml:space="preserve">. </w:t>
      </w:r>
    </w:p>
    <w:p w14:paraId="6117358C" w14:textId="76E8BA43" w:rsidR="00E56D80" w:rsidRPr="00E325ED" w:rsidRDefault="00E56D80" w:rsidP="006A3EC0">
      <w:pPr>
        <w:pStyle w:val="ListParagraph"/>
        <w:numPr>
          <w:ilvl w:val="0"/>
          <w:numId w:val="10"/>
        </w:numPr>
        <w:spacing w:before="120" w:after="120"/>
        <w:rPr>
          <w:rFonts w:cs="Arial"/>
          <w:b/>
          <w:bCs/>
        </w:rPr>
      </w:pPr>
      <w:r w:rsidRPr="00E325ED">
        <w:rPr>
          <w:rFonts w:cs="Arial"/>
        </w:rPr>
        <w:t xml:space="preserve">For </w:t>
      </w:r>
      <w:r w:rsidRPr="009B6667">
        <w:rPr>
          <w:rFonts w:cs="Arial"/>
          <w:b/>
          <w:bCs/>
        </w:rPr>
        <w:t>PeopleSafe</w:t>
      </w:r>
      <w:r w:rsidRPr="00E325ED">
        <w:rPr>
          <w:rFonts w:cs="Arial"/>
        </w:rPr>
        <w:t xml:space="preserve"> users</w:t>
      </w:r>
      <w:r w:rsidR="008A6ECB">
        <w:rPr>
          <w:rFonts w:cs="Arial"/>
        </w:rPr>
        <w:t>, refer to</w:t>
      </w:r>
      <w:r w:rsidRPr="00E325ED">
        <w:rPr>
          <w:rFonts w:cs="Arial"/>
        </w:rPr>
        <w:t xml:space="preserve"> </w:t>
      </w:r>
      <w:hyperlink r:id="rId8" w:anchor="!/view?docid=9eef064d-c7d7-42f7-9026-1497496b4d51" w:history="1">
        <w:r w:rsidRPr="009B6667">
          <w:rPr>
            <w:rStyle w:val="Hyperlink"/>
          </w:rPr>
          <w:t>PeopleSafe - When to Transfer Calls to the Senior Team</w:t>
        </w:r>
        <w:r w:rsidR="008A6ECB" w:rsidRPr="008A6ECB">
          <w:rPr>
            <w:rStyle w:val="Hyperlink"/>
            <w:rFonts w:cs="Arial"/>
          </w:rPr>
          <w:t xml:space="preserve"> (016311)</w:t>
        </w:r>
      </w:hyperlink>
    </w:p>
    <w:p w14:paraId="526E177F" w14:textId="28B42E6A" w:rsidR="00E56D80" w:rsidRPr="009B6667" w:rsidRDefault="00E56D80" w:rsidP="006A3EC0">
      <w:pPr>
        <w:pStyle w:val="ListParagraph"/>
        <w:numPr>
          <w:ilvl w:val="0"/>
          <w:numId w:val="10"/>
        </w:numPr>
        <w:spacing w:before="120" w:after="120"/>
        <w:rPr>
          <w:rFonts w:cs="Arial"/>
        </w:rPr>
      </w:pPr>
      <w:r w:rsidRPr="00E325ED">
        <w:rPr>
          <w:rFonts w:cs="Arial"/>
        </w:rPr>
        <w:t xml:space="preserve">For </w:t>
      </w:r>
      <w:r w:rsidRPr="009B6667">
        <w:rPr>
          <w:rFonts w:cs="Arial"/>
          <w:b/>
          <w:bCs/>
        </w:rPr>
        <w:t>Compass</w:t>
      </w:r>
      <w:r w:rsidRPr="00E325ED">
        <w:rPr>
          <w:rFonts w:cs="Arial"/>
        </w:rPr>
        <w:t xml:space="preserve"> users</w:t>
      </w:r>
      <w:r w:rsidR="008A6ECB">
        <w:rPr>
          <w:rFonts w:cs="Arial"/>
        </w:rPr>
        <w:t>, refer to</w:t>
      </w:r>
      <w:r w:rsidR="0086084A" w:rsidRPr="00E325ED">
        <w:rPr>
          <w:rFonts w:cs="Arial"/>
        </w:rPr>
        <w:t xml:space="preserve"> </w:t>
      </w:r>
      <w:hyperlink r:id="rId9" w:anchor="!/view?docid=7653e7c2-1a97-42a0-8a81-6267c72e1ca9" w:history="1">
        <w:r w:rsidR="0086084A" w:rsidRPr="008A6ECB">
          <w:rPr>
            <w:rStyle w:val="Hyperlink"/>
            <w:rFonts w:cs="Arial"/>
          </w:rPr>
          <w:t>Compass - When to Transfer Calls to the Senior Team</w:t>
        </w:r>
        <w:r w:rsidR="008A6ECB" w:rsidRPr="008A6ECB">
          <w:rPr>
            <w:rStyle w:val="Hyperlink"/>
            <w:rFonts w:cs="Arial"/>
          </w:rPr>
          <w:t xml:space="preserve"> (057524)</w:t>
        </w:r>
      </w:hyperlink>
    </w:p>
    <w:p w14:paraId="5A6FAACB" w14:textId="77777777" w:rsidR="00362D54" w:rsidRPr="00E325ED" w:rsidRDefault="00362D54" w:rsidP="006A3EC0">
      <w:pPr>
        <w:rPr>
          <w:rFonts w:cs="Arial"/>
          <w:iCs/>
        </w:rPr>
      </w:pPr>
    </w:p>
    <w:p w14:paraId="08F804F7" w14:textId="236572CC" w:rsidR="00362D54" w:rsidRDefault="00362D54" w:rsidP="006A3EC0">
      <w:pPr>
        <w:spacing w:line="252" w:lineRule="auto"/>
        <w:rPr>
          <w:rFonts w:cs="Arial"/>
          <w:iCs/>
        </w:rPr>
      </w:pPr>
      <w:r w:rsidRPr="00E325ED">
        <w:rPr>
          <w:rFonts w:cs="Arial"/>
          <w:b/>
          <w:bCs/>
        </w:rPr>
        <w:t xml:space="preserve">Examples: </w:t>
      </w:r>
      <w:r w:rsidRPr="00E325ED">
        <w:rPr>
          <w:rFonts w:cs="Arial"/>
          <w:iCs/>
        </w:rPr>
        <w:t xml:space="preserve">Member is running out of medication, Member is out of medication, or Member is immediately asking us to contact their </w:t>
      </w:r>
      <w:r w:rsidRPr="00E325ED">
        <w:rPr>
          <w:color w:val="000000"/>
        </w:rPr>
        <w:t>prescriber</w:t>
      </w:r>
      <w:r w:rsidRPr="00E325ED">
        <w:rPr>
          <w:rFonts w:cs="Arial"/>
          <w:iCs/>
        </w:rPr>
        <w:t>.</w:t>
      </w:r>
    </w:p>
    <w:p w14:paraId="604069A5" w14:textId="77777777" w:rsidR="00701200" w:rsidRPr="00E325ED" w:rsidRDefault="00701200" w:rsidP="006A3EC0">
      <w:pPr>
        <w:spacing w:line="252" w:lineRule="auto"/>
        <w:rPr>
          <w:rFonts w:cs="Arial"/>
          <w:bCs/>
        </w:rPr>
      </w:pPr>
    </w:p>
    <w:p w14:paraId="449D18AE" w14:textId="459B5A2F" w:rsidR="00981E74" w:rsidRPr="00C51F3B" w:rsidRDefault="00CB2681" w:rsidP="00D50E46">
      <w:pPr>
        <w:pStyle w:val="ListParagraph"/>
        <w:numPr>
          <w:ilvl w:val="0"/>
          <w:numId w:val="26"/>
        </w:numPr>
        <w:spacing w:before="120" w:after="1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DB2356A" wp14:editId="391CEE4B">
            <wp:extent cx="304762" cy="304762"/>
            <wp:effectExtent l="0" t="0" r="635" b="635"/>
            <wp:docPr id="136259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5394" name="Picture 13625953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 w:rsidR="00362D54" w:rsidRPr="26372FB0">
        <w:rPr>
          <w:color w:val="000000" w:themeColor="text1"/>
        </w:rPr>
        <w:t>You may provide the PA phone number from the rejected claim for the prescriber to call and submit a verbal </w:t>
      </w:r>
      <w:r w:rsidR="00A678B7" w:rsidRPr="26372FB0">
        <w:rPr>
          <w:color w:val="000000" w:themeColor="text1"/>
        </w:rPr>
        <w:t>request.</w:t>
      </w:r>
      <w:r w:rsidR="00362D54" w:rsidRPr="26372FB0">
        <w:rPr>
          <w:color w:val="000000" w:themeColor="text1"/>
        </w:rPr>
        <w:t xml:space="preserve"> </w:t>
      </w:r>
      <w:bookmarkStart w:id="10" w:name="OLE_LINK72"/>
      <w:r w:rsidR="00362D54" w:rsidRPr="26372FB0">
        <w:rPr>
          <w:color w:val="000000" w:themeColor="text1"/>
        </w:rPr>
        <w:t xml:space="preserve">If there is no phone number in the reject, you may provide </w:t>
      </w:r>
      <w:r w:rsidR="00362D54" w:rsidRPr="26372FB0">
        <w:rPr>
          <w:b/>
          <w:bCs/>
          <w:color w:val="000000" w:themeColor="text1"/>
        </w:rPr>
        <w:t>1-800-294-5979</w:t>
      </w:r>
      <w:r w:rsidR="00362D54" w:rsidRPr="26372FB0">
        <w:rPr>
          <w:color w:val="000000" w:themeColor="text1"/>
        </w:rPr>
        <w:t>.</w:t>
      </w:r>
      <w:bookmarkEnd w:id="10"/>
      <w:r w:rsidR="00362D54" w:rsidRPr="26372FB0">
        <w:rPr>
          <w:color w:val="000000" w:themeColor="text1"/>
        </w:rPr>
        <w:t xml:space="preserve"> </w:t>
      </w:r>
      <w:r w:rsidR="001040BA">
        <w:rPr>
          <w:color w:val="000000" w:themeColor="text1"/>
        </w:rPr>
        <w:t>Verbal</w:t>
      </w:r>
      <w:r w:rsidR="00362D54" w:rsidRPr="26372FB0">
        <w:rPr>
          <w:color w:val="000000" w:themeColor="text1"/>
        </w:rPr>
        <w:t xml:space="preserve"> requests can take up to 24 hours</w:t>
      </w:r>
      <w:r w:rsidR="00981E74">
        <w:rPr>
          <w:color w:val="000000" w:themeColor="text1"/>
        </w:rPr>
        <w:t xml:space="preserve"> to process</w:t>
      </w:r>
      <w:r w:rsidR="00632A4D">
        <w:rPr>
          <w:color w:val="000000" w:themeColor="text1"/>
        </w:rPr>
        <w:t xml:space="preserve"> ONCE all information from </w:t>
      </w:r>
      <w:proofErr w:type="gramStart"/>
      <w:r w:rsidR="00632A4D">
        <w:rPr>
          <w:color w:val="000000" w:themeColor="text1"/>
        </w:rPr>
        <w:t>provider</w:t>
      </w:r>
      <w:proofErr w:type="gramEnd"/>
      <w:r w:rsidR="00632A4D">
        <w:rPr>
          <w:color w:val="000000" w:themeColor="text1"/>
        </w:rPr>
        <w:t xml:space="preserve"> is received</w:t>
      </w:r>
      <w:r w:rsidR="00362D54" w:rsidRPr="26372FB0">
        <w:rPr>
          <w:color w:val="000000" w:themeColor="text1"/>
        </w:rPr>
        <w:t xml:space="preserve">. </w:t>
      </w:r>
      <w:r w:rsidR="00981E74" w:rsidRPr="00C51F3B">
        <w:rPr>
          <w:color w:val="000000" w:themeColor="text1"/>
        </w:rPr>
        <w:t xml:space="preserve">It is </w:t>
      </w:r>
      <w:r w:rsidR="00981E74" w:rsidRPr="00D50E46">
        <w:rPr>
          <w:b/>
          <w:bCs/>
          <w:color w:val="000000" w:themeColor="text1"/>
        </w:rPr>
        <w:t>ONLY</w:t>
      </w:r>
      <w:r w:rsidR="00981E74" w:rsidRPr="00C51F3B">
        <w:rPr>
          <w:color w:val="000000" w:themeColor="text1"/>
        </w:rPr>
        <w:t xml:space="preserve"> considered urgent if the prescriber </w:t>
      </w:r>
      <w:r w:rsidR="00981E74">
        <w:rPr>
          <w:color w:val="000000" w:themeColor="text1"/>
        </w:rPr>
        <w:t>indicates</w:t>
      </w:r>
      <w:r w:rsidR="00981E74" w:rsidRPr="00C51F3B">
        <w:rPr>
          <w:color w:val="000000" w:themeColor="text1"/>
        </w:rPr>
        <w:t xml:space="preserve"> “URGENT” on the faxed document(s), or over the phone states it is urgent</w:t>
      </w:r>
      <w:r w:rsidR="00C433C8">
        <w:rPr>
          <w:color w:val="000000" w:themeColor="text1"/>
        </w:rPr>
        <w:t xml:space="preserve"> in nature</w:t>
      </w:r>
      <w:r w:rsidR="00981E74" w:rsidRPr="00C51F3B">
        <w:rPr>
          <w:color w:val="000000" w:themeColor="text1"/>
        </w:rPr>
        <w:t>. DO NOT proactively advise members to tell their Dr. to submit requests as urgent.</w:t>
      </w:r>
    </w:p>
    <w:p w14:paraId="7D8C5CC4" w14:textId="77777777" w:rsidR="003C6813" w:rsidRDefault="003C6813" w:rsidP="006A3EC0">
      <w:pPr>
        <w:rPr>
          <w:color w:val="000000" w:themeColor="text1"/>
        </w:rPr>
      </w:pPr>
    </w:p>
    <w:p w14:paraId="3FFFE10D" w14:textId="7D5B7880" w:rsidR="00B47F05" w:rsidRPr="00B47F05" w:rsidRDefault="00CB2681" w:rsidP="00D50E46">
      <w:pPr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392AD3E4" wp14:editId="48594AB1">
            <wp:extent cx="304762" cy="304762"/>
            <wp:effectExtent l="0" t="0" r="635" b="635"/>
            <wp:docPr id="105534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48781" name="Picture 10553487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6DD4780D">
          <v:shape id="_x0000_i1027" type="#_x0000_t75" style="width:18.75pt;height:16.5pt;visibility:visible">
            <v:imagedata r:id="rId11" o:title=""/>
          </v:shape>
        </w:pict>
      </w:r>
      <w:r w:rsidR="00D27D8F">
        <w:t xml:space="preserve"> </w:t>
      </w:r>
      <w:r w:rsidR="00B47F05" w:rsidRPr="00B47F05">
        <w:rPr>
          <w:color w:val="000000"/>
        </w:rPr>
        <w:t xml:space="preserve">For Commercial Prior Authorization requests for </w:t>
      </w:r>
      <w:r w:rsidR="00B47F05" w:rsidRPr="00D50E46">
        <w:rPr>
          <w:b/>
          <w:bCs/>
          <w:color w:val="000000"/>
        </w:rPr>
        <w:t>Specialty</w:t>
      </w:r>
      <w:r w:rsidR="00B47F05" w:rsidRPr="00B47F05">
        <w:rPr>
          <w:color w:val="000000"/>
        </w:rPr>
        <w:t xml:space="preserve"> medications, refer to the system appropriate steps below as specialty has their own process.</w:t>
      </w:r>
    </w:p>
    <w:p w14:paraId="56698F2E" w14:textId="77777777" w:rsidR="00B47F05" w:rsidRPr="00B47F05" w:rsidRDefault="00B47F05" w:rsidP="00A37F4F">
      <w:pPr>
        <w:numPr>
          <w:ilvl w:val="1"/>
          <w:numId w:val="24"/>
        </w:numPr>
        <w:rPr>
          <w:color w:val="000000"/>
        </w:rPr>
      </w:pPr>
      <w:r w:rsidRPr="00B47F05">
        <w:rPr>
          <w:color w:val="000000"/>
        </w:rPr>
        <w:t>For </w:t>
      </w:r>
      <w:proofErr w:type="spellStart"/>
      <w:r w:rsidRPr="00B47F05">
        <w:rPr>
          <w:b/>
          <w:bCs/>
          <w:color w:val="000000"/>
        </w:rPr>
        <w:t>PeopleSafe</w:t>
      </w:r>
      <w:proofErr w:type="spellEnd"/>
      <w:r w:rsidRPr="00B47F05">
        <w:rPr>
          <w:color w:val="000000"/>
        </w:rPr>
        <w:t> users, refer to </w:t>
      </w:r>
      <w:proofErr w:type="spellStart"/>
      <w:r>
        <w:fldChar w:fldCharType="begin"/>
      </w:r>
      <w:r>
        <w:instrText>HYPERLINK "https://thesource.cvshealth.com/nuxeo/thesource/" \l "!/view?docid=2eb2f621-bbbb-4e0e-9189-6b47d44f42b3"</w:instrText>
      </w:r>
      <w:r>
        <w:fldChar w:fldCharType="separate"/>
      </w:r>
      <w:r w:rsidRPr="00B47F05">
        <w:rPr>
          <w:rStyle w:val="Hyperlink"/>
        </w:rPr>
        <w:t>PeopleSafe</w:t>
      </w:r>
      <w:proofErr w:type="spellEnd"/>
      <w:r w:rsidRPr="00B47F05">
        <w:rPr>
          <w:rStyle w:val="Hyperlink"/>
        </w:rPr>
        <w:t xml:space="preserve"> - Specialty Pharmacy (CTS – Caremark Therapeutic Pharmacy Services) Call Handling (007148)</w:t>
      </w:r>
      <w:r>
        <w:fldChar w:fldCharType="end"/>
      </w:r>
    </w:p>
    <w:p w14:paraId="2AA6C149" w14:textId="77777777" w:rsidR="00B47F05" w:rsidRPr="00B47F05" w:rsidRDefault="00B47F05" w:rsidP="00A37F4F">
      <w:pPr>
        <w:numPr>
          <w:ilvl w:val="1"/>
          <w:numId w:val="24"/>
        </w:numPr>
        <w:rPr>
          <w:color w:val="000000"/>
        </w:rPr>
      </w:pPr>
      <w:r w:rsidRPr="00B47F05">
        <w:rPr>
          <w:color w:val="000000"/>
        </w:rPr>
        <w:t>For </w:t>
      </w:r>
      <w:r w:rsidRPr="00B47F05">
        <w:rPr>
          <w:b/>
          <w:bCs/>
          <w:color w:val="000000"/>
        </w:rPr>
        <w:t>Compass</w:t>
      </w:r>
      <w:r w:rsidRPr="00B47F05">
        <w:rPr>
          <w:color w:val="000000"/>
        </w:rPr>
        <w:t> users, refer to </w:t>
      </w:r>
      <w:hyperlink r:id="rId12" w:anchor="!/view?docid=845064bd-8ae0-4d30-af0a-e21d6d81933c" w:history="1">
        <w:r w:rsidRPr="00B47F05">
          <w:rPr>
            <w:rStyle w:val="Hyperlink"/>
          </w:rPr>
          <w:t>Compass - Specialty Pharmacy (CTS - Caremark Therapeutic Pharmacy Services) Call Handling (058175)</w:t>
        </w:r>
      </w:hyperlink>
    </w:p>
    <w:p w14:paraId="721A07AE" w14:textId="77777777" w:rsidR="004578A6" w:rsidRDefault="004578A6">
      <w:pPr>
        <w:spacing w:before="0" w:after="0"/>
        <w:rPr>
          <w:rFonts w:eastAsia="Verdana" w:cs="Verdana"/>
          <w:b/>
          <w:bCs/>
          <w:szCs w:val="24"/>
        </w:rPr>
      </w:pPr>
    </w:p>
    <w:p w14:paraId="6AA746B0" w14:textId="05D0B19D" w:rsidR="00C32363" w:rsidRDefault="00C32363" w:rsidP="00075945">
      <w:pPr>
        <w:rPr>
          <w:color w:val="000000"/>
        </w:rPr>
      </w:pPr>
    </w:p>
    <w:p w14:paraId="6B53BAAC" w14:textId="3D668EA0" w:rsidR="00C32363" w:rsidRDefault="00C32363" w:rsidP="00075945">
      <w:pPr>
        <w:rPr>
          <w:color w:val="000000"/>
        </w:rPr>
      </w:pPr>
      <w:r>
        <w:rPr>
          <w:color w:val="000000"/>
        </w:rPr>
        <w:t>Follow the steps below:</w:t>
      </w:r>
    </w:p>
    <w:tbl>
      <w:tblPr>
        <w:tblStyle w:val="TableGrid"/>
        <w:tblW w:w="4965" w:type="pct"/>
        <w:tblInd w:w="-3" w:type="dxa"/>
        <w:tblLook w:val="04A0" w:firstRow="1" w:lastRow="0" w:firstColumn="1" w:lastColumn="0" w:noHBand="0" w:noVBand="1"/>
      </w:tblPr>
      <w:tblGrid>
        <w:gridCol w:w="824"/>
        <w:gridCol w:w="1961"/>
        <w:gridCol w:w="6500"/>
      </w:tblGrid>
      <w:tr w:rsidR="00C32363" w14:paraId="4E9214E1" w14:textId="77777777" w:rsidTr="00D50E46">
        <w:tc>
          <w:tcPr>
            <w:tcW w:w="264" w:type="pct"/>
            <w:shd w:val="clear" w:color="auto" w:fill="D9D9D9" w:themeFill="background1" w:themeFillShade="D9"/>
          </w:tcPr>
          <w:p w14:paraId="145FEDDC" w14:textId="295E4A78" w:rsidR="001D3998" w:rsidRPr="009B6667" w:rsidRDefault="001D3998" w:rsidP="009B6667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9B6667">
              <w:rPr>
                <w:rFonts w:cs="Times New Roman"/>
                <w:b/>
                <w:bCs/>
                <w:color w:val="000000"/>
              </w:rPr>
              <w:t>Step</w:t>
            </w:r>
          </w:p>
        </w:tc>
        <w:tc>
          <w:tcPr>
            <w:tcW w:w="4736" w:type="pct"/>
            <w:gridSpan w:val="2"/>
            <w:shd w:val="clear" w:color="auto" w:fill="D9D9D9" w:themeFill="background1" w:themeFillShade="D9"/>
          </w:tcPr>
          <w:p w14:paraId="3F34BCC1" w14:textId="70FA08A1" w:rsidR="001D3998" w:rsidRPr="009B6667" w:rsidRDefault="001D3998" w:rsidP="009B6667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9B6667">
              <w:rPr>
                <w:rFonts w:cs="Times New Roman"/>
                <w:b/>
                <w:bCs/>
                <w:color w:val="000000"/>
              </w:rPr>
              <w:t>Action</w:t>
            </w:r>
          </w:p>
        </w:tc>
      </w:tr>
      <w:tr w:rsidR="00075945" w14:paraId="2117E056" w14:textId="77777777" w:rsidTr="00D50E46">
        <w:tc>
          <w:tcPr>
            <w:tcW w:w="264" w:type="pct"/>
          </w:tcPr>
          <w:p w14:paraId="014DDE1E" w14:textId="4ABDDC54" w:rsidR="001D3998" w:rsidRPr="009B6667" w:rsidRDefault="001D3998" w:rsidP="009B6667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9B6667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4736" w:type="pct"/>
            <w:gridSpan w:val="2"/>
          </w:tcPr>
          <w:p w14:paraId="4EBF04D4" w14:textId="05F1D13B" w:rsidR="00C32363" w:rsidRPr="00C32363" w:rsidRDefault="00C32363" w:rsidP="009B6667">
            <w:pPr>
              <w:rPr>
                <w:rFonts w:eastAsiaTheme="majorEastAsia" w:cs="Arial"/>
                <w:color w:val="0000FF"/>
                <w:u w:val="single"/>
              </w:rPr>
            </w:pPr>
            <w:r w:rsidRPr="00C32363">
              <w:rPr>
                <w:rFonts w:cs="Arial"/>
                <w:iCs/>
              </w:rPr>
              <w:t>Run a Test claim.</w:t>
            </w:r>
          </w:p>
          <w:p w14:paraId="11292118" w14:textId="77777777" w:rsidR="00C32363" w:rsidRPr="00E325ED" w:rsidRDefault="00C32363" w:rsidP="009B6667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eastAsiaTheme="majorEastAsia" w:cs="Arial"/>
                <w:color w:val="0000FF"/>
                <w:u w:val="single"/>
              </w:rPr>
            </w:pPr>
            <w:r>
              <w:rPr>
                <w:rFonts w:cs="Arial"/>
                <w:iCs/>
              </w:rPr>
              <w:t xml:space="preserve">For </w:t>
            </w:r>
            <w:r w:rsidRPr="009A7716">
              <w:rPr>
                <w:rFonts w:cs="Arial"/>
                <w:b/>
                <w:bCs/>
                <w:iCs/>
              </w:rPr>
              <w:t>PeopleSafe</w:t>
            </w:r>
            <w:r w:rsidRPr="00E325ED">
              <w:rPr>
                <w:rFonts w:cs="Arial"/>
                <w:iCs/>
              </w:rPr>
              <w:t xml:space="preserve"> users</w:t>
            </w:r>
            <w:r>
              <w:rPr>
                <w:rFonts w:cs="Arial"/>
                <w:iCs/>
              </w:rPr>
              <w:t>, refer to</w:t>
            </w:r>
            <w:r w:rsidRPr="00E325ED">
              <w:rPr>
                <w:rFonts w:cs="Arial"/>
                <w:iCs/>
              </w:rPr>
              <w:t xml:space="preserve"> </w:t>
            </w:r>
            <w:hyperlink r:id="rId13" w:anchor="!/view?docid=59c4e7fa-4a87-43c4-89cd-5d4f8c6c3421" w:history="1">
              <w:r w:rsidRPr="008A6ECB">
                <w:rPr>
                  <w:rStyle w:val="Hyperlink"/>
                  <w:rFonts w:cs="Arial"/>
                  <w:iCs/>
                </w:rPr>
                <w:t xml:space="preserve">PeopleSafe - </w:t>
              </w:r>
              <w:r w:rsidRPr="008A6ECB">
                <w:rPr>
                  <w:rStyle w:val="Hyperlink"/>
                  <w:rFonts w:eastAsiaTheme="majorEastAsia" w:cs="Arial"/>
                  <w:iCs/>
                </w:rPr>
                <w:t>Test Claim</w:t>
              </w:r>
              <w:r w:rsidRPr="008A6ECB">
                <w:rPr>
                  <w:rStyle w:val="Hyperlink"/>
                  <w:rFonts w:eastAsiaTheme="majorEastAsia" w:cs="Arial"/>
                </w:rPr>
                <w:t xml:space="preserve"> (004573)</w:t>
              </w:r>
            </w:hyperlink>
            <w:r w:rsidRPr="00E325ED">
              <w:rPr>
                <w:rFonts w:eastAsiaTheme="majorEastAsia" w:cs="Arial"/>
                <w:color w:val="0000FF"/>
                <w:u w:val="single"/>
              </w:rPr>
              <w:t xml:space="preserve"> </w:t>
            </w:r>
          </w:p>
          <w:p w14:paraId="234ECCEA" w14:textId="3918539B" w:rsidR="001D3998" w:rsidRPr="009B6667" w:rsidRDefault="00C32363" w:rsidP="009B6667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eastAsiaTheme="majorEastAsia" w:cs="Arial"/>
                <w:color w:val="0000FF"/>
                <w:u w:val="single"/>
              </w:rPr>
            </w:pPr>
            <w:r>
              <w:rPr>
                <w:rFonts w:cs="Arial"/>
                <w:iCs/>
              </w:rPr>
              <w:t xml:space="preserve">For </w:t>
            </w:r>
            <w:r w:rsidRPr="009A7716">
              <w:rPr>
                <w:rFonts w:cs="Arial"/>
                <w:b/>
                <w:bCs/>
                <w:iCs/>
              </w:rPr>
              <w:t>Compass</w:t>
            </w:r>
            <w:r w:rsidRPr="00E325ED">
              <w:rPr>
                <w:rFonts w:cs="Arial"/>
                <w:iCs/>
              </w:rPr>
              <w:t xml:space="preserve"> users</w:t>
            </w:r>
            <w:r>
              <w:rPr>
                <w:rFonts w:cs="Arial"/>
                <w:iCs/>
              </w:rPr>
              <w:t>, refer to</w:t>
            </w:r>
            <w:r w:rsidRPr="009A7716">
              <w:rPr>
                <w:rFonts w:eastAsiaTheme="majorEastAsia" w:cs="Arial"/>
                <w:color w:val="0000FF"/>
              </w:rPr>
              <w:t xml:space="preserve"> </w:t>
            </w:r>
            <w:hyperlink r:id="rId14" w:anchor="!/view?docid=60c20ea0-1d07-46e3-809a-b54734b80fbe" w:history="1">
              <w:r w:rsidRPr="00E24143">
                <w:rPr>
                  <w:rStyle w:val="Hyperlink"/>
                  <w:rFonts w:eastAsiaTheme="majorEastAsia" w:cs="Arial"/>
                </w:rPr>
                <w:t>Compass - Test Claims (050041)</w:t>
              </w:r>
            </w:hyperlink>
          </w:p>
        </w:tc>
      </w:tr>
      <w:tr w:rsidR="00C32363" w14:paraId="11D95BD6" w14:textId="77777777" w:rsidTr="00D50E46">
        <w:tc>
          <w:tcPr>
            <w:tcW w:w="264" w:type="pct"/>
            <w:vMerge w:val="restart"/>
          </w:tcPr>
          <w:p w14:paraId="2C06127B" w14:textId="0472396F" w:rsidR="00C32363" w:rsidRPr="009B6667" w:rsidRDefault="00C32363" w:rsidP="009B6667">
            <w:pPr>
              <w:jc w:val="center"/>
              <w:rPr>
                <w:rFonts w:cs="Times New Roman"/>
                <w:b/>
                <w:bCs/>
                <w:color w:val="000000"/>
              </w:rPr>
            </w:pPr>
            <w:r w:rsidRPr="009B6667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4736" w:type="pct"/>
            <w:gridSpan w:val="2"/>
          </w:tcPr>
          <w:p w14:paraId="7FFFC299" w14:textId="6B39F248" w:rsidR="00C32363" w:rsidRPr="009B6667" w:rsidRDefault="00C32363" w:rsidP="009B6667">
            <w:pPr>
              <w:spacing w:line="252" w:lineRule="auto"/>
              <w:rPr>
                <w:rFonts w:cs="Arial"/>
              </w:rPr>
            </w:pPr>
            <w:r w:rsidRPr="00C32363">
              <w:rPr>
                <w:rFonts w:cs="Arial"/>
              </w:rPr>
              <w:t>Review the CIF to determine if Caremark handles the PAs or Clinical Exceptions.</w:t>
            </w:r>
          </w:p>
        </w:tc>
      </w:tr>
      <w:tr w:rsidR="00E02BDE" w14:paraId="53E6EAAD" w14:textId="77777777" w:rsidTr="00C51F3B">
        <w:tc>
          <w:tcPr>
            <w:tcW w:w="264" w:type="pct"/>
            <w:vMerge/>
          </w:tcPr>
          <w:p w14:paraId="18ACCCC2" w14:textId="77777777" w:rsidR="00C32363" w:rsidRPr="00C32363" w:rsidRDefault="00C32363" w:rsidP="00075945">
            <w:pPr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shd w:val="clear" w:color="auto" w:fill="D9D9D9" w:themeFill="background1" w:themeFillShade="D9"/>
          </w:tcPr>
          <w:p w14:paraId="2412EC9B" w14:textId="3F8AC1B7" w:rsidR="00C32363" w:rsidRPr="009B6667" w:rsidRDefault="00C32363" w:rsidP="009B6667">
            <w:pPr>
              <w:spacing w:line="252" w:lineRule="auto"/>
              <w:jc w:val="center"/>
              <w:rPr>
                <w:rFonts w:cs="Arial"/>
                <w:b/>
                <w:bCs/>
              </w:rPr>
            </w:pPr>
            <w:r w:rsidRPr="009B6667">
              <w:rPr>
                <w:rFonts w:cs="Arial"/>
                <w:b/>
                <w:bCs/>
              </w:rPr>
              <w:t>If…</w:t>
            </w:r>
          </w:p>
        </w:tc>
        <w:tc>
          <w:tcPr>
            <w:tcW w:w="3918" w:type="pct"/>
            <w:shd w:val="clear" w:color="auto" w:fill="D9D9D9" w:themeFill="background1" w:themeFillShade="D9"/>
          </w:tcPr>
          <w:p w14:paraId="3837E8B3" w14:textId="61B5D0D0" w:rsidR="00C32363" w:rsidRPr="009B6667" w:rsidRDefault="00C32363" w:rsidP="009B6667">
            <w:pPr>
              <w:spacing w:line="252" w:lineRule="auto"/>
              <w:jc w:val="center"/>
              <w:rPr>
                <w:rFonts w:cs="Arial"/>
                <w:b/>
                <w:bCs/>
              </w:rPr>
            </w:pPr>
            <w:r w:rsidRPr="009B6667">
              <w:rPr>
                <w:rFonts w:cs="Arial"/>
                <w:b/>
                <w:bCs/>
              </w:rPr>
              <w:t>Then…</w:t>
            </w:r>
          </w:p>
        </w:tc>
      </w:tr>
      <w:tr w:rsidR="00C32363" w14:paraId="0AEA0100" w14:textId="77777777" w:rsidTr="00D50E46">
        <w:tc>
          <w:tcPr>
            <w:tcW w:w="264" w:type="pct"/>
            <w:vMerge/>
          </w:tcPr>
          <w:p w14:paraId="2B1D2416" w14:textId="77777777" w:rsidR="00C32363" w:rsidRPr="00C32363" w:rsidRDefault="00C32363" w:rsidP="00075945">
            <w:pPr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</w:tcPr>
          <w:p w14:paraId="28EE8FF9" w14:textId="349CB3C4" w:rsidR="00C32363" w:rsidRDefault="00C32363" w:rsidP="006A3EC0">
            <w:pPr>
              <w:spacing w:line="252" w:lineRule="auto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  <w:p w14:paraId="4D623B77" w14:textId="4149026B" w:rsidR="00C32363" w:rsidRDefault="00C32363" w:rsidP="006A3EC0">
            <w:pPr>
              <w:spacing w:line="252" w:lineRule="auto"/>
              <w:rPr>
                <w:rFonts w:cs="Arial"/>
              </w:rPr>
            </w:pPr>
            <w:r w:rsidRPr="009B6667">
              <w:rPr>
                <w:rFonts w:cs="Arial"/>
                <w:b/>
                <w:bCs/>
              </w:rPr>
              <w:t>and</w:t>
            </w:r>
            <w:r w:rsidRPr="00C32363">
              <w:rPr>
                <w:rFonts w:cs="Arial"/>
              </w:rPr>
              <w:t xml:space="preserve"> </w:t>
            </w:r>
          </w:p>
          <w:p w14:paraId="4BF38C81" w14:textId="4C6B7067" w:rsidR="00C32363" w:rsidRPr="00C32363" w:rsidRDefault="00C32363" w:rsidP="006A3EC0">
            <w:pPr>
              <w:spacing w:line="252" w:lineRule="auto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C32363">
              <w:rPr>
                <w:rFonts w:cs="Arial"/>
              </w:rPr>
              <w:t xml:space="preserve">peaking with the </w:t>
            </w:r>
            <w:r w:rsidRPr="00C32363">
              <w:rPr>
                <w:color w:val="000000"/>
              </w:rPr>
              <w:t>prescriber</w:t>
            </w:r>
            <w:r w:rsidRPr="00C32363">
              <w:rPr>
                <w:rFonts w:cs="Arial"/>
              </w:rPr>
              <w:t xml:space="preserve"> or a representative from the </w:t>
            </w:r>
            <w:r w:rsidRPr="00C32363">
              <w:rPr>
                <w:color w:val="000000"/>
              </w:rPr>
              <w:t>prescriber</w:t>
            </w:r>
            <w:r w:rsidRPr="00C32363">
              <w:rPr>
                <w:rFonts w:cs="Arial"/>
              </w:rPr>
              <w:t>’s office</w:t>
            </w:r>
          </w:p>
        </w:tc>
        <w:tc>
          <w:tcPr>
            <w:tcW w:w="3918" w:type="pct"/>
          </w:tcPr>
          <w:p w14:paraId="2D27B2D3" w14:textId="1BCE5858" w:rsidR="00C32363" w:rsidRDefault="006A3EC0" w:rsidP="00D50E46">
            <w:r>
              <w:rPr>
                <w:noProof/>
              </w:rPr>
              <w:drawing>
                <wp:inline distT="0" distB="0" distL="0" distR="0" wp14:anchorId="0309AFB6" wp14:editId="1B6C1684">
                  <wp:extent cx="304762" cy="304762"/>
                  <wp:effectExtent l="0" t="0" r="635" b="635"/>
                  <wp:docPr id="9881228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122816" name="Picture 9881228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85813" w:rsidRPr="00D85813">
              <w:t xml:space="preserve">Transfer the call to the PA Team using the number from the rejected claim by following the </w:t>
            </w:r>
            <w:r w:rsidR="00D85813">
              <w:t>warm transfer</w:t>
            </w:r>
            <w:r w:rsidR="00D85813" w:rsidRPr="00D85813">
              <w:t xml:space="preserve"> procedures.</w:t>
            </w:r>
            <w:r w:rsidR="00D85813">
              <w:t xml:space="preserve"> </w:t>
            </w:r>
          </w:p>
          <w:p w14:paraId="5AC9AE16" w14:textId="77777777" w:rsidR="00C32363" w:rsidRDefault="00C32363" w:rsidP="006A3EC0">
            <w:pPr>
              <w:spacing w:line="252" w:lineRule="auto"/>
              <w:rPr>
                <w:rFonts w:cs="Arial"/>
              </w:rPr>
            </w:pPr>
            <w:r w:rsidRPr="009B6667">
              <w:rPr>
                <w:rFonts w:cs="Arial"/>
                <w:b/>
                <w:bCs/>
              </w:rPr>
              <w:t>Note:</w:t>
            </w:r>
            <w:r>
              <w:rPr>
                <w:rFonts w:cs="Arial"/>
              </w:rPr>
              <w:t xml:space="preserve"> </w:t>
            </w:r>
            <w:r w:rsidRPr="00C32363">
              <w:rPr>
                <w:rFonts w:cs="Arial"/>
              </w:rPr>
              <w:t xml:space="preserve">If there is no phone number in the reject, you may provide </w:t>
            </w:r>
            <w:r w:rsidRPr="00C32363">
              <w:rPr>
                <w:rFonts w:cs="Arial"/>
                <w:b/>
                <w:bCs/>
              </w:rPr>
              <w:t>1-800-294-5979</w:t>
            </w:r>
            <w:r w:rsidRPr="00C32363">
              <w:rPr>
                <w:rFonts w:cs="Arial"/>
              </w:rPr>
              <w:t xml:space="preserve">. </w:t>
            </w:r>
          </w:p>
          <w:p w14:paraId="17FE1EA3" w14:textId="06D23300" w:rsidR="00072326" w:rsidRPr="00C32363" w:rsidRDefault="00072326" w:rsidP="006A3EC0">
            <w:pPr>
              <w:spacing w:line="252" w:lineRule="auto"/>
              <w:rPr>
                <w:rFonts w:cs="Arial"/>
              </w:rPr>
            </w:pPr>
          </w:p>
        </w:tc>
      </w:tr>
      <w:tr w:rsidR="00072326" w14:paraId="2CF99829" w14:textId="77777777" w:rsidTr="00C51F3B">
        <w:tc>
          <w:tcPr>
            <w:tcW w:w="264" w:type="pct"/>
            <w:vMerge/>
          </w:tcPr>
          <w:p w14:paraId="4C6F006D" w14:textId="77777777" w:rsidR="00072326" w:rsidRPr="00C32363" w:rsidRDefault="00072326" w:rsidP="00075945">
            <w:pPr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</w:tcPr>
          <w:p w14:paraId="3A4F728A" w14:textId="0D95CA2D" w:rsidR="008163BD" w:rsidRPr="008163BD" w:rsidRDefault="00CB2681" w:rsidP="006A3EC0">
            <w:pPr>
              <w:spacing w:line="252" w:lineRule="auto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4679C5BD" wp14:editId="72E95099">
                  <wp:extent cx="304762" cy="304762"/>
                  <wp:effectExtent l="0" t="0" r="635" b="635"/>
                  <wp:docPr id="19042522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52216" name="Picture 19042522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63BD" w:rsidRPr="008163BD">
              <w:rPr>
                <w:rFonts w:cs="Arial"/>
              </w:rPr>
              <w:t>Yes</w:t>
            </w:r>
          </w:p>
          <w:p w14:paraId="14E9E40A" w14:textId="77777777" w:rsidR="008163BD" w:rsidRPr="008163BD" w:rsidRDefault="008163BD" w:rsidP="006A3EC0">
            <w:pPr>
              <w:spacing w:line="252" w:lineRule="auto"/>
              <w:rPr>
                <w:rFonts w:cs="Arial"/>
              </w:rPr>
            </w:pPr>
            <w:r w:rsidRPr="008163BD">
              <w:rPr>
                <w:rFonts w:cs="Arial"/>
                <w:b/>
                <w:bCs/>
              </w:rPr>
              <w:t>and</w:t>
            </w:r>
          </w:p>
          <w:p w14:paraId="6BDE072E" w14:textId="77777777" w:rsidR="008163BD" w:rsidRPr="008163BD" w:rsidRDefault="008163BD" w:rsidP="006A3EC0">
            <w:pPr>
              <w:spacing w:line="252" w:lineRule="auto"/>
              <w:rPr>
                <w:rFonts w:cs="Arial"/>
              </w:rPr>
            </w:pPr>
            <w:r w:rsidRPr="008163BD">
              <w:rPr>
                <w:rFonts w:cs="Arial"/>
              </w:rPr>
              <w:t>Speaking with the member</w:t>
            </w:r>
          </w:p>
          <w:p w14:paraId="59703642" w14:textId="77777777" w:rsidR="00072326" w:rsidRDefault="00072326" w:rsidP="006A3EC0">
            <w:pPr>
              <w:spacing w:line="252" w:lineRule="auto"/>
              <w:rPr>
                <w:rFonts w:cs="Arial"/>
              </w:rPr>
            </w:pPr>
          </w:p>
        </w:tc>
        <w:tc>
          <w:tcPr>
            <w:tcW w:w="3918" w:type="pct"/>
          </w:tcPr>
          <w:p w14:paraId="3937CBF5" w14:textId="1C37FED7" w:rsidR="00390E42" w:rsidRDefault="00CB2681" w:rsidP="006A3EC0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B3847D6" wp14:editId="425AA7BB">
                  <wp:extent cx="304762" cy="304762"/>
                  <wp:effectExtent l="0" t="0" r="635" b="635"/>
                  <wp:docPr id="8021289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128963" name="Picture 80212896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492" w:rsidRPr="26372FB0">
              <w:rPr>
                <w:color w:val="000000" w:themeColor="text1"/>
              </w:rPr>
              <w:t xml:space="preserve">You may provide the PA phone number from the rejected claim for the prescriber to call and submit a verbal request. If there is no phone number in the reject, you may provide </w:t>
            </w:r>
            <w:r w:rsidR="00994492" w:rsidRPr="26372FB0">
              <w:rPr>
                <w:b/>
                <w:bCs/>
                <w:color w:val="000000" w:themeColor="text1"/>
              </w:rPr>
              <w:t>1-800-294-5979</w:t>
            </w:r>
            <w:r w:rsidR="00994492" w:rsidRPr="26372FB0">
              <w:rPr>
                <w:color w:val="000000" w:themeColor="text1"/>
              </w:rPr>
              <w:t xml:space="preserve">.  </w:t>
            </w:r>
          </w:p>
          <w:p w14:paraId="6C7BA15D" w14:textId="20CD8398" w:rsidR="00C51F3B" w:rsidRPr="00C51F3B" w:rsidRDefault="002A69C6" w:rsidP="00D50E46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color w:val="000000" w:themeColor="text1"/>
              </w:rPr>
            </w:pPr>
            <w:r w:rsidRPr="00D50E46">
              <w:rPr>
                <w:b/>
                <w:bCs/>
                <w:color w:val="000000" w:themeColor="text1"/>
              </w:rPr>
              <w:t>N</w:t>
            </w:r>
            <w:r w:rsidR="00F47E15">
              <w:rPr>
                <w:b/>
                <w:bCs/>
                <w:color w:val="000000" w:themeColor="text1"/>
              </w:rPr>
              <w:t>ote</w:t>
            </w:r>
            <w:r w:rsidRPr="00D50E46">
              <w:rPr>
                <w:b/>
                <w:bCs/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Verbal</w:t>
            </w:r>
            <w:r w:rsidR="00994492" w:rsidRPr="00D50E46">
              <w:rPr>
                <w:color w:val="000000" w:themeColor="text1"/>
              </w:rPr>
              <w:t xml:space="preserve"> requests can take up to 24 hours. </w:t>
            </w:r>
            <w:r w:rsidR="00C51F3B" w:rsidRPr="00C51F3B">
              <w:rPr>
                <w:color w:val="000000" w:themeColor="text1"/>
              </w:rPr>
              <w:t xml:space="preserve">It is ONLY considered urgent if the prescriber </w:t>
            </w:r>
            <w:r w:rsidR="00C51F3B">
              <w:rPr>
                <w:color w:val="000000" w:themeColor="text1"/>
              </w:rPr>
              <w:t>indicates</w:t>
            </w:r>
            <w:r w:rsidR="00C51F3B" w:rsidRPr="00C51F3B">
              <w:rPr>
                <w:color w:val="000000" w:themeColor="text1"/>
              </w:rPr>
              <w:t xml:space="preserve"> “URGENT” on the faxed document(s), or over the phone states it is urgent. DO NOT proactively advise members to tell their Dr. to submit requests as urgent.</w:t>
            </w:r>
          </w:p>
          <w:p w14:paraId="40DE5898" w14:textId="073E29C0" w:rsidR="00072326" w:rsidRPr="00D50E46" w:rsidRDefault="00072326" w:rsidP="00D50E46">
            <w:pPr>
              <w:pStyle w:val="ListParagraph"/>
              <w:spacing w:before="120" w:after="120"/>
              <w:rPr>
                <w:rFonts w:cstheme="minorBidi"/>
                <w:color w:val="000000"/>
              </w:rPr>
            </w:pPr>
          </w:p>
        </w:tc>
      </w:tr>
      <w:tr w:rsidR="00C32363" w14:paraId="7EB046E7" w14:textId="77777777" w:rsidTr="00D50E46">
        <w:tc>
          <w:tcPr>
            <w:tcW w:w="264" w:type="pct"/>
            <w:vMerge/>
          </w:tcPr>
          <w:p w14:paraId="26B89151" w14:textId="77777777" w:rsidR="00C32363" w:rsidRPr="00C32363" w:rsidRDefault="00C32363" w:rsidP="00075945">
            <w:pPr>
              <w:jc w:val="center"/>
              <w:rPr>
                <w:rFonts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</w:tcPr>
          <w:p w14:paraId="338B989D" w14:textId="3292DEBE" w:rsidR="00C32363" w:rsidRPr="00C32363" w:rsidRDefault="00C32363" w:rsidP="006A3EC0">
            <w:pPr>
              <w:spacing w:line="252" w:lineRule="auto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3918" w:type="pct"/>
          </w:tcPr>
          <w:p w14:paraId="357017FC" w14:textId="76D461D2" w:rsidR="00C32363" w:rsidRPr="00C32363" w:rsidRDefault="00C32363" w:rsidP="006A3EC0">
            <w:pPr>
              <w:spacing w:line="252" w:lineRule="auto"/>
              <w:rPr>
                <w:rFonts w:cs="Arial"/>
              </w:rPr>
            </w:pPr>
            <w:r>
              <w:rPr>
                <w:rFonts w:cs="Arial"/>
              </w:rPr>
              <w:t>F</w:t>
            </w:r>
            <w:r w:rsidRPr="00C32363">
              <w:rPr>
                <w:rFonts w:cs="Arial"/>
              </w:rPr>
              <w:t>ollow CIF instructions for Prior Authorizations or Clinical Exceptions</w:t>
            </w:r>
            <w:r w:rsidR="00227AB2">
              <w:rPr>
                <w:rFonts w:cs="Arial"/>
              </w:rPr>
              <w:t xml:space="preserve"> to educate the member </w:t>
            </w:r>
            <w:r w:rsidR="006074C1">
              <w:rPr>
                <w:rFonts w:cs="Arial"/>
              </w:rPr>
              <w:t>on the PA process for their plan.</w:t>
            </w:r>
          </w:p>
          <w:p w14:paraId="11AB9643" w14:textId="266DF672" w:rsidR="00C32363" w:rsidRPr="00C32363" w:rsidRDefault="00C32363" w:rsidP="006A3EC0">
            <w:pPr>
              <w:spacing w:line="252" w:lineRule="auto"/>
              <w:rPr>
                <w:rFonts w:cs="Arial"/>
              </w:rPr>
            </w:pPr>
            <w:r w:rsidRPr="00E325ED">
              <w:rPr>
                <w:rFonts w:cs="Arial"/>
                <w:noProof/>
              </w:rPr>
              <w:drawing>
                <wp:inline distT="0" distB="0" distL="0" distR="0" wp14:anchorId="63942E4E" wp14:editId="46C15DB2">
                  <wp:extent cx="238158" cy="209579"/>
                  <wp:effectExtent l="0" t="0" r="9525" b="0"/>
                  <wp:docPr id="1451915154" name="Picture 1451915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5ED">
              <w:rPr>
                <w:rFonts w:cs="Arial"/>
              </w:rPr>
              <w:t xml:space="preserve"> Please follow up with your prescriber for the determination of your Prior Authorization request.</w:t>
            </w:r>
          </w:p>
        </w:tc>
      </w:tr>
    </w:tbl>
    <w:p w14:paraId="1EDC49F3" w14:textId="77777777" w:rsidR="006237A2" w:rsidRPr="009B6667" w:rsidRDefault="006237A2" w:rsidP="00075945">
      <w:pPr>
        <w:rPr>
          <w:rFonts w:cs="Times New Roman"/>
          <w:color w:val="000000"/>
        </w:rPr>
      </w:pPr>
    </w:p>
    <w:p w14:paraId="67B3C823" w14:textId="0A1A6EFD" w:rsidR="00C32363" w:rsidRDefault="00362D54" w:rsidP="009B6667">
      <w:r w:rsidRPr="00E325ED">
        <w:rPr>
          <w:b/>
          <w:bCs/>
          <w:color w:val="000000"/>
        </w:rPr>
        <w:t>Prescriber</w:t>
      </w:r>
      <w:r w:rsidRPr="00E325ED">
        <w:rPr>
          <w:b/>
          <w:bCs/>
        </w:rPr>
        <w:t>s’ After-Hours Process:</w:t>
      </w:r>
      <w:r w:rsidRPr="00E325ED">
        <w:t xml:space="preserve"> In case of disconnect, provide the PA phone number to the prescriber from the rejected claim and cold transfer. </w:t>
      </w:r>
    </w:p>
    <w:p w14:paraId="7DCD61C3" w14:textId="65AAE22D" w:rsidR="00362D54" w:rsidRPr="00E325ED" w:rsidRDefault="00362D54" w:rsidP="009B6667">
      <w:pPr>
        <w:pStyle w:val="ListParagraph"/>
        <w:numPr>
          <w:ilvl w:val="0"/>
          <w:numId w:val="4"/>
        </w:numPr>
        <w:spacing w:before="120" w:after="120" w:line="252" w:lineRule="auto"/>
        <w:ind w:left="360"/>
        <w:rPr>
          <w:rFonts w:cs="Arial"/>
        </w:rPr>
      </w:pPr>
      <w:r w:rsidRPr="00E325ED">
        <w:rPr>
          <w:color w:val="000000"/>
        </w:rPr>
        <w:t xml:space="preserve">If there is no phone number in the reject, you may provide </w:t>
      </w:r>
      <w:r w:rsidRPr="00E325ED">
        <w:rPr>
          <w:b/>
          <w:bCs/>
          <w:color w:val="000000"/>
        </w:rPr>
        <w:t>1-800-294-5979</w:t>
      </w:r>
      <w:r w:rsidRPr="00E325ED">
        <w:rPr>
          <w:color w:val="000000"/>
        </w:rPr>
        <w:t xml:space="preserve">. </w:t>
      </w:r>
      <w:r w:rsidRPr="00E325ED">
        <w:rPr>
          <w:rFonts w:cs="Arial"/>
        </w:rPr>
        <w:t xml:space="preserve">The PA process can take up to 24 hours depending on the criteria. The prescriber may also submit an ePA request on </w:t>
      </w:r>
      <w:hyperlink r:id="rId16" w:history="1">
        <w:r w:rsidRPr="00E325ED">
          <w:rPr>
            <w:rStyle w:val="Hyperlink"/>
            <w:rFonts w:eastAsiaTheme="majorEastAsia" w:cs="Arial"/>
          </w:rPr>
          <w:t>https://www.covermymeds.com/epa/caremark/</w:t>
        </w:r>
      </w:hyperlink>
      <w:r w:rsidRPr="00E325ED">
        <w:rPr>
          <w:rStyle w:val="Hyperlink"/>
          <w:rFonts w:eastAsiaTheme="majorEastAsia" w:cs="Arial"/>
        </w:rPr>
        <w:t>.</w:t>
      </w:r>
      <w:r w:rsidRPr="00E325ED">
        <w:rPr>
          <w:rFonts w:cs="Arial"/>
        </w:rPr>
        <w:t xml:space="preserve"> </w:t>
      </w:r>
    </w:p>
    <w:p w14:paraId="4B2C6C00" w14:textId="77777777" w:rsidR="00362D54" w:rsidRPr="00E325ED" w:rsidRDefault="00362D54" w:rsidP="00075945">
      <w:pPr>
        <w:spacing w:line="254" w:lineRule="auto"/>
        <w:contextualSpacing/>
        <w:rPr>
          <w:rFonts w:cs="Arial"/>
        </w:rPr>
      </w:pPr>
    </w:p>
    <w:p w14:paraId="02382714" w14:textId="3320A478" w:rsidR="00362D54" w:rsidRPr="00E325ED" w:rsidRDefault="00362D54" w:rsidP="00075945">
      <w:pPr>
        <w:spacing w:line="254" w:lineRule="auto"/>
        <w:rPr>
          <w:rFonts w:cs="Arial"/>
        </w:rPr>
      </w:pPr>
      <w:bookmarkStart w:id="11" w:name="OLE_LINK27"/>
      <w:bookmarkStart w:id="12" w:name="OLE_LINK52"/>
      <w:r w:rsidRPr="00E325ED">
        <w:rPr>
          <w:rFonts w:cs="Arial"/>
        </w:rPr>
        <w:t xml:space="preserve">If initiated by ePA, the </w:t>
      </w:r>
      <w:r w:rsidRPr="00E325ED">
        <w:rPr>
          <w:color w:val="000000"/>
        </w:rPr>
        <w:t>prescriber</w:t>
      </w:r>
      <w:r w:rsidRPr="00E325ED">
        <w:rPr>
          <w:rFonts w:cs="Arial"/>
        </w:rPr>
        <w:t xml:space="preserve"> will receive immediate notification via CoverMyMeds, and they receive a fax within 15 minutes of determination. The member letter is mailed within 24 hours. </w:t>
      </w:r>
      <w:bookmarkEnd w:id="11"/>
      <w:bookmarkEnd w:id="12"/>
    </w:p>
    <w:p w14:paraId="3F3FCD08" w14:textId="77777777" w:rsidR="00362D54" w:rsidRPr="00E325ED" w:rsidRDefault="00362D54" w:rsidP="00075945">
      <w:pPr>
        <w:jc w:val="right"/>
        <w:rPr>
          <w:rFonts w:cs="Times New Roman"/>
        </w:rPr>
      </w:pPr>
    </w:p>
    <w:p w14:paraId="0DA9908A" w14:textId="77777777" w:rsidR="00362D54" w:rsidRPr="009B6667" w:rsidRDefault="00362D54" w:rsidP="009B6667">
      <w:pPr>
        <w:spacing w:before="0" w:after="0"/>
        <w:jc w:val="right"/>
        <w:rPr>
          <w:rStyle w:val="Hyperlink"/>
        </w:rPr>
      </w:pPr>
      <w:hyperlink w:anchor="_top" w:history="1">
        <w:r w:rsidRPr="00E325ED">
          <w:rPr>
            <w:rStyle w:val="Hyperlink"/>
          </w:rPr>
          <w:t>Top of the Document</w:t>
        </w:r>
        <w:bookmarkStart w:id="13" w:name="_Member_Callback_Requests"/>
        <w:bookmarkStart w:id="14" w:name="_Member_Callback_/"/>
        <w:bookmarkStart w:id="15" w:name="_Member_Requests_a"/>
        <w:bookmarkStart w:id="16" w:name="_Escalated_Callers"/>
        <w:bookmarkStart w:id="17" w:name="P31_972"/>
        <w:bookmarkStart w:id="18" w:name="_Rationale"/>
        <w:bookmarkStart w:id="19" w:name="_PA_Issues_vs."/>
        <w:bookmarkStart w:id="20" w:name="_Exception_Issues"/>
        <w:bookmarkStart w:id="21" w:name="_Exception_Issues_"/>
        <w:bookmarkStart w:id="22" w:name="_Exception_Review"/>
        <w:bookmarkEnd w:id="13"/>
        <w:bookmarkEnd w:id="14"/>
        <w:bookmarkEnd w:id="15"/>
        <w:bookmarkEnd w:id="16"/>
        <w:bookmarkEnd w:id="17"/>
        <w:bookmarkEnd w:id="18"/>
        <w:bookmarkEnd w:id="19"/>
        <w:bookmarkEnd w:id="20"/>
        <w:bookmarkEnd w:id="21"/>
        <w:bookmarkEnd w:id="22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362D54" w:rsidRPr="00E325ED" w14:paraId="473B9B64" w14:textId="77777777" w:rsidTr="00362D5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1AC670" w14:textId="77777777" w:rsidR="00362D54" w:rsidRPr="00E325ED" w:rsidRDefault="00CF03B9" w:rsidP="00075945">
            <w:pPr>
              <w:pStyle w:val="Heading2"/>
              <w:spacing w:line="256" w:lineRule="auto"/>
              <w:rPr>
                <w:rFonts w:cs="Arial"/>
                <w:i/>
              </w:rPr>
            </w:pPr>
            <w:bookmarkStart w:id="23" w:name="_Prior_Authorization_Review"/>
            <w:bookmarkStart w:id="24" w:name="_Toc138410561"/>
            <w:bookmarkStart w:id="25" w:name="_Toc3816094"/>
            <w:bookmarkStart w:id="26" w:name="_Toc3807680"/>
            <w:bookmarkStart w:id="27" w:name="_Toc2324125"/>
            <w:bookmarkStart w:id="28" w:name="_Toc197006213"/>
            <w:bookmarkEnd w:id="23"/>
            <w:r w:rsidRPr="00E325ED">
              <w:rPr>
                <w:rFonts w:cs="Arial"/>
                <w:iCs/>
              </w:rPr>
              <w:t xml:space="preserve">Prior Authorization or Clinical Exception </w:t>
            </w:r>
            <w:r w:rsidR="00362D54" w:rsidRPr="00E325ED">
              <w:rPr>
                <w:rFonts w:cs="Arial"/>
                <w:iCs/>
              </w:rPr>
              <w:t>Review Process Duplicate Requests</w:t>
            </w:r>
            <w:bookmarkEnd w:id="24"/>
            <w:bookmarkEnd w:id="25"/>
            <w:bookmarkEnd w:id="26"/>
            <w:bookmarkEnd w:id="27"/>
            <w:bookmarkEnd w:id="28"/>
          </w:p>
        </w:tc>
      </w:tr>
    </w:tbl>
    <w:p w14:paraId="54C529F6" w14:textId="77777777" w:rsidR="00362D54" w:rsidRPr="00E325ED" w:rsidRDefault="00362D54" w:rsidP="00D50E46">
      <w:r w:rsidRPr="67017D3A">
        <w:t>The following table provides scenario information regarding the process when duplicate prior authorization requests are received.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2"/>
        <w:gridCol w:w="4548"/>
      </w:tblGrid>
      <w:tr w:rsidR="00362D54" w:rsidRPr="00E325ED" w14:paraId="7C959A6A" w14:textId="77777777" w:rsidTr="00362D54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E7AC05" w14:textId="77777777" w:rsidR="00362D54" w:rsidRPr="00E325ED" w:rsidRDefault="00362D54" w:rsidP="00075945">
            <w:pPr>
              <w:spacing w:line="256" w:lineRule="auto"/>
              <w:jc w:val="center"/>
              <w:rPr>
                <w:b/>
              </w:rPr>
            </w:pPr>
            <w:r w:rsidRPr="00E325ED">
              <w:rPr>
                <w:b/>
              </w:rPr>
              <w:t>If...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EF3A4" w14:textId="77777777" w:rsidR="00362D54" w:rsidRPr="00E325ED" w:rsidRDefault="00362D54" w:rsidP="00075945">
            <w:pPr>
              <w:spacing w:line="256" w:lineRule="auto"/>
              <w:jc w:val="center"/>
              <w:rPr>
                <w:b/>
              </w:rPr>
            </w:pPr>
            <w:r w:rsidRPr="00E325ED">
              <w:rPr>
                <w:b/>
              </w:rPr>
              <w:t>Then...</w:t>
            </w:r>
          </w:p>
        </w:tc>
      </w:tr>
      <w:tr w:rsidR="00362D54" w:rsidRPr="00E325ED" w14:paraId="4F4623E7" w14:textId="77777777" w:rsidTr="00362D54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CB6C" w14:textId="77777777" w:rsidR="00362D54" w:rsidRPr="00E325ED" w:rsidRDefault="00362D54" w:rsidP="00075945">
            <w:pPr>
              <w:spacing w:line="256" w:lineRule="auto"/>
            </w:pPr>
            <w:r w:rsidRPr="00E325ED">
              <w:t>The Prior Authorization Department receives a second request for the same drug within the timeline for appeal listed on the denial letter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ABE6" w14:textId="77777777" w:rsidR="00362D54" w:rsidRPr="00E325ED" w:rsidRDefault="00362D54" w:rsidP="00075945">
            <w:pPr>
              <w:spacing w:line="256" w:lineRule="auto"/>
            </w:pPr>
            <w:r w:rsidRPr="00E325ED">
              <w:t xml:space="preserve">A new request will be opened.  </w:t>
            </w:r>
          </w:p>
          <w:p w14:paraId="79D08333" w14:textId="7F8DD3FE" w:rsidR="00362D54" w:rsidRPr="00E325ED" w:rsidRDefault="00362D54" w:rsidP="00075945">
            <w:pPr>
              <w:spacing w:line="256" w:lineRule="auto"/>
            </w:pPr>
            <w:r w:rsidRPr="00E325ED">
              <w:rPr>
                <w:b/>
              </w:rPr>
              <w:t>Note:</w:t>
            </w:r>
            <w:r w:rsidRPr="00E325ED">
              <w:t xml:space="preserve"> The request will not be forwarded to Appeals unless specifically requested by the sender.</w:t>
            </w:r>
          </w:p>
        </w:tc>
      </w:tr>
      <w:tr w:rsidR="00362D54" w:rsidRPr="00E325ED" w14:paraId="15D247AB" w14:textId="77777777" w:rsidTr="00362D54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2FCE" w14:textId="77777777" w:rsidR="00362D54" w:rsidRPr="00E325ED" w:rsidRDefault="00362D54" w:rsidP="00075945">
            <w:pPr>
              <w:spacing w:line="256" w:lineRule="auto"/>
            </w:pPr>
            <w:r w:rsidRPr="00E325ED">
              <w:t>Additional request is received, or appeal is specifically requested for the same drug within the timeline for appeal listed on the denial letter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D857" w14:textId="77777777" w:rsidR="00362D54" w:rsidRPr="00E325ED" w:rsidRDefault="00362D54" w:rsidP="00075945">
            <w:pPr>
              <w:spacing w:line="256" w:lineRule="auto"/>
            </w:pPr>
            <w:r w:rsidRPr="00E325ED">
              <w:t>Request is forwarded to Appeals (if our PBM handles the appeal process).</w:t>
            </w:r>
          </w:p>
        </w:tc>
      </w:tr>
      <w:tr w:rsidR="00362D54" w:rsidRPr="00E325ED" w14:paraId="6AFD5F4B" w14:textId="77777777" w:rsidTr="00362D54">
        <w:tc>
          <w:tcPr>
            <w:tcW w:w="2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183A" w14:textId="56CC307C" w:rsidR="00362D54" w:rsidRPr="00E325ED" w:rsidRDefault="00362D54" w:rsidP="00075945">
            <w:pPr>
              <w:spacing w:line="256" w:lineRule="auto"/>
              <w:rPr>
                <w:color w:val="000000"/>
              </w:rPr>
            </w:pPr>
            <w:r w:rsidRPr="00E325ED">
              <w:rPr>
                <w:color w:val="000000"/>
              </w:rPr>
              <w:t>Prior Authorization Department receives a new request for the same drug, after the timeline for appeal listed on the denial letter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5040" w14:textId="555EFFC2" w:rsidR="00362D54" w:rsidRPr="00E325ED" w:rsidRDefault="00362D54" w:rsidP="00075945">
            <w:pPr>
              <w:spacing w:line="256" w:lineRule="auto"/>
              <w:rPr>
                <w:color w:val="000000"/>
              </w:rPr>
            </w:pPr>
            <w:r w:rsidRPr="00E325ED">
              <w:rPr>
                <w:color w:val="000000"/>
              </w:rPr>
              <w:t xml:space="preserve">A new </w:t>
            </w:r>
            <w:r w:rsidR="00CF03B9" w:rsidRPr="00E325ED">
              <w:rPr>
                <w:color w:val="000000"/>
              </w:rPr>
              <w:t>PA or Clinical Exception</w:t>
            </w:r>
            <w:r w:rsidR="004F2E18" w:rsidRPr="00E325ED">
              <w:rPr>
                <w:color w:val="000000"/>
              </w:rPr>
              <w:t xml:space="preserve"> </w:t>
            </w:r>
            <w:r w:rsidRPr="00E325ED">
              <w:rPr>
                <w:color w:val="000000"/>
              </w:rPr>
              <w:t>is opened and worked.</w:t>
            </w:r>
          </w:p>
        </w:tc>
      </w:tr>
    </w:tbl>
    <w:p w14:paraId="153DBB5B" w14:textId="77777777" w:rsidR="00362D54" w:rsidRPr="00E325ED" w:rsidRDefault="00362D54" w:rsidP="00075945">
      <w:pPr>
        <w:rPr>
          <w:rFonts w:eastAsia="Times New Roman"/>
          <w:color w:val="000000"/>
        </w:rPr>
      </w:pPr>
    </w:p>
    <w:p w14:paraId="7C4961DB" w14:textId="77777777" w:rsidR="00362D54" w:rsidRPr="00E325ED" w:rsidRDefault="00362D54" w:rsidP="009B6667">
      <w:pPr>
        <w:spacing w:before="0" w:after="0"/>
        <w:jc w:val="right"/>
      </w:pPr>
      <w:hyperlink w:anchor="_top" w:history="1">
        <w:r w:rsidRPr="00E325ED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9350"/>
      </w:tblGrid>
      <w:tr w:rsidR="00362D54" w:rsidRPr="00E325ED" w14:paraId="65E1A51C" w14:textId="77777777" w:rsidTr="00362D5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3BF98F" w14:textId="77777777" w:rsidR="00362D54" w:rsidRPr="00E325ED" w:rsidRDefault="00CF03B9" w:rsidP="00075945">
            <w:pPr>
              <w:pStyle w:val="Heading2"/>
              <w:spacing w:line="256" w:lineRule="auto"/>
              <w:rPr>
                <w:rFonts w:cs="Arial"/>
                <w:i/>
              </w:rPr>
            </w:pPr>
            <w:bookmarkStart w:id="29" w:name="_Prior_Authorization_Back"/>
            <w:bookmarkStart w:id="30" w:name="_Prior_Authorization_-"/>
            <w:bookmarkStart w:id="31" w:name="_Toc138410562"/>
            <w:bookmarkStart w:id="32" w:name="_Toc3816095"/>
            <w:bookmarkStart w:id="33" w:name="_Toc3807681"/>
            <w:bookmarkStart w:id="34" w:name="_Toc2324126"/>
            <w:bookmarkStart w:id="35" w:name="_Toc197006214"/>
            <w:bookmarkStart w:id="36" w:name="_Hlk113543476"/>
            <w:bookmarkEnd w:id="29"/>
            <w:bookmarkEnd w:id="30"/>
            <w:r w:rsidRPr="00E325ED">
              <w:rPr>
                <w:rFonts w:cs="Arial"/>
                <w:iCs/>
              </w:rPr>
              <w:t xml:space="preserve">Prior Authorization or Clinical Exception </w:t>
            </w:r>
            <w:r w:rsidR="00362D54" w:rsidRPr="00E325ED">
              <w:rPr>
                <w:rFonts w:cs="Arial"/>
                <w:iCs/>
              </w:rPr>
              <w:t>Back Dating Requests</w:t>
            </w:r>
            <w:bookmarkEnd w:id="31"/>
            <w:bookmarkEnd w:id="32"/>
            <w:bookmarkEnd w:id="33"/>
            <w:bookmarkEnd w:id="34"/>
            <w:bookmarkEnd w:id="35"/>
          </w:p>
        </w:tc>
      </w:tr>
    </w:tbl>
    <w:bookmarkEnd w:id="36"/>
    <w:p w14:paraId="1C880BED" w14:textId="77777777" w:rsidR="00362D54" w:rsidRPr="00E325ED" w:rsidRDefault="00362D54" w:rsidP="00075945">
      <w:pPr>
        <w:rPr>
          <w:rFonts w:eastAsia="Times New Roman" w:cs="Times New Roman"/>
        </w:rPr>
      </w:pPr>
      <w:r w:rsidRPr="00E325ED">
        <w:t xml:space="preserve">Refer to the following when a member or prescriber requests that a </w:t>
      </w:r>
      <w:r w:rsidR="00CF03B9" w:rsidRPr="00E325ED">
        <w:t>PA or Clinical Exception</w:t>
      </w:r>
      <w:r w:rsidR="004F2E18" w:rsidRPr="00E325ED">
        <w:t xml:space="preserve"> </w:t>
      </w:r>
      <w:r w:rsidRPr="00E325ED">
        <w:t>be backdated for retroactive coverage:</w:t>
      </w:r>
    </w:p>
    <w:p w14:paraId="2A3E3407" w14:textId="7C88502E" w:rsidR="00362D54" w:rsidRPr="00E325ED" w:rsidRDefault="00362D54" w:rsidP="00075945"/>
    <w:p w14:paraId="2F5EBB79" w14:textId="77777777" w:rsidR="00362D54" w:rsidRPr="00E325ED" w:rsidRDefault="00362D54" w:rsidP="00075945">
      <w:pPr>
        <w:rPr>
          <w:b/>
        </w:rPr>
      </w:pPr>
      <w:r w:rsidRPr="00E325ED">
        <w:rPr>
          <w:b/>
        </w:rPr>
        <w:t>Notes:</w:t>
      </w:r>
    </w:p>
    <w:p w14:paraId="604ADD02" w14:textId="77777777" w:rsidR="00362D54" w:rsidRPr="00E325ED" w:rsidRDefault="00362D54" w:rsidP="00075945">
      <w:pPr>
        <w:pStyle w:val="ListParagraph"/>
        <w:numPr>
          <w:ilvl w:val="0"/>
          <w:numId w:val="5"/>
        </w:numPr>
        <w:spacing w:before="120" w:after="120"/>
        <w:ind w:left="540"/>
      </w:pPr>
      <w:r w:rsidRPr="00E325ED">
        <w:t xml:space="preserve">The maximum time that the PA Dept can backdate is 30 days, which depends on the client and how far back the plan allows. </w:t>
      </w:r>
    </w:p>
    <w:p w14:paraId="330D7D94" w14:textId="77777777" w:rsidR="00362D54" w:rsidRPr="00E325ED" w:rsidRDefault="00362D54" w:rsidP="00075945">
      <w:pPr>
        <w:pStyle w:val="ListParagraph"/>
        <w:numPr>
          <w:ilvl w:val="0"/>
          <w:numId w:val="5"/>
        </w:numPr>
        <w:spacing w:before="120" w:after="120"/>
        <w:ind w:left="540"/>
      </w:pPr>
      <w:r w:rsidRPr="00E325ED">
        <w:t xml:space="preserve">If the date change request is beyond 30 days, and if the CIF allows, then that request must be sent to the account team for approval via salesforce case. </w:t>
      </w:r>
    </w:p>
    <w:p w14:paraId="2797672A" w14:textId="77777777" w:rsidR="00362D54" w:rsidRPr="00E325ED" w:rsidRDefault="00362D54" w:rsidP="00075945">
      <w:pPr>
        <w:pStyle w:val="ListParagraph"/>
        <w:numPr>
          <w:ilvl w:val="0"/>
          <w:numId w:val="5"/>
        </w:numPr>
        <w:spacing w:before="120" w:after="120"/>
        <w:ind w:left="540"/>
      </w:pPr>
      <w:r w:rsidRPr="00E325ED">
        <w:t xml:space="preserve">There are clients who do not allow backdates of any kind on a </w:t>
      </w:r>
      <w:r w:rsidR="00CF03B9" w:rsidRPr="00E325ED">
        <w:t>PA or Clinical Exception</w:t>
      </w:r>
      <w:r w:rsidR="002E274B" w:rsidRPr="00E325ED">
        <w:t xml:space="preserve">, </w:t>
      </w:r>
      <w:r w:rsidRPr="00E325ED">
        <w:t xml:space="preserve">and this process may require an appeal. </w:t>
      </w:r>
    </w:p>
    <w:p w14:paraId="765D8C46" w14:textId="77777777" w:rsidR="00E32F29" w:rsidRPr="00E325ED" w:rsidRDefault="004F74F9" w:rsidP="00075945">
      <w:pPr>
        <w:pStyle w:val="ListParagraph"/>
        <w:numPr>
          <w:ilvl w:val="0"/>
          <w:numId w:val="5"/>
        </w:numPr>
        <w:spacing w:before="120" w:after="120"/>
        <w:ind w:left="540"/>
      </w:pPr>
      <w:r w:rsidRPr="00E325ED">
        <w:t xml:space="preserve">For Commercial Prior Authorization requests for Specialty medications, </w:t>
      </w:r>
      <w:r w:rsidR="00DF5234" w:rsidRPr="00E325ED">
        <w:t>refer to</w:t>
      </w:r>
      <w:r w:rsidR="00E32F29" w:rsidRPr="00E325ED">
        <w:t xml:space="preserve"> the system appropriate steps below as specialty has their own process.</w:t>
      </w:r>
    </w:p>
    <w:p w14:paraId="7DDB4759" w14:textId="1478E6D4" w:rsidR="00E32F29" w:rsidRPr="006237A2" w:rsidRDefault="00E32F29" w:rsidP="00075945">
      <w:pPr>
        <w:pStyle w:val="ListParagraph"/>
        <w:numPr>
          <w:ilvl w:val="1"/>
          <w:numId w:val="15"/>
        </w:numPr>
        <w:spacing w:before="120" w:after="120"/>
        <w:rPr>
          <w:rStyle w:val="Hyperlink"/>
        </w:rPr>
      </w:pPr>
      <w:r w:rsidRPr="00E325ED">
        <w:t xml:space="preserve">For </w:t>
      </w:r>
      <w:r w:rsidRPr="009B6667">
        <w:rPr>
          <w:b/>
          <w:bCs/>
        </w:rPr>
        <w:t>PeopleSafe</w:t>
      </w:r>
      <w:r w:rsidRPr="00E325ED">
        <w:t xml:space="preserve"> users</w:t>
      </w:r>
      <w:r w:rsidR="006237A2">
        <w:t>, refer to</w:t>
      </w:r>
      <w:r w:rsidR="00DF5234" w:rsidRPr="00E325ED">
        <w:t xml:space="preserve"> </w:t>
      </w:r>
      <w:r w:rsidR="006237A2">
        <w:fldChar w:fldCharType="begin"/>
      </w:r>
      <w:r w:rsidR="006237A2">
        <w:instrText>HYPERLINK "https://thesource.cvshealth.com/nuxeo/thesource/" \l "!/view?docid=2eb2f621-bbbb-4e0e-9189-6b47d44f42b3"</w:instrText>
      </w:r>
      <w:r w:rsidR="006237A2">
        <w:fldChar w:fldCharType="separate"/>
      </w:r>
      <w:proofErr w:type="spellStart"/>
      <w:r w:rsidR="006237A2" w:rsidRPr="006237A2">
        <w:rPr>
          <w:rStyle w:val="Hyperlink"/>
        </w:rPr>
        <w:t>PeopleSafe</w:t>
      </w:r>
      <w:proofErr w:type="spellEnd"/>
      <w:r w:rsidR="006237A2" w:rsidRPr="006237A2">
        <w:rPr>
          <w:rStyle w:val="Hyperlink"/>
        </w:rPr>
        <w:t xml:space="preserve"> - </w:t>
      </w:r>
      <w:r w:rsidR="00C26AA9" w:rsidRPr="006237A2">
        <w:rPr>
          <w:rStyle w:val="Hyperlink"/>
        </w:rPr>
        <w:t>Specialty Pharmacy (CTS – Caremark Therapeutic Pharmacy Services) Call Handling</w:t>
      </w:r>
      <w:r w:rsidR="00A4003B" w:rsidRPr="006237A2">
        <w:rPr>
          <w:rStyle w:val="Hyperlink"/>
        </w:rPr>
        <w:t xml:space="preserve"> </w:t>
      </w:r>
      <w:r w:rsidR="006237A2" w:rsidRPr="006237A2">
        <w:rPr>
          <w:rStyle w:val="Hyperlink"/>
        </w:rPr>
        <w:t>(007148)</w:t>
      </w:r>
    </w:p>
    <w:p w14:paraId="604D0D27" w14:textId="12FA5818" w:rsidR="004F74F9" w:rsidRPr="006237A2" w:rsidRDefault="006237A2" w:rsidP="00075945">
      <w:pPr>
        <w:pStyle w:val="ListParagraph"/>
        <w:numPr>
          <w:ilvl w:val="1"/>
          <w:numId w:val="15"/>
        </w:numPr>
        <w:spacing w:before="120" w:after="120"/>
      </w:pPr>
      <w:r>
        <w:fldChar w:fldCharType="end"/>
      </w:r>
      <w:r w:rsidR="00E32F29" w:rsidRPr="00E325ED">
        <w:t xml:space="preserve">For </w:t>
      </w:r>
      <w:r w:rsidR="00E32F29" w:rsidRPr="009B6667">
        <w:rPr>
          <w:b/>
          <w:bCs/>
        </w:rPr>
        <w:t>Compass</w:t>
      </w:r>
      <w:r w:rsidR="00E32F29" w:rsidRPr="00E325ED">
        <w:t xml:space="preserve"> users</w:t>
      </w:r>
      <w:r>
        <w:t>, refer to</w:t>
      </w:r>
      <w:r w:rsidR="005906D2" w:rsidRPr="00E325ED">
        <w:t xml:space="preserve"> </w:t>
      </w:r>
      <w:hyperlink r:id="rId17" w:anchor="!/view?docid=845064bd-8ae0-4d30-af0a-e21d6d81933c" w:history="1">
        <w:r w:rsidR="005906D2" w:rsidRPr="009B6667">
          <w:rPr>
            <w:rStyle w:val="Hyperlink"/>
          </w:rPr>
          <w:t>Compass - Specialty Pharmacy (CTS - Caremark Therapeutic Pharmacy Services) Call Handling</w:t>
        </w:r>
        <w:r w:rsidR="002D0B66" w:rsidRPr="009B6667">
          <w:rPr>
            <w:rStyle w:val="Hyperlink"/>
          </w:rPr>
          <w:t xml:space="preserve"> </w:t>
        </w:r>
        <w:r w:rsidRPr="009B6667">
          <w:rPr>
            <w:rStyle w:val="Hyperlink"/>
          </w:rPr>
          <w:t>(058175)</w:t>
        </w:r>
      </w:hyperlink>
    </w:p>
    <w:p w14:paraId="06FE79B2" w14:textId="77777777" w:rsidR="00362D54" w:rsidRPr="00E325ED" w:rsidRDefault="00362D54" w:rsidP="009B6667"/>
    <w:p w14:paraId="6B8F640C" w14:textId="77777777" w:rsidR="00362D54" w:rsidRPr="00E325ED" w:rsidRDefault="00362D54" w:rsidP="00075945">
      <w:r w:rsidRPr="00E325ED">
        <w:t>Refer to the following:</w:t>
      </w:r>
    </w:p>
    <w:tbl>
      <w:tblPr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160"/>
        <w:gridCol w:w="1098"/>
        <w:gridCol w:w="6216"/>
      </w:tblGrid>
      <w:tr w:rsidR="00362D54" w:rsidRPr="00E325ED" w14:paraId="577F3D99" w14:textId="77777777" w:rsidTr="00D50E46">
        <w:trPr>
          <w:trHeight w:val="552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E1E03" w14:textId="77777777" w:rsidR="00362D54" w:rsidRPr="00E325ED" w:rsidRDefault="00362D54" w:rsidP="00075945">
            <w:pPr>
              <w:spacing w:line="256" w:lineRule="auto"/>
              <w:jc w:val="center"/>
              <w:rPr>
                <w:b/>
              </w:rPr>
            </w:pPr>
            <w:r w:rsidRPr="00E325ED">
              <w:rPr>
                <w:b/>
              </w:rPr>
              <w:t>Step</w:t>
            </w:r>
          </w:p>
        </w:tc>
        <w:tc>
          <w:tcPr>
            <w:tcW w:w="47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D24A76" w14:textId="77777777" w:rsidR="00362D54" w:rsidRPr="00E325ED" w:rsidRDefault="00362D54" w:rsidP="00075945">
            <w:pPr>
              <w:spacing w:line="256" w:lineRule="auto"/>
              <w:jc w:val="center"/>
              <w:rPr>
                <w:b/>
              </w:rPr>
            </w:pPr>
            <w:r w:rsidRPr="00E325ED">
              <w:rPr>
                <w:b/>
              </w:rPr>
              <w:t>Action</w:t>
            </w:r>
          </w:p>
        </w:tc>
      </w:tr>
      <w:tr w:rsidR="00362D54" w:rsidRPr="00E325ED" w14:paraId="662ECB7B" w14:textId="77777777" w:rsidTr="00D50E46">
        <w:trPr>
          <w:trHeight w:val="566"/>
        </w:trPr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F3CE" w14:textId="29124E50" w:rsidR="00362D54" w:rsidRPr="00E325ED" w:rsidRDefault="00362D54" w:rsidP="00075945">
            <w:pPr>
              <w:spacing w:line="256" w:lineRule="auto"/>
              <w:jc w:val="center"/>
              <w:rPr>
                <w:b/>
              </w:rPr>
            </w:pPr>
            <w:r w:rsidRPr="00E325ED">
              <w:rPr>
                <w:b/>
              </w:rPr>
              <w:t>1</w:t>
            </w:r>
          </w:p>
        </w:tc>
        <w:tc>
          <w:tcPr>
            <w:tcW w:w="470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F12" w14:textId="77777777" w:rsidR="00362D54" w:rsidRPr="00E325ED" w:rsidRDefault="00362D54" w:rsidP="00075945">
            <w:pPr>
              <w:spacing w:line="256" w:lineRule="auto"/>
            </w:pPr>
            <w:r w:rsidRPr="00E325ED">
              <w:t>Review the CIF to determine if the client allows backdating.</w:t>
            </w:r>
          </w:p>
        </w:tc>
      </w:tr>
      <w:tr w:rsidR="00362D54" w:rsidRPr="00E325ED" w14:paraId="3DEFE4B4" w14:textId="77777777" w:rsidTr="00D50E46">
        <w:trPr>
          <w:trHeight w:val="1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14A3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C17AB8" w14:textId="77777777" w:rsidR="00362D54" w:rsidRPr="00E325ED" w:rsidRDefault="00362D54" w:rsidP="00075945">
            <w:pPr>
              <w:spacing w:line="256" w:lineRule="auto"/>
              <w:jc w:val="center"/>
              <w:rPr>
                <w:b/>
              </w:rPr>
            </w:pPr>
            <w:r w:rsidRPr="00E325ED">
              <w:rPr>
                <w:b/>
              </w:rPr>
              <w:t>If…</w:t>
            </w:r>
          </w:p>
        </w:tc>
        <w:tc>
          <w:tcPr>
            <w:tcW w:w="3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DC5F4" w14:textId="77777777" w:rsidR="00362D54" w:rsidRPr="00E325ED" w:rsidRDefault="00362D54" w:rsidP="00075945">
            <w:pPr>
              <w:spacing w:line="256" w:lineRule="auto"/>
              <w:jc w:val="center"/>
              <w:rPr>
                <w:b/>
              </w:rPr>
            </w:pPr>
            <w:r w:rsidRPr="00E325ED">
              <w:rPr>
                <w:b/>
              </w:rPr>
              <w:t>Then…</w:t>
            </w:r>
          </w:p>
        </w:tc>
      </w:tr>
      <w:tr w:rsidR="00362D54" w:rsidRPr="00E325ED" w14:paraId="154F5AF2" w14:textId="77777777" w:rsidTr="00D50E46">
        <w:trPr>
          <w:trHeight w:val="1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596AC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10B0" w14:textId="77777777" w:rsidR="00362D54" w:rsidRPr="00E325ED" w:rsidRDefault="00362D54" w:rsidP="00075945">
            <w:pPr>
              <w:spacing w:line="256" w:lineRule="auto"/>
            </w:pPr>
            <w:r w:rsidRPr="00E325ED">
              <w:t>Yes</w:t>
            </w:r>
          </w:p>
        </w:tc>
        <w:tc>
          <w:tcPr>
            <w:tcW w:w="3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FF5D" w14:textId="77777777" w:rsidR="00362D54" w:rsidRPr="00E325ED" w:rsidRDefault="00362D54" w:rsidP="00075945">
            <w:pPr>
              <w:spacing w:line="256" w:lineRule="auto"/>
            </w:pPr>
            <w:r w:rsidRPr="00E325ED">
              <w:t>Review the CIF to determine if we handle the PA</w:t>
            </w:r>
            <w:r w:rsidR="00CF03B9" w:rsidRPr="00E325ED">
              <w:t xml:space="preserve"> or</w:t>
            </w:r>
            <w:r w:rsidRPr="00E325ED">
              <w:t xml:space="preserve"> Clinical Exception</w:t>
            </w:r>
            <w:r w:rsidR="00CF03B9" w:rsidRPr="00E325ED">
              <w:t>.</w:t>
            </w:r>
          </w:p>
        </w:tc>
      </w:tr>
      <w:tr w:rsidR="00362D54" w:rsidRPr="00E325ED" w14:paraId="22235736" w14:textId="77777777" w:rsidTr="00D50E46">
        <w:trPr>
          <w:trHeight w:val="3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0A652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9584E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D6ADF" w14:textId="77777777" w:rsidR="00362D54" w:rsidRPr="00E325ED" w:rsidRDefault="00362D54" w:rsidP="00075945">
            <w:pPr>
              <w:spacing w:line="256" w:lineRule="auto"/>
              <w:jc w:val="center"/>
            </w:pPr>
            <w:r w:rsidRPr="00E325ED">
              <w:rPr>
                <w:b/>
              </w:rPr>
              <w:t>If…</w:t>
            </w: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9D23D" w14:textId="77777777" w:rsidR="00362D54" w:rsidRPr="00E325ED" w:rsidRDefault="00362D54" w:rsidP="00075945">
            <w:pPr>
              <w:spacing w:line="256" w:lineRule="auto"/>
              <w:jc w:val="center"/>
            </w:pPr>
            <w:r w:rsidRPr="00E325ED">
              <w:rPr>
                <w:b/>
              </w:rPr>
              <w:t>Then…</w:t>
            </w:r>
          </w:p>
        </w:tc>
      </w:tr>
      <w:tr w:rsidR="00362D54" w:rsidRPr="00E325ED" w14:paraId="0F7E14AB" w14:textId="77777777" w:rsidTr="00D50E46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57F6B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60CAD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3CC4" w14:textId="77777777" w:rsidR="00362D54" w:rsidRPr="00E325ED" w:rsidRDefault="00362D54" w:rsidP="00075945">
            <w:pPr>
              <w:spacing w:line="256" w:lineRule="auto"/>
            </w:pPr>
            <w:r w:rsidRPr="00E325ED">
              <w:t>Yes</w:t>
            </w: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5A98" w14:textId="61779058" w:rsidR="00C32363" w:rsidRDefault="00E32F29" w:rsidP="00075945">
            <w:pPr>
              <w:autoSpaceDE w:val="0"/>
              <w:autoSpaceDN w:val="0"/>
              <w:adjustRightInd w:val="0"/>
              <w:spacing w:line="256" w:lineRule="auto"/>
              <w:rPr>
                <w:b/>
                <w:bCs/>
              </w:rPr>
            </w:pPr>
            <w:r w:rsidRPr="00E325ED">
              <w:t xml:space="preserve">Warm transfer </w:t>
            </w:r>
            <w:r w:rsidR="00362D54" w:rsidRPr="00E325ED">
              <w:rPr>
                <w:color w:val="000000"/>
              </w:rPr>
              <w:t xml:space="preserve">the </w:t>
            </w:r>
            <w:r w:rsidR="00362D54" w:rsidRPr="00E325ED">
              <w:t xml:space="preserve">caller to </w:t>
            </w:r>
            <w:r w:rsidR="00362D54" w:rsidRPr="00E325ED">
              <w:rPr>
                <w:bCs/>
              </w:rPr>
              <w:t xml:space="preserve">the PA department using the number from the rejected claim. </w:t>
            </w:r>
          </w:p>
          <w:p w14:paraId="2D396FAD" w14:textId="24614E75" w:rsidR="00E32F29" w:rsidRPr="00E325ED" w:rsidRDefault="00C32363" w:rsidP="00075945">
            <w:pPr>
              <w:autoSpaceDE w:val="0"/>
              <w:autoSpaceDN w:val="0"/>
              <w:adjustRightInd w:val="0"/>
              <w:spacing w:line="256" w:lineRule="auto"/>
              <w:rPr>
                <w:color w:val="000000"/>
              </w:rPr>
            </w:pPr>
            <w:r w:rsidRPr="009B6667">
              <w:rPr>
                <w:b/>
                <w:bCs/>
              </w:rPr>
              <w:t>Note:</w:t>
            </w:r>
            <w:r w:rsidRPr="009B6667">
              <w:t xml:space="preserve"> If</w:t>
            </w:r>
            <w:r w:rsidRPr="00E325ED">
              <w:rPr>
                <w:color w:val="000000"/>
              </w:rPr>
              <w:t xml:space="preserve"> there is no phone number in the reject, you may provide </w:t>
            </w:r>
            <w:r w:rsidRPr="00E325ED">
              <w:rPr>
                <w:b/>
                <w:bCs/>
                <w:color w:val="000000"/>
              </w:rPr>
              <w:t>1-800-294-5979</w:t>
            </w:r>
            <w:r w:rsidRPr="00E325ED">
              <w:t>.</w:t>
            </w:r>
          </w:p>
        </w:tc>
      </w:tr>
      <w:tr w:rsidR="0076292C" w:rsidRPr="00E325ED" w14:paraId="0E5E0201" w14:textId="77777777" w:rsidTr="0081501E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33B6" w14:textId="77777777" w:rsidR="0076292C" w:rsidRPr="00E325ED" w:rsidRDefault="0076292C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BCFC" w14:textId="77777777" w:rsidR="0076292C" w:rsidRPr="00E325ED" w:rsidRDefault="0076292C" w:rsidP="00075945">
            <w:pPr>
              <w:spacing w:line="25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F0A8" w14:textId="2B10E4D4" w:rsidR="0076292C" w:rsidRPr="00E325ED" w:rsidRDefault="00CB2681" w:rsidP="00075945">
            <w:pPr>
              <w:spacing w:line="256" w:lineRule="auto"/>
            </w:pPr>
            <w:r>
              <w:rPr>
                <w:noProof/>
              </w:rPr>
              <w:drawing>
                <wp:inline distT="0" distB="0" distL="0" distR="0" wp14:anchorId="422764C5" wp14:editId="7523ABD4">
                  <wp:extent cx="304762" cy="304762"/>
                  <wp:effectExtent l="0" t="0" r="635" b="635"/>
                  <wp:docPr id="10110290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029096" name="Picture 101102909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02BDE" w:rsidRPr="00E02BDE">
              <w:t>Yes and beyond 30 days</w:t>
            </w: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A2017" w14:textId="080CEC55" w:rsidR="0076292C" w:rsidRPr="00E325ED" w:rsidRDefault="00CB2681" w:rsidP="00075945">
            <w:pPr>
              <w:autoSpaceDE w:val="0"/>
              <w:autoSpaceDN w:val="0"/>
              <w:adjustRightInd w:val="0"/>
              <w:spacing w:line="256" w:lineRule="auto"/>
            </w:pPr>
            <w:r>
              <w:rPr>
                <w:noProof/>
              </w:rPr>
              <w:drawing>
                <wp:inline distT="0" distB="0" distL="0" distR="0" wp14:anchorId="72D33378" wp14:editId="1B49D483">
                  <wp:extent cx="304762" cy="304762"/>
                  <wp:effectExtent l="0" t="0" r="635" b="635"/>
                  <wp:docPr id="11092881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288187" name="Picture 110928818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501E" w:rsidRPr="0081501E">
              <w:t>The request must be sent to the account team for approval via Salesforce case. Contact the Senior Team</w:t>
            </w:r>
            <w:r w:rsidR="00EE454D">
              <w:t xml:space="preserve"> for assist</w:t>
            </w:r>
            <w:r w:rsidR="00290D60">
              <w:t>ance</w:t>
            </w:r>
            <w:r w:rsidR="0081501E" w:rsidRPr="0081501E">
              <w:t>.</w:t>
            </w:r>
          </w:p>
        </w:tc>
      </w:tr>
      <w:tr w:rsidR="00362D54" w:rsidRPr="00E325ED" w14:paraId="5F604DFE" w14:textId="77777777" w:rsidTr="00D50E46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AF45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FF163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3E9A" w14:textId="77777777" w:rsidR="00362D54" w:rsidRPr="00E325ED" w:rsidRDefault="00362D54" w:rsidP="00075945">
            <w:pPr>
              <w:spacing w:line="256" w:lineRule="auto"/>
            </w:pPr>
            <w:r w:rsidRPr="00E325ED">
              <w:t>No</w:t>
            </w:r>
          </w:p>
        </w:tc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7967" w14:textId="77777777" w:rsidR="00362D54" w:rsidRPr="00E325ED" w:rsidRDefault="00362D54" w:rsidP="00075945">
            <w:pPr>
              <w:spacing w:line="256" w:lineRule="auto"/>
            </w:pPr>
            <w:r w:rsidRPr="00E325ED">
              <w:rPr>
                <w:color w:val="000000"/>
              </w:rPr>
              <w:t xml:space="preserve">Review the </w:t>
            </w:r>
            <w:r w:rsidR="00CF03B9" w:rsidRPr="00E325ED">
              <w:rPr>
                <w:color w:val="000000"/>
              </w:rPr>
              <w:t>PA or Clinical Exception</w:t>
            </w:r>
            <w:r w:rsidR="002B31AF" w:rsidRPr="00E325ED">
              <w:rPr>
                <w:color w:val="000000"/>
              </w:rPr>
              <w:t xml:space="preserve"> </w:t>
            </w:r>
            <w:r w:rsidRPr="00E325ED">
              <w:rPr>
                <w:color w:val="000000"/>
              </w:rPr>
              <w:t>information listed in the CIF with the caller and follow process listed.</w:t>
            </w:r>
          </w:p>
        </w:tc>
      </w:tr>
      <w:tr w:rsidR="00362D54" w:rsidRPr="00E325ED" w14:paraId="4DF2B233" w14:textId="77777777" w:rsidTr="00D50E46">
        <w:trPr>
          <w:trHeight w:val="1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E07E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05BB" w14:textId="77777777" w:rsidR="00362D54" w:rsidRPr="00E325ED" w:rsidRDefault="00362D54" w:rsidP="00075945">
            <w:pPr>
              <w:spacing w:line="256" w:lineRule="auto"/>
            </w:pPr>
            <w:r w:rsidRPr="00E325ED">
              <w:t>No</w:t>
            </w:r>
          </w:p>
        </w:tc>
        <w:tc>
          <w:tcPr>
            <w:tcW w:w="3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CD79" w14:textId="77777777" w:rsidR="00362D54" w:rsidRPr="00E325ED" w:rsidRDefault="00362D54" w:rsidP="00075945">
            <w:pPr>
              <w:spacing w:line="256" w:lineRule="auto"/>
            </w:pPr>
            <w:r w:rsidRPr="00E325ED">
              <w:t>Advise the caller that the plan doesn’t allow backdating.</w:t>
            </w:r>
          </w:p>
          <w:p w14:paraId="40245C38" w14:textId="77777777" w:rsidR="00362D54" w:rsidRPr="00E325ED" w:rsidRDefault="00362D54" w:rsidP="00075945">
            <w:pPr>
              <w:numPr>
                <w:ilvl w:val="0"/>
                <w:numId w:val="6"/>
              </w:numPr>
              <w:spacing w:line="256" w:lineRule="auto"/>
            </w:pPr>
            <w:r w:rsidRPr="00E325ED">
              <w:t xml:space="preserve">If the member is persistent, </w:t>
            </w:r>
            <w:r w:rsidRPr="00E325ED">
              <w:rPr>
                <w:color w:val="000000"/>
              </w:rPr>
              <w:t xml:space="preserve">submit an ePA. (CoverMyMeds will automatically process for </w:t>
            </w:r>
            <w:r w:rsidR="00CF03B9" w:rsidRPr="00E325ED">
              <w:rPr>
                <w:color w:val="000000"/>
              </w:rPr>
              <w:t>PA or Clinical Exception</w:t>
            </w:r>
            <w:r w:rsidR="00D83C39" w:rsidRPr="00E325ED">
              <w:rPr>
                <w:color w:val="000000"/>
              </w:rPr>
              <w:t xml:space="preserve"> </w:t>
            </w:r>
            <w:r w:rsidRPr="00E325ED">
              <w:rPr>
                <w:color w:val="000000"/>
              </w:rPr>
              <w:t>based on plan requirements.)</w:t>
            </w:r>
          </w:p>
        </w:tc>
      </w:tr>
      <w:tr w:rsidR="00362D54" w:rsidRPr="00E325ED" w14:paraId="6922FB71" w14:textId="77777777" w:rsidTr="00D50E46">
        <w:trPr>
          <w:trHeight w:val="1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B3C5F" w14:textId="77777777" w:rsidR="00362D54" w:rsidRPr="00E325ED" w:rsidRDefault="00362D54" w:rsidP="00075945">
            <w:pPr>
              <w:spacing w:line="256" w:lineRule="auto"/>
              <w:rPr>
                <w:rFonts w:eastAsia="Times New Roman" w:cs="Times New Roman"/>
                <w:b/>
                <w:szCs w:val="24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ED4B" w14:textId="77777777" w:rsidR="00362D54" w:rsidRPr="00E325ED" w:rsidRDefault="00362D54" w:rsidP="00075945">
            <w:pPr>
              <w:spacing w:line="256" w:lineRule="auto"/>
            </w:pPr>
            <w:r w:rsidRPr="00E325ED">
              <w:t>Not listed</w:t>
            </w:r>
          </w:p>
        </w:tc>
        <w:tc>
          <w:tcPr>
            <w:tcW w:w="39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EF11" w14:textId="6B140A26" w:rsidR="00C32363" w:rsidRDefault="002267AB" w:rsidP="00075945">
            <w:pPr>
              <w:spacing w:line="256" w:lineRule="auto"/>
            </w:pPr>
            <w:r w:rsidRPr="00E325ED">
              <w:t>Reach out t</w:t>
            </w:r>
            <w:r w:rsidR="00362D54" w:rsidRPr="00E325ED">
              <w:t xml:space="preserve">o the PA team at the number from the rejected claim to verify. </w:t>
            </w:r>
          </w:p>
          <w:p w14:paraId="32971590" w14:textId="090449DC" w:rsidR="00362D54" w:rsidRPr="00C32363" w:rsidRDefault="00362D54" w:rsidP="009B6667">
            <w:pPr>
              <w:pStyle w:val="ListParagraph"/>
              <w:numPr>
                <w:ilvl w:val="0"/>
                <w:numId w:val="6"/>
              </w:numPr>
              <w:spacing w:before="120" w:after="120" w:line="256" w:lineRule="auto"/>
              <w:rPr>
                <w:b/>
              </w:rPr>
            </w:pPr>
            <w:r w:rsidRPr="009B6667">
              <w:rPr>
                <w:color w:val="000000"/>
              </w:rPr>
              <w:t xml:space="preserve">If there is no phone number in the reject, call </w:t>
            </w:r>
            <w:r w:rsidRPr="009B6667">
              <w:rPr>
                <w:b/>
                <w:bCs/>
                <w:color w:val="000000"/>
              </w:rPr>
              <w:t>1-800-294-5979</w:t>
            </w:r>
            <w:r w:rsidRPr="009B6667">
              <w:rPr>
                <w:color w:val="000000"/>
              </w:rPr>
              <w:t>.</w:t>
            </w:r>
          </w:p>
        </w:tc>
      </w:tr>
    </w:tbl>
    <w:p w14:paraId="7E151ED9" w14:textId="77777777" w:rsidR="00D41659" w:rsidRPr="00E325ED" w:rsidRDefault="00D41659" w:rsidP="00075945">
      <w:pPr>
        <w:jc w:val="right"/>
      </w:pPr>
    </w:p>
    <w:p w14:paraId="0B4D7441" w14:textId="77777777" w:rsidR="00362D54" w:rsidRPr="00E325ED" w:rsidRDefault="00362D54" w:rsidP="009B6667">
      <w:pPr>
        <w:spacing w:before="0" w:after="0"/>
        <w:jc w:val="right"/>
        <w:rPr>
          <w:rFonts w:eastAsia="Times New Roman"/>
        </w:rPr>
      </w:pPr>
      <w:hyperlink w:anchor="_top" w:history="1">
        <w:r w:rsidRPr="00E325ED">
          <w:rPr>
            <w:rStyle w:val="Hyperlink"/>
            <w:rFonts w:eastAsia="Times New Roman"/>
          </w:rPr>
          <w:t>Top of the Document</w:t>
        </w:r>
      </w:hyperlink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62D54" w:rsidRPr="00E325ED" w14:paraId="6234DC3B" w14:textId="77777777" w:rsidTr="00E46B0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719A2F" w14:textId="77777777" w:rsidR="00362D54" w:rsidRPr="00E325ED" w:rsidRDefault="00362D54" w:rsidP="00075945">
            <w:pPr>
              <w:pStyle w:val="Heading2"/>
            </w:pPr>
            <w:bookmarkStart w:id="37" w:name="_Toc138420985"/>
            <w:bookmarkStart w:id="38" w:name="_Toc197006215"/>
            <w:bookmarkStart w:id="39" w:name="OLE_LINK154"/>
            <w:r w:rsidRPr="00E325ED">
              <w:t>Related Documents</w:t>
            </w:r>
            <w:bookmarkEnd w:id="37"/>
            <w:bookmarkEnd w:id="38"/>
          </w:p>
        </w:tc>
      </w:tr>
    </w:tbl>
    <w:bookmarkStart w:id="40" w:name="OLE_LINK134"/>
    <w:bookmarkStart w:id="41" w:name="OLE_LINK151"/>
    <w:p w14:paraId="20F1B780" w14:textId="7CFF6463" w:rsidR="00E46B03" w:rsidRPr="00701200" w:rsidRDefault="00701200" w:rsidP="00D50E46">
      <w:pPr>
        <w:rPr>
          <w:rStyle w:val="Hyperlink"/>
        </w:rPr>
      </w:pPr>
      <w:r>
        <w:fldChar w:fldCharType="begin"/>
      </w:r>
      <w:r>
        <w:instrText>HYPERLINK "https://thesource.cvshealth.com/nuxeo/thesource/" \l "!/view?docid=657ddfe3-27d1-4a21-8f51-8cbd3961001c" \t "_blank"</w:instrText>
      </w:r>
      <w:r>
        <w:fldChar w:fldCharType="separate"/>
      </w:r>
      <w:r w:rsidRPr="00701200">
        <w:rPr>
          <w:rStyle w:val="Hyperlink"/>
        </w:rPr>
        <w:t xml:space="preserve">Compass - </w:t>
      </w:r>
      <w:r w:rsidR="00E46B03" w:rsidRPr="00701200">
        <w:rPr>
          <w:rStyle w:val="Hyperlink"/>
        </w:rPr>
        <w:t>Prior Authorization, Exceptions, Appeals Guide (063978)</w:t>
      </w:r>
    </w:p>
    <w:p w14:paraId="74196AD6" w14:textId="4769E372" w:rsidR="00362D54" w:rsidRPr="00701200" w:rsidRDefault="00701200" w:rsidP="00D50E46">
      <w:pPr>
        <w:rPr>
          <w:rStyle w:val="Hyperlink"/>
        </w:rPr>
      </w:pPr>
      <w:r>
        <w:fldChar w:fldCharType="end"/>
      </w:r>
      <w:r>
        <w:fldChar w:fldCharType="begin"/>
      </w:r>
      <w:r>
        <w:instrText>HYPERLINK "https://thesource.cvshealth.com/nuxeo/thesource/" \l "!/view?docid=c1f1028b-e42c-4b4f-a4cf-cc0b42c91606" \t "_blank"</w:instrText>
      </w:r>
      <w:r>
        <w:fldChar w:fldCharType="separate"/>
      </w:r>
      <w:r w:rsidR="00362D54" w:rsidRPr="00701200">
        <w:rPr>
          <w:rStyle w:val="Hyperlink"/>
        </w:rPr>
        <w:t>Customer Care Abbreviations, Definitions, and Terms</w:t>
      </w:r>
      <w:r w:rsidRPr="00701200">
        <w:rPr>
          <w:rStyle w:val="Hyperlink"/>
        </w:rPr>
        <w:t xml:space="preserve"> Index (017428)</w:t>
      </w:r>
    </w:p>
    <w:p w14:paraId="0E247C92" w14:textId="7AD6374E" w:rsidR="00362D54" w:rsidRPr="00E325ED" w:rsidRDefault="00701200" w:rsidP="00D50E46">
      <w:pPr>
        <w:rPr>
          <w:color w:val="000000"/>
        </w:rPr>
      </w:pPr>
      <w:r>
        <w:fldChar w:fldCharType="end"/>
      </w:r>
      <w:r w:rsidR="00362D54" w:rsidRPr="00E325ED">
        <w:rPr>
          <w:b/>
          <w:bCs/>
          <w:color w:val="000000"/>
        </w:rPr>
        <w:t>Parent Document: </w:t>
      </w:r>
      <w:hyperlink r:id="rId18" w:tgtFrame="_blank" w:history="1">
        <w:r w:rsidR="00362D54" w:rsidRPr="00E325ED">
          <w:rPr>
            <w:rStyle w:val="Hyperlink"/>
          </w:rPr>
          <w:t>CALL 0049 Customer Care Internal and External Call Handling</w:t>
        </w:r>
      </w:hyperlink>
    </w:p>
    <w:p w14:paraId="28CBA503" w14:textId="77777777" w:rsidR="00362D54" w:rsidRPr="00E325ED" w:rsidRDefault="00362D54" w:rsidP="009B6667">
      <w:pPr>
        <w:spacing w:before="0" w:after="0"/>
        <w:jc w:val="right"/>
        <w:rPr>
          <w:color w:val="000000"/>
        </w:rPr>
      </w:pPr>
      <w:hyperlink w:anchor="_top" w:history="1">
        <w:r w:rsidRPr="00E325ED">
          <w:rPr>
            <w:rStyle w:val="Hyperlink"/>
          </w:rPr>
          <w:t>Top of the Document</w:t>
        </w:r>
      </w:hyperlink>
    </w:p>
    <w:p w14:paraId="278631DE" w14:textId="77777777" w:rsidR="00362D54" w:rsidRPr="00E325ED" w:rsidRDefault="00362D54" w:rsidP="009B6667">
      <w:pPr>
        <w:spacing w:before="0" w:after="0"/>
        <w:rPr>
          <w:color w:val="000000"/>
        </w:rPr>
      </w:pPr>
    </w:p>
    <w:p w14:paraId="6233D9F4" w14:textId="77777777" w:rsidR="00362D54" w:rsidRPr="009B6667" w:rsidRDefault="00362D54" w:rsidP="00075945">
      <w:pPr>
        <w:pStyle w:val="NormalWeb"/>
        <w:spacing w:before="0" w:beforeAutospacing="0" w:after="0" w:afterAutospacing="0"/>
        <w:jc w:val="center"/>
        <w:rPr>
          <w:rFonts w:ascii="Verdana" w:hAnsi="Verdana"/>
          <w:color w:val="000000"/>
          <w:sz w:val="27"/>
          <w:szCs w:val="27"/>
        </w:rPr>
      </w:pPr>
      <w:r w:rsidRPr="00E325ED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1C59F09B" w14:textId="0714B3EF" w:rsidR="00362D54" w:rsidRPr="00E325ED" w:rsidRDefault="00362D54" w:rsidP="009B6667">
      <w:pPr>
        <w:pStyle w:val="NormalWeb"/>
        <w:spacing w:before="0" w:beforeAutospacing="0" w:after="0" w:afterAutospacing="0"/>
        <w:jc w:val="center"/>
      </w:pPr>
      <w:r w:rsidRPr="00E325ED">
        <w:rPr>
          <w:rFonts w:ascii="Verdana" w:hAnsi="Verdana"/>
          <w:b/>
          <w:bCs/>
          <w:color w:val="000000"/>
          <w:sz w:val="16"/>
          <w:szCs w:val="16"/>
        </w:rPr>
        <w:t>ELECTRONIC DATA = OFFICIAL VERSION / PAPER COPY = INFORMATIONAL ONLY</w:t>
      </w:r>
      <w:bookmarkEnd w:id="39"/>
      <w:bookmarkEnd w:id="40"/>
      <w:bookmarkEnd w:id="41"/>
    </w:p>
    <w:sectPr w:rsidR="00362D54" w:rsidRPr="00E3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AA4AA" w14:textId="77777777" w:rsidR="00B143BE" w:rsidRDefault="00B143BE" w:rsidP="00791644">
      <w:pPr>
        <w:spacing w:before="0" w:after="0"/>
      </w:pPr>
      <w:r>
        <w:separator/>
      </w:r>
    </w:p>
  </w:endnote>
  <w:endnote w:type="continuationSeparator" w:id="0">
    <w:p w14:paraId="65110BAD" w14:textId="77777777" w:rsidR="00B143BE" w:rsidRDefault="00B143BE" w:rsidP="00791644">
      <w:pPr>
        <w:spacing w:before="0" w:after="0"/>
      </w:pPr>
      <w:r>
        <w:continuationSeparator/>
      </w:r>
    </w:p>
  </w:endnote>
  <w:endnote w:type="continuationNotice" w:id="1">
    <w:p w14:paraId="5F1BD75B" w14:textId="77777777" w:rsidR="00B143BE" w:rsidRDefault="00B143B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C5991" w14:textId="77777777" w:rsidR="00B143BE" w:rsidRDefault="00B143BE" w:rsidP="00791644">
      <w:pPr>
        <w:spacing w:before="0" w:after="0"/>
      </w:pPr>
      <w:r>
        <w:separator/>
      </w:r>
    </w:p>
  </w:footnote>
  <w:footnote w:type="continuationSeparator" w:id="0">
    <w:p w14:paraId="4FB6BBDE" w14:textId="77777777" w:rsidR="00B143BE" w:rsidRDefault="00B143BE" w:rsidP="00791644">
      <w:pPr>
        <w:spacing w:before="0" w:after="0"/>
      </w:pPr>
      <w:r>
        <w:continuationSeparator/>
      </w:r>
    </w:p>
  </w:footnote>
  <w:footnote w:type="continuationNotice" w:id="1">
    <w:p w14:paraId="596308FC" w14:textId="77777777" w:rsidR="00B143BE" w:rsidRDefault="00B143BE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8.75pt;height:16.5pt;visibility:visible" o:bullet="t">
        <v:imagedata r:id="rId1" o:title=""/>
      </v:shape>
    </w:pict>
  </w:numPicBullet>
  <w:numPicBullet w:numPicBulletId="1">
    <w:pict>
      <v:shape id="_x0000_i1123" type="#_x0000_t75" style="width:18.75pt;height:16.5pt;visibility:visible" o:bullet="t">
        <v:imagedata r:id="rId2" o:title=""/>
      </v:shape>
    </w:pict>
  </w:numPicBullet>
  <w:abstractNum w:abstractNumId="0" w15:restartNumberingAfterBreak="0">
    <w:nsid w:val="0DE9495B"/>
    <w:multiLevelType w:val="hybridMultilevel"/>
    <w:tmpl w:val="D3C262D4"/>
    <w:lvl w:ilvl="0" w:tplc="2488E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C19AF"/>
    <w:multiLevelType w:val="hybridMultilevel"/>
    <w:tmpl w:val="2BC23D40"/>
    <w:lvl w:ilvl="0" w:tplc="2488E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C0C06"/>
    <w:multiLevelType w:val="hybridMultilevel"/>
    <w:tmpl w:val="DD7A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A5AB7"/>
    <w:multiLevelType w:val="multilevel"/>
    <w:tmpl w:val="DF1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857C8"/>
    <w:multiLevelType w:val="multilevel"/>
    <w:tmpl w:val="C92E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009A5"/>
    <w:multiLevelType w:val="hybridMultilevel"/>
    <w:tmpl w:val="3C9A329A"/>
    <w:lvl w:ilvl="0" w:tplc="B0AE9820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5F729CF"/>
    <w:multiLevelType w:val="hybridMultilevel"/>
    <w:tmpl w:val="10387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7DA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7FF8"/>
    <w:multiLevelType w:val="hybridMultilevel"/>
    <w:tmpl w:val="100861C0"/>
    <w:lvl w:ilvl="0" w:tplc="5AC0FD3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95DAB"/>
    <w:multiLevelType w:val="hybridMultilevel"/>
    <w:tmpl w:val="8B7C9EA0"/>
    <w:lvl w:ilvl="0" w:tplc="2488E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4004B"/>
    <w:multiLevelType w:val="multilevel"/>
    <w:tmpl w:val="6CE0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b/>
        <w:bCs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52B48"/>
    <w:multiLevelType w:val="hybridMultilevel"/>
    <w:tmpl w:val="2D904FFC"/>
    <w:lvl w:ilvl="0" w:tplc="E264C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81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E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22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1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61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EA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47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AA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D2B9E"/>
    <w:multiLevelType w:val="hybridMultilevel"/>
    <w:tmpl w:val="193A2D9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3AC12CF1"/>
    <w:multiLevelType w:val="hybridMultilevel"/>
    <w:tmpl w:val="E708D4CA"/>
    <w:lvl w:ilvl="0" w:tplc="CAF6F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0040E"/>
    <w:multiLevelType w:val="hybridMultilevel"/>
    <w:tmpl w:val="0EFAE424"/>
    <w:lvl w:ilvl="0" w:tplc="BE88089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241CC0"/>
    <w:multiLevelType w:val="hybridMultilevel"/>
    <w:tmpl w:val="60EA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97715"/>
    <w:multiLevelType w:val="hybridMultilevel"/>
    <w:tmpl w:val="492C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00A4E"/>
    <w:multiLevelType w:val="multilevel"/>
    <w:tmpl w:val="1A28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3E4F36"/>
    <w:multiLevelType w:val="hybridMultilevel"/>
    <w:tmpl w:val="9646A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54A2AFA">
      <w:start w:val="1"/>
      <w:numFmt w:val="bullet"/>
      <w:lvlText w:val="o"/>
      <w:lvlJc w:val="left"/>
      <w:pPr>
        <w:ind w:left="792" w:hanging="360"/>
      </w:pPr>
      <w:rPr>
        <w:rFonts w:ascii="Courier New" w:hAnsi="Courier New" w:hint="default"/>
        <w:b/>
        <w:bCs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13352"/>
    <w:multiLevelType w:val="hybridMultilevel"/>
    <w:tmpl w:val="1B5E2D98"/>
    <w:lvl w:ilvl="0" w:tplc="B09619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C89D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2880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2A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6AA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D638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ACF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A2B5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D06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2C97CC1"/>
    <w:multiLevelType w:val="hybridMultilevel"/>
    <w:tmpl w:val="9F063194"/>
    <w:lvl w:ilvl="0" w:tplc="0284C75A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C05CC"/>
    <w:multiLevelType w:val="hybridMultilevel"/>
    <w:tmpl w:val="49A8377A"/>
    <w:lvl w:ilvl="0" w:tplc="C3C8511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938504B"/>
    <w:multiLevelType w:val="hybridMultilevel"/>
    <w:tmpl w:val="D0E0B560"/>
    <w:lvl w:ilvl="0" w:tplc="DC16C06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b/>
        <w:bCs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F1235"/>
    <w:multiLevelType w:val="hybridMultilevel"/>
    <w:tmpl w:val="2CE25F2E"/>
    <w:lvl w:ilvl="0" w:tplc="A3D6F45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2C52D9"/>
    <w:multiLevelType w:val="hybridMultilevel"/>
    <w:tmpl w:val="354AD8D0"/>
    <w:lvl w:ilvl="0" w:tplc="B70853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1F2913"/>
    <w:multiLevelType w:val="multilevel"/>
    <w:tmpl w:val="D8A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0044175">
    <w:abstractNumId w:val="10"/>
  </w:num>
  <w:num w:numId="2" w16cid:durableId="1158036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0038884">
    <w:abstractNumId w:val="23"/>
  </w:num>
  <w:num w:numId="4" w16cid:durableId="959843031">
    <w:abstractNumId w:val="21"/>
  </w:num>
  <w:num w:numId="5" w16cid:durableId="1504052867">
    <w:abstractNumId w:val="12"/>
  </w:num>
  <w:num w:numId="6" w16cid:durableId="829563783">
    <w:abstractNumId w:val="13"/>
  </w:num>
  <w:num w:numId="7" w16cid:durableId="2004621394">
    <w:abstractNumId w:val="18"/>
  </w:num>
  <w:num w:numId="8" w16cid:durableId="260532942">
    <w:abstractNumId w:val="5"/>
  </w:num>
  <w:num w:numId="9" w16cid:durableId="1310674414">
    <w:abstractNumId w:val="20"/>
  </w:num>
  <w:num w:numId="10" w16cid:durableId="619068333">
    <w:abstractNumId w:val="7"/>
  </w:num>
  <w:num w:numId="11" w16cid:durableId="606893762">
    <w:abstractNumId w:val="11"/>
  </w:num>
  <w:num w:numId="12" w16cid:durableId="175654004">
    <w:abstractNumId w:val="14"/>
  </w:num>
  <w:num w:numId="13" w16cid:durableId="801272364">
    <w:abstractNumId w:val="15"/>
  </w:num>
  <w:num w:numId="14" w16cid:durableId="942492217">
    <w:abstractNumId w:val="6"/>
  </w:num>
  <w:num w:numId="15" w16cid:durableId="430660032">
    <w:abstractNumId w:val="17"/>
  </w:num>
  <w:num w:numId="16" w16cid:durableId="203907822">
    <w:abstractNumId w:val="0"/>
  </w:num>
  <w:num w:numId="17" w16cid:durableId="1674451625">
    <w:abstractNumId w:val="1"/>
  </w:num>
  <w:num w:numId="18" w16cid:durableId="1202327583">
    <w:abstractNumId w:val="19"/>
  </w:num>
  <w:num w:numId="19" w16cid:durableId="538127150">
    <w:abstractNumId w:val="8"/>
  </w:num>
  <w:num w:numId="20" w16cid:durableId="650989669">
    <w:abstractNumId w:val="22"/>
  </w:num>
  <w:num w:numId="21" w16cid:durableId="374812507">
    <w:abstractNumId w:val="3"/>
  </w:num>
  <w:num w:numId="22" w16cid:durableId="571544545">
    <w:abstractNumId w:val="4"/>
  </w:num>
  <w:num w:numId="23" w16cid:durableId="2112700542">
    <w:abstractNumId w:val="24"/>
  </w:num>
  <w:num w:numId="24" w16cid:durableId="777872877">
    <w:abstractNumId w:val="9"/>
  </w:num>
  <w:num w:numId="25" w16cid:durableId="1769233794">
    <w:abstractNumId w:val="2"/>
  </w:num>
  <w:num w:numId="26" w16cid:durableId="17122703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54"/>
    <w:rsid w:val="00005D27"/>
    <w:rsid w:val="00006188"/>
    <w:rsid w:val="0001648C"/>
    <w:rsid w:val="00020433"/>
    <w:rsid w:val="00023A26"/>
    <w:rsid w:val="00037AC9"/>
    <w:rsid w:val="0004163E"/>
    <w:rsid w:val="00046293"/>
    <w:rsid w:val="00046319"/>
    <w:rsid w:val="000516DE"/>
    <w:rsid w:val="00052EF9"/>
    <w:rsid w:val="000539B6"/>
    <w:rsid w:val="0006013E"/>
    <w:rsid w:val="000649CF"/>
    <w:rsid w:val="00066068"/>
    <w:rsid w:val="00071DD3"/>
    <w:rsid w:val="00072326"/>
    <w:rsid w:val="00073CF2"/>
    <w:rsid w:val="00073E15"/>
    <w:rsid w:val="00075251"/>
    <w:rsid w:val="00075945"/>
    <w:rsid w:val="0007664C"/>
    <w:rsid w:val="000874C6"/>
    <w:rsid w:val="00094F2E"/>
    <w:rsid w:val="000A4CE3"/>
    <w:rsid w:val="000B476B"/>
    <w:rsid w:val="000B4DE1"/>
    <w:rsid w:val="000C1286"/>
    <w:rsid w:val="000C5319"/>
    <w:rsid w:val="000C5A9A"/>
    <w:rsid w:val="000D36BA"/>
    <w:rsid w:val="000E6522"/>
    <w:rsid w:val="000F40C3"/>
    <w:rsid w:val="001040BA"/>
    <w:rsid w:val="00113B34"/>
    <w:rsid w:val="00131E9B"/>
    <w:rsid w:val="001343F6"/>
    <w:rsid w:val="00137C3B"/>
    <w:rsid w:val="00163B9A"/>
    <w:rsid w:val="00164F4A"/>
    <w:rsid w:val="00167437"/>
    <w:rsid w:val="0017430D"/>
    <w:rsid w:val="001746F9"/>
    <w:rsid w:val="001B016E"/>
    <w:rsid w:val="001B7789"/>
    <w:rsid w:val="001D3998"/>
    <w:rsid w:val="001F6597"/>
    <w:rsid w:val="00203D50"/>
    <w:rsid w:val="00214E57"/>
    <w:rsid w:val="002267AB"/>
    <w:rsid w:val="00227AB2"/>
    <w:rsid w:val="00227EBA"/>
    <w:rsid w:val="00243010"/>
    <w:rsid w:val="00244BCF"/>
    <w:rsid w:val="00245258"/>
    <w:rsid w:val="002575FA"/>
    <w:rsid w:val="00260AD2"/>
    <w:rsid w:val="00261E0F"/>
    <w:rsid w:val="00263F0D"/>
    <w:rsid w:val="00272189"/>
    <w:rsid w:val="00276F4D"/>
    <w:rsid w:val="0028134A"/>
    <w:rsid w:val="00286521"/>
    <w:rsid w:val="00290D60"/>
    <w:rsid w:val="002A69C6"/>
    <w:rsid w:val="002A70AB"/>
    <w:rsid w:val="002B1D32"/>
    <w:rsid w:val="002B31AF"/>
    <w:rsid w:val="002C3F73"/>
    <w:rsid w:val="002D0B66"/>
    <w:rsid w:val="002E18F0"/>
    <w:rsid w:val="002E274B"/>
    <w:rsid w:val="002F27E7"/>
    <w:rsid w:val="00312224"/>
    <w:rsid w:val="00322213"/>
    <w:rsid w:val="0032735F"/>
    <w:rsid w:val="00334251"/>
    <w:rsid w:val="00336888"/>
    <w:rsid w:val="00341D7E"/>
    <w:rsid w:val="00342FBB"/>
    <w:rsid w:val="0034317A"/>
    <w:rsid w:val="00344B9E"/>
    <w:rsid w:val="003531E0"/>
    <w:rsid w:val="00356861"/>
    <w:rsid w:val="00362D54"/>
    <w:rsid w:val="00363075"/>
    <w:rsid w:val="0038489B"/>
    <w:rsid w:val="00385EEC"/>
    <w:rsid w:val="00386A80"/>
    <w:rsid w:val="00390E42"/>
    <w:rsid w:val="003A67ED"/>
    <w:rsid w:val="003A7CB6"/>
    <w:rsid w:val="003B3F49"/>
    <w:rsid w:val="003C6813"/>
    <w:rsid w:val="003D1C10"/>
    <w:rsid w:val="003D4B21"/>
    <w:rsid w:val="003E462A"/>
    <w:rsid w:val="004024F5"/>
    <w:rsid w:val="00417938"/>
    <w:rsid w:val="004276FA"/>
    <w:rsid w:val="004578A6"/>
    <w:rsid w:val="00462515"/>
    <w:rsid w:val="00471005"/>
    <w:rsid w:val="004725B7"/>
    <w:rsid w:val="0048201E"/>
    <w:rsid w:val="004A05D8"/>
    <w:rsid w:val="004A06EA"/>
    <w:rsid w:val="004B5EE6"/>
    <w:rsid w:val="004C40C1"/>
    <w:rsid w:val="004D3A34"/>
    <w:rsid w:val="004D4219"/>
    <w:rsid w:val="004E49E4"/>
    <w:rsid w:val="004F2E18"/>
    <w:rsid w:val="004F331F"/>
    <w:rsid w:val="004F74F9"/>
    <w:rsid w:val="005057CF"/>
    <w:rsid w:val="005106AE"/>
    <w:rsid w:val="00540934"/>
    <w:rsid w:val="00544A45"/>
    <w:rsid w:val="0054792B"/>
    <w:rsid w:val="00560A96"/>
    <w:rsid w:val="00570D7C"/>
    <w:rsid w:val="00584B50"/>
    <w:rsid w:val="005906D2"/>
    <w:rsid w:val="005A22B1"/>
    <w:rsid w:val="005A69A9"/>
    <w:rsid w:val="005B7F6D"/>
    <w:rsid w:val="005C0072"/>
    <w:rsid w:val="005C0D9B"/>
    <w:rsid w:val="005C5601"/>
    <w:rsid w:val="005C6A38"/>
    <w:rsid w:val="005D2463"/>
    <w:rsid w:val="005D3FD6"/>
    <w:rsid w:val="005F00FE"/>
    <w:rsid w:val="005F1F79"/>
    <w:rsid w:val="005F676F"/>
    <w:rsid w:val="006074C1"/>
    <w:rsid w:val="00613B7A"/>
    <w:rsid w:val="00620B3F"/>
    <w:rsid w:val="006237A2"/>
    <w:rsid w:val="00632A4D"/>
    <w:rsid w:val="006601C7"/>
    <w:rsid w:val="00665615"/>
    <w:rsid w:val="00680671"/>
    <w:rsid w:val="006833F8"/>
    <w:rsid w:val="0068516F"/>
    <w:rsid w:val="00685C8A"/>
    <w:rsid w:val="006939A0"/>
    <w:rsid w:val="00694EBE"/>
    <w:rsid w:val="006962C0"/>
    <w:rsid w:val="006A0415"/>
    <w:rsid w:val="006A3EC0"/>
    <w:rsid w:val="006A6989"/>
    <w:rsid w:val="006B47DC"/>
    <w:rsid w:val="006B543C"/>
    <w:rsid w:val="006C151B"/>
    <w:rsid w:val="006C5751"/>
    <w:rsid w:val="006D43DE"/>
    <w:rsid w:val="006D452B"/>
    <w:rsid w:val="006E296E"/>
    <w:rsid w:val="006F305F"/>
    <w:rsid w:val="00701200"/>
    <w:rsid w:val="0071225D"/>
    <w:rsid w:val="007222AC"/>
    <w:rsid w:val="0072646E"/>
    <w:rsid w:val="00735168"/>
    <w:rsid w:val="0073734E"/>
    <w:rsid w:val="0074757F"/>
    <w:rsid w:val="00755BE5"/>
    <w:rsid w:val="00760682"/>
    <w:rsid w:val="0076292C"/>
    <w:rsid w:val="007639B2"/>
    <w:rsid w:val="007766FB"/>
    <w:rsid w:val="0079077B"/>
    <w:rsid w:val="00791644"/>
    <w:rsid w:val="007A0D9F"/>
    <w:rsid w:val="007A2B1A"/>
    <w:rsid w:val="007A4044"/>
    <w:rsid w:val="007B166E"/>
    <w:rsid w:val="007D31EA"/>
    <w:rsid w:val="007E609A"/>
    <w:rsid w:val="00804A81"/>
    <w:rsid w:val="0081501E"/>
    <w:rsid w:val="008163BD"/>
    <w:rsid w:val="008311D8"/>
    <w:rsid w:val="00835AC8"/>
    <w:rsid w:val="008371FB"/>
    <w:rsid w:val="00851854"/>
    <w:rsid w:val="00853FD1"/>
    <w:rsid w:val="0086084A"/>
    <w:rsid w:val="008825F5"/>
    <w:rsid w:val="00884765"/>
    <w:rsid w:val="008860F5"/>
    <w:rsid w:val="0089401C"/>
    <w:rsid w:val="008A6ECB"/>
    <w:rsid w:val="008C48E9"/>
    <w:rsid w:val="008E7680"/>
    <w:rsid w:val="00902E72"/>
    <w:rsid w:val="00906331"/>
    <w:rsid w:val="009368D3"/>
    <w:rsid w:val="009640B1"/>
    <w:rsid w:val="009765C5"/>
    <w:rsid w:val="00981E74"/>
    <w:rsid w:val="00983E9E"/>
    <w:rsid w:val="00994492"/>
    <w:rsid w:val="009A205B"/>
    <w:rsid w:val="009B6667"/>
    <w:rsid w:val="009D2B47"/>
    <w:rsid w:val="009F0416"/>
    <w:rsid w:val="009F109E"/>
    <w:rsid w:val="00A048FE"/>
    <w:rsid w:val="00A14F1D"/>
    <w:rsid w:val="00A3453A"/>
    <w:rsid w:val="00A37F4F"/>
    <w:rsid w:val="00A4003B"/>
    <w:rsid w:val="00A42324"/>
    <w:rsid w:val="00A507D8"/>
    <w:rsid w:val="00A51DCE"/>
    <w:rsid w:val="00A652FF"/>
    <w:rsid w:val="00A678B7"/>
    <w:rsid w:val="00A74327"/>
    <w:rsid w:val="00A76818"/>
    <w:rsid w:val="00A82A84"/>
    <w:rsid w:val="00A84806"/>
    <w:rsid w:val="00A930B5"/>
    <w:rsid w:val="00A93D7B"/>
    <w:rsid w:val="00A975A8"/>
    <w:rsid w:val="00AA044F"/>
    <w:rsid w:val="00AA335C"/>
    <w:rsid w:val="00AA72B4"/>
    <w:rsid w:val="00AB11C9"/>
    <w:rsid w:val="00AC7FA5"/>
    <w:rsid w:val="00AD2E96"/>
    <w:rsid w:val="00AD6151"/>
    <w:rsid w:val="00AF42DA"/>
    <w:rsid w:val="00B01FB2"/>
    <w:rsid w:val="00B1020F"/>
    <w:rsid w:val="00B12652"/>
    <w:rsid w:val="00B13195"/>
    <w:rsid w:val="00B143BE"/>
    <w:rsid w:val="00B2436D"/>
    <w:rsid w:val="00B41CE4"/>
    <w:rsid w:val="00B47A0A"/>
    <w:rsid w:val="00B47F05"/>
    <w:rsid w:val="00B63C02"/>
    <w:rsid w:val="00B92B98"/>
    <w:rsid w:val="00B92C6D"/>
    <w:rsid w:val="00B96D80"/>
    <w:rsid w:val="00BA0698"/>
    <w:rsid w:val="00BB0B86"/>
    <w:rsid w:val="00BB3E9E"/>
    <w:rsid w:val="00BC7900"/>
    <w:rsid w:val="00C0533C"/>
    <w:rsid w:val="00C11538"/>
    <w:rsid w:val="00C17ADD"/>
    <w:rsid w:val="00C221DF"/>
    <w:rsid w:val="00C26AA9"/>
    <w:rsid w:val="00C30C1A"/>
    <w:rsid w:val="00C32363"/>
    <w:rsid w:val="00C433C8"/>
    <w:rsid w:val="00C44CF4"/>
    <w:rsid w:val="00C51F3B"/>
    <w:rsid w:val="00C5362C"/>
    <w:rsid w:val="00C77CA8"/>
    <w:rsid w:val="00C8233D"/>
    <w:rsid w:val="00C83CB6"/>
    <w:rsid w:val="00CA6519"/>
    <w:rsid w:val="00CB2681"/>
    <w:rsid w:val="00CC22D4"/>
    <w:rsid w:val="00CD13F5"/>
    <w:rsid w:val="00CF03B9"/>
    <w:rsid w:val="00CF6852"/>
    <w:rsid w:val="00D0294E"/>
    <w:rsid w:val="00D05789"/>
    <w:rsid w:val="00D1099D"/>
    <w:rsid w:val="00D10C44"/>
    <w:rsid w:val="00D274CD"/>
    <w:rsid w:val="00D27D8F"/>
    <w:rsid w:val="00D403D8"/>
    <w:rsid w:val="00D41659"/>
    <w:rsid w:val="00D50E46"/>
    <w:rsid w:val="00D557B3"/>
    <w:rsid w:val="00D603AA"/>
    <w:rsid w:val="00D77E6A"/>
    <w:rsid w:val="00D83590"/>
    <w:rsid w:val="00D83C39"/>
    <w:rsid w:val="00D85813"/>
    <w:rsid w:val="00D87F21"/>
    <w:rsid w:val="00DD6481"/>
    <w:rsid w:val="00DE553C"/>
    <w:rsid w:val="00DE56C7"/>
    <w:rsid w:val="00DF385E"/>
    <w:rsid w:val="00DF5234"/>
    <w:rsid w:val="00DF737F"/>
    <w:rsid w:val="00E01529"/>
    <w:rsid w:val="00E02BDE"/>
    <w:rsid w:val="00E14A87"/>
    <w:rsid w:val="00E20D0A"/>
    <w:rsid w:val="00E231F2"/>
    <w:rsid w:val="00E240A2"/>
    <w:rsid w:val="00E24143"/>
    <w:rsid w:val="00E2423B"/>
    <w:rsid w:val="00E325ED"/>
    <w:rsid w:val="00E32F29"/>
    <w:rsid w:val="00E45915"/>
    <w:rsid w:val="00E46B03"/>
    <w:rsid w:val="00E56D80"/>
    <w:rsid w:val="00E61320"/>
    <w:rsid w:val="00E713A3"/>
    <w:rsid w:val="00E738F6"/>
    <w:rsid w:val="00E862F2"/>
    <w:rsid w:val="00E93E53"/>
    <w:rsid w:val="00EA26A9"/>
    <w:rsid w:val="00EB20EC"/>
    <w:rsid w:val="00EB232B"/>
    <w:rsid w:val="00EC13FC"/>
    <w:rsid w:val="00ED2170"/>
    <w:rsid w:val="00ED259F"/>
    <w:rsid w:val="00ED6379"/>
    <w:rsid w:val="00ED7918"/>
    <w:rsid w:val="00EE0866"/>
    <w:rsid w:val="00EE2589"/>
    <w:rsid w:val="00EE454D"/>
    <w:rsid w:val="00EF45E3"/>
    <w:rsid w:val="00EF79CA"/>
    <w:rsid w:val="00F130CD"/>
    <w:rsid w:val="00F47E15"/>
    <w:rsid w:val="00F7142E"/>
    <w:rsid w:val="00F71A28"/>
    <w:rsid w:val="00F85717"/>
    <w:rsid w:val="00F93FCF"/>
    <w:rsid w:val="00F9756C"/>
    <w:rsid w:val="00FA221F"/>
    <w:rsid w:val="00FA559B"/>
    <w:rsid w:val="00FB5550"/>
    <w:rsid w:val="00FD3A81"/>
    <w:rsid w:val="00FD42DE"/>
    <w:rsid w:val="00FD70E1"/>
    <w:rsid w:val="00FE13B9"/>
    <w:rsid w:val="00FE19F2"/>
    <w:rsid w:val="00FF2C48"/>
    <w:rsid w:val="00FF5F9A"/>
    <w:rsid w:val="00FF7739"/>
    <w:rsid w:val="0CBD8558"/>
    <w:rsid w:val="1FB75D7A"/>
    <w:rsid w:val="26372FB0"/>
    <w:rsid w:val="4D452B08"/>
    <w:rsid w:val="6701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A9CF9"/>
  <w15:chartTrackingRefBased/>
  <w15:docId w15:val="{8E5F2C4D-0360-4CB6-ACDD-980F00FB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29"/>
    <w:pPr>
      <w:spacing w:before="120" w:after="120" w:line="240" w:lineRule="auto"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276FA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FA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unhideWhenUsed/>
    <w:rsid w:val="00362D5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62D54"/>
    <w:pPr>
      <w:spacing w:before="0" w:after="0"/>
    </w:pPr>
    <w:rPr>
      <w:rFonts w:ascii="Consolas" w:eastAsia="Calibri" w:hAnsi="Consolas" w:cs="Times New Roman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62D54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ListParagraph">
    <w:name w:val="List Paragraph"/>
    <w:basedOn w:val="Normal"/>
    <w:uiPriority w:val="34"/>
    <w:qFormat/>
    <w:rsid w:val="00362D54"/>
    <w:pPr>
      <w:spacing w:before="0" w:after="0"/>
      <w:ind w:left="720"/>
      <w:contextualSpacing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2D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62D5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362D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371FB"/>
    <w:pPr>
      <w:spacing w:after="0" w:line="240" w:lineRule="auto"/>
    </w:pPr>
    <w:rPr>
      <w:rFonts w:ascii="Verdana" w:hAnsi="Verdana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71DD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semiHidden/>
    <w:unhideWhenUsed/>
    <w:rsid w:val="006E296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96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E296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96E"/>
    <w:rPr>
      <w:rFonts w:ascii="Verdana" w:hAnsi="Verdan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6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184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201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3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776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85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83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18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3970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762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027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0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56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71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9098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vermymeds.com/epa/caremark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0895-A3C6-4D27-AD54-07788442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Links>
    <vt:vector size="120" baseType="variant"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90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87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1114176</vt:i4>
      </vt:variant>
      <vt:variant>
        <vt:i4>84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!/view?docid=657ddfe3-27d1-4a21-8f51-8cbd3961001c</vt:lpwstr>
      </vt:variant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4194380</vt:i4>
      </vt:variant>
      <vt:variant>
        <vt:i4>69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!/view?docid=845064bd-8ae0-4d30-af0a-e21d6d81933c</vt:lpwstr>
      </vt:variant>
      <vt:variant>
        <vt:i4>1310740</vt:i4>
      </vt:variant>
      <vt:variant>
        <vt:i4>66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!/view?docid=2eb2f621-bbbb-4e0e-9189-6b47d44f42b3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1638476</vt:i4>
      </vt:variant>
      <vt:variant>
        <vt:i4>57</vt:i4>
      </vt:variant>
      <vt:variant>
        <vt:i4>0</vt:i4>
      </vt:variant>
      <vt:variant>
        <vt:i4>5</vt:i4>
      </vt:variant>
      <vt:variant>
        <vt:lpwstr>https://www.covermymeds.com/epa/caremark/</vt:lpwstr>
      </vt:variant>
      <vt:variant>
        <vt:lpwstr/>
      </vt:variant>
      <vt:variant>
        <vt:i4>1704010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!/view?docid=60c20ea0-1d07-46e3-809a-b54734b80fbe</vt:lpwstr>
      </vt:variant>
      <vt:variant>
        <vt:i4>2031693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!/view?docid=59c4e7fa-4a87-43c4-89cd-5d4f8c6c3421</vt:lpwstr>
      </vt:variant>
      <vt:variant>
        <vt:i4>4194380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!/view?docid=845064bd-8ae0-4d30-af0a-e21d6d81933c</vt:lpwstr>
      </vt:variant>
      <vt:variant>
        <vt:i4>1310740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!/view?docid=2eb2f621-bbbb-4e0e-9189-6b47d44f42b3</vt:lpwstr>
      </vt:variant>
      <vt:variant>
        <vt:i4>5111886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!/view?docid=7653e7c2-1a97-42a0-8a81-6267c72e1ca9</vt:lpwstr>
      </vt:variant>
      <vt:variant>
        <vt:i4>2031636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!/view?docid=9eef064d-c7d7-42f7-9026-1497496b4d51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_Toc197006215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_Toc197006214</vt:lpwstr>
      </vt:variant>
      <vt:variant>
        <vt:i4>1638452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_Toc197006213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_Toc197006212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Salas, Daniela M</cp:lastModifiedBy>
  <cp:revision>4</cp:revision>
  <dcterms:created xsi:type="dcterms:W3CDTF">2025-09-08T20:51:00Z</dcterms:created>
  <dcterms:modified xsi:type="dcterms:W3CDTF">2025-09-08T20:56:00Z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2023-06-23T20:35:09Z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3a2f118b-e0e8-4106-a0bb-c434d7b780bd</vt:lpwstr>
  </property>
  <property fmtid="{D5CDD505-2E9C-101B-9397-08002B2CF9AE}" pid="8" name="MSIP_Label_67599526-06ca-49cc-9fa9-5307800a949a_ContentBits">
    <vt:lpwstr>0</vt:lpwstr>
  </property>
</Properties>
</file>