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D1DDC" w14:textId="228F51C4" w:rsidR="00EA26A9" w:rsidRDefault="00687FD2" w:rsidP="00D346C5">
      <w:pPr>
        <w:pStyle w:val="Heading1"/>
      </w:pPr>
      <w:bookmarkStart w:id="0" w:name="_top"/>
      <w:bookmarkStart w:id="1" w:name="OLE_LINK7"/>
      <w:bookmarkEnd w:id="0"/>
      <w:r>
        <w:t>Prior Authorization (PA) or Clinical Exception</w:t>
      </w:r>
      <w:bookmarkStart w:id="2" w:name="OLE_LINK6"/>
      <w:r>
        <w:t xml:space="preserve"> </w:t>
      </w:r>
      <w:r w:rsidR="00D346C5">
        <w:t xml:space="preserve">Opioid DUR Hard Reject for Above 200 </w:t>
      </w:r>
      <w:proofErr w:type="spellStart"/>
      <w:r w:rsidR="00D346C5">
        <w:t>MME</w:t>
      </w:r>
      <w:proofErr w:type="spellEnd"/>
      <w:r w:rsidR="00D346C5">
        <w:t>/Day</w:t>
      </w:r>
      <w:bookmarkEnd w:id="2"/>
      <w:r w:rsidR="00D346C5">
        <w:t xml:space="preserve"> Job Aid</w:t>
      </w:r>
    </w:p>
    <w:bookmarkEnd w:id="1"/>
    <w:p w14:paraId="1F40331F" w14:textId="7CF6013A" w:rsidR="00D346C5" w:rsidRDefault="00D346C5" w:rsidP="00D346C5"/>
    <w:p w14:paraId="09CB0686" w14:textId="0FFC8ED5" w:rsidR="00587C50" w:rsidRDefault="00BB73F1">
      <w:pPr>
        <w:pStyle w:val="TOC2"/>
        <w:rPr>
          <w:rFonts w:asciiTheme="minorHAnsi" w:eastAsiaTheme="minorEastAsia" w:hAnsiTheme="minorHAnsi"/>
          <w:noProof/>
          <w:kern w:val="2"/>
          <w:szCs w:val="24"/>
          <w14:ligatures w14:val="standardContextual"/>
        </w:rPr>
      </w:pPr>
      <w:r>
        <w:fldChar w:fldCharType="begin"/>
      </w:r>
      <w:r>
        <w:instrText xml:space="preserve"> TOC \o "2-2" \n \p " " \h \z \u </w:instrText>
      </w:r>
      <w:r>
        <w:fldChar w:fldCharType="separate"/>
      </w:r>
      <w:hyperlink w:anchor="_Toc191272656" w:history="1">
        <w:r w:rsidR="00587C50" w:rsidRPr="00151A46">
          <w:rPr>
            <w:rStyle w:val="Hyperlink"/>
            <w:noProof/>
          </w:rPr>
          <w:t>Opioid DUR Hard Reject for Above 200 MME/Day</w:t>
        </w:r>
      </w:hyperlink>
    </w:p>
    <w:p w14:paraId="4CC5F136" w14:textId="10AA6832" w:rsidR="00587C50" w:rsidRDefault="00587C50">
      <w:pPr>
        <w:pStyle w:val="TOC2"/>
        <w:rPr>
          <w:rFonts w:asciiTheme="minorHAnsi" w:eastAsiaTheme="minorEastAsia" w:hAnsiTheme="minorHAnsi"/>
          <w:noProof/>
          <w:kern w:val="2"/>
          <w:szCs w:val="24"/>
          <w14:ligatures w14:val="standardContextual"/>
        </w:rPr>
      </w:pPr>
      <w:hyperlink w:anchor="_Toc191272657" w:history="1">
        <w:r w:rsidRPr="00151A46">
          <w:rPr>
            <w:rStyle w:val="Hyperlink"/>
            <w:noProof/>
          </w:rPr>
          <w:t>Related Documents</w:t>
        </w:r>
      </w:hyperlink>
    </w:p>
    <w:p w14:paraId="40E097ED" w14:textId="60C376BD" w:rsidR="00BB73F1" w:rsidRDefault="00BB73F1" w:rsidP="00D346C5">
      <w:r>
        <w:fldChar w:fldCharType="end"/>
      </w:r>
    </w:p>
    <w:p w14:paraId="033E03BD" w14:textId="194763EA" w:rsidR="00D346C5" w:rsidRDefault="00D346C5" w:rsidP="00D346C5">
      <w:r>
        <w:rPr>
          <w:b/>
          <w:bCs/>
        </w:rPr>
        <w:t>Description:</w:t>
      </w:r>
      <w:r>
        <w:t xml:space="preserve">  Information for when a member or prescriber calls requesting more information about Opioid DUR Hard reject for above 200 </w:t>
      </w:r>
      <w:proofErr w:type="spellStart"/>
      <w:r>
        <w:t>MME</w:t>
      </w:r>
      <w:proofErr w:type="spellEnd"/>
      <w:r>
        <w:t xml:space="preserve">/day. </w:t>
      </w:r>
    </w:p>
    <w:p w14:paraId="21209541" w14:textId="77777777" w:rsidR="00D346C5" w:rsidRDefault="00D346C5" w:rsidP="00D346C5"/>
    <w:tbl>
      <w:tblPr>
        <w:tblStyle w:val="TableGrid"/>
        <w:tblW w:w="5000" w:type="pct"/>
        <w:tblLook w:val="04A0" w:firstRow="1" w:lastRow="0" w:firstColumn="1" w:lastColumn="0" w:noHBand="0" w:noVBand="1"/>
      </w:tblPr>
      <w:tblGrid>
        <w:gridCol w:w="9350"/>
      </w:tblGrid>
      <w:tr w:rsidR="00D346C5" w14:paraId="1EE8D824" w14:textId="77777777" w:rsidTr="00D346C5">
        <w:tc>
          <w:tcPr>
            <w:tcW w:w="5000" w:type="pct"/>
            <w:shd w:val="clear" w:color="auto" w:fill="BFBFBF" w:themeFill="background1" w:themeFillShade="BF"/>
          </w:tcPr>
          <w:p w14:paraId="0875812A" w14:textId="15808B13" w:rsidR="00D346C5" w:rsidRDefault="00D346C5" w:rsidP="00650928">
            <w:pPr>
              <w:pStyle w:val="Heading2"/>
            </w:pPr>
            <w:bookmarkStart w:id="3" w:name="_Toc191272656"/>
            <w:r w:rsidRPr="00D346C5">
              <w:t xml:space="preserve">Opioid DUR Hard Reject for Above 200 </w:t>
            </w:r>
            <w:proofErr w:type="spellStart"/>
            <w:r w:rsidRPr="00D346C5">
              <w:t>MME</w:t>
            </w:r>
            <w:proofErr w:type="spellEnd"/>
            <w:r w:rsidRPr="00D346C5">
              <w:t>/Day</w:t>
            </w:r>
            <w:bookmarkEnd w:id="3"/>
          </w:p>
        </w:tc>
      </w:tr>
    </w:tbl>
    <w:p w14:paraId="4E6E77FD" w14:textId="77777777" w:rsidR="00D346C5" w:rsidRDefault="00D346C5" w:rsidP="00D346C5">
      <w:pPr>
        <w:rPr>
          <w:color w:val="000000"/>
        </w:rPr>
      </w:pPr>
      <w:r>
        <w:t xml:space="preserve"> </w:t>
      </w:r>
      <w:r>
        <w:rPr>
          <w:color w:val="000000"/>
        </w:rPr>
        <w:t>The patient is receiving the reject because based on their adjudication history their cumulative morphine milligram equivalent (</w:t>
      </w:r>
      <w:proofErr w:type="spellStart"/>
      <w:r>
        <w:rPr>
          <w:color w:val="000000"/>
        </w:rPr>
        <w:t>MME</w:t>
      </w:r>
      <w:proofErr w:type="spellEnd"/>
      <w:r>
        <w:rPr>
          <w:color w:val="000000"/>
        </w:rPr>
        <w:t xml:space="preserve">) dose is over 200 </w:t>
      </w:r>
      <w:proofErr w:type="spellStart"/>
      <w:r>
        <w:rPr>
          <w:color w:val="000000"/>
        </w:rPr>
        <w:t>MME</w:t>
      </w:r>
      <w:proofErr w:type="spellEnd"/>
      <w:r>
        <w:rPr>
          <w:color w:val="000000"/>
        </w:rPr>
        <w:t>/day, which is associated with an increased risk of opioid use disorder, overdose, and death per the CDC.  The accumulation can be due to multiple opioid prescriptions being dispensed over the same period which is causing the reject.</w:t>
      </w:r>
    </w:p>
    <w:p w14:paraId="7EFDF3C5" w14:textId="77777777" w:rsidR="00D346C5" w:rsidRDefault="00D346C5" w:rsidP="00D346C5">
      <w:pPr>
        <w:rPr>
          <w:color w:val="000000"/>
        </w:rPr>
      </w:pPr>
    </w:p>
    <w:p w14:paraId="6F7DC067" w14:textId="6064C099" w:rsidR="00D346C5" w:rsidRDefault="00D346C5" w:rsidP="00D346C5">
      <w:pPr>
        <w:contextualSpacing/>
        <w:rPr>
          <w:color w:val="000000"/>
        </w:rPr>
      </w:pPr>
      <w:r>
        <w:rPr>
          <w:noProof/>
          <w:color w:val="000000"/>
        </w:rPr>
        <w:drawing>
          <wp:inline distT="0" distB="0" distL="0" distR="0" wp14:anchorId="070E6612" wp14:editId="2C700461">
            <wp:extent cx="2381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000000"/>
        </w:rPr>
        <w:t xml:space="preserve"> The pharmacy is unable to place a PPS override for anything over 200 </w:t>
      </w:r>
      <w:proofErr w:type="spellStart"/>
      <w:r>
        <w:rPr>
          <w:color w:val="000000"/>
        </w:rPr>
        <w:t>MME</w:t>
      </w:r>
      <w:proofErr w:type="spellEnd"/>
      <w:r>
        <w:rPr>
          <w:color w:val="000000"/>
        </w:rPr>
        <w:t xml:space="preserve">/day.  The prescriber will need to submit a Prior Authorization Request or reduce the patient’s cumulative dose to less than 200 </w:t>
      </w:r>
      <w:proofErr w:type="spellStart"/>
      <w:r>
        <w:rPr>
          <w:color w:val="000000"/>
        </w:rPr>
        <w:t>MME</w:t>
      </w:r>
      <w:proofErr w:type="spellEnd"/>
      <w:r>
        <w:rPr>
          <w:color w:val="000000"/>
        </w:rPr>
        <w:t xml:space="preserve">/day. </w:t>
      </w:r>
    </w:p>
    <w:p w14:paraId="464B28BA" w14:textId="77777777" w:rsidR="00D346C5" w:rsidRDefault="00D346C5" w:rsidP="00D346C5">
      <w:pPr>
        <w:pStyle w:val="ListParagraph"/>
        <w:numPr>
          <w:ilvl w:val="0"/>
          <w:numId w:val="1"/>
        </w:numPr>
        <w:spacing w:before="120" w:after="120"/>
        <w:ind w:left="825"/>
        <w:rPr>
          <w:color w:val="000000"/>
        </w:rPr>
      </w:pPr>
      <w:r>
        <w:rPr>
          <w:color w:val="000000"/>
        </w:rPr>
        <w:t xml:space="preserve">If the member is without pain medication and would like a PA review to be submitted, then initiate an escalated case by calling the PA team and asking them for an escalated review.  Otherwise, initiate a standard PA review case. </w:t>
      </w:r>
    </w:p>
    <w:p w14:paraId="0A5B25A6" w14:textId="77777777" w:rsidR="00D346C5" w:rsidRDefault="00D346C5" w:rsidP="00D346C5">
      <w:pPr>
        <w:rPr>
          <w:color w:val="000000"/>
        </w:rPr>
      </w:pPr>
    </w:p>
    <w:p w14:paraId="65BFF8F1" w14:textId="77777777" w:rsidR="00D346C5" w:rsidRDefault="00D346C5" w:rsidP="00D346C5">
      <w:pPr>
        <w:rPr>
          <w:color w:val="000000"/>
        </w:rPr>
      </w:pPr>
      <w:r>
        <w:rPr>
          <w:b/>
          <w:color w:val="000000"/>
        </w:rPr>
        <w:t xml:space="preserve">Example 1:  </w:t>
      </w:r>
      <w:r>
        <w:rPr>
          <w:b/>
          <w:bCs/>
          <w:color w:val="000000"/>
        </w:rPr>
        <w:t xml:space="preserve">One Prescription causing the reject - </w:t>
      </w:r>
      <w:r>
        <w:rPr>
          <w:color w:val="000000"/>
        </w:rPr>
        <w:t>would reject for 75 or 922/88/</w:t>
      </w:r>
      <w:proofErr w:type="spellStart"/>
      <w:r>
        <w:rPr>
          <w:color w:val="000000"/>
        </w:rPr>
        <w:t>G4</w:t>
      </w:r>
      <w:proofErr w:type="spellEnd"/>
    </w:p>
    <w:p w14:paraId="10BE12C4" w14:textId="77777777" w:rsidR="00D346C5" w:rsidRDefault="00D346C5" w:rsidP="00D346C5">
      <w:pPr>
        <w:rPr>
          <w:color w:val="000000"/>
        </w:rPr>
      </w:pPr>
      <w:r>
        <w:rPr>
          <w:color w:val="000000"/>
        </w:rPr>
        <w:t xml:space="preserve">Oxycontin </w:t>
      </w:r>
      <w:proofErr w:type="spellStart"/>
      <w:r>
        <w:rPr>
          <w:color w:val="000000"/>
        </w:rPr>
        <w:t>40mg</w:t>
      </w:r>
      <w:proofErr w:type="spellEnd"/>
      <w:r>
        <w:rPr>
          <w:color w:val="000000"/>
        </w:rPr>
        <w:t xml:space="preserve">:  4 tabs per day = </w:t>
      </w:r>
      <w:proofErr w:type="spellStart"/>
      <w:r>
        <w:rPr>
          <w:color w:val="000000"/>
        </w:rPr>
        <w:t>240MME</w:t>
      </w:r>
      <w:proofErr w:type="spellEnd"/>
      <w:r>
        <w:rPr>
          <w:color w:val="000000"/>
        </w:rPr>
        <w:t>/day</w:t>
      </w:r>
    </w:p>
    <w:p w14:paraId="66E29B2E" w14:textId="77777777" w:rsidR="00D346C5" w:rsidRDefault="00D346C5" w:rsidP="00D346C5">
      <w:pPr>
        <w:rPr>
          <w:color w:val="000000"/>
        </w:rPr>
      </w:pPr>
    </w:p>
    <w:p w14:paraId="1E681379" w14:textId="2A3284D4" w:rsidR="00D346C5" w:rsidRDefault="00D346C5" w:rsidP="00D346C5">
      <w:pPr>
        <w:rPr>
          <w:color w:val="000000"/>
        </w:rPr>
      </w:pPr>
      <w:r>
        <w:rPr>
          <w:b/>
          <w:color w:val="000000"/>
        </w:rPr>
        <w:t xml:space="preserve">Example 2:  </w:t>
      </w:r>
      <w:r>
        <w:rPr>
          <w:b/>
          <w:bCs/>
          <w:color w:val="000000"/>
        </w:rPr>
        <w:t xml:space="preserve">Multiple RX being utilized over same period that in combination put them over the </w:t>
      </w:r>
      <w:proofErr w:type="spellStart"/>
      <w:r>
        <w:rPr>
          <w:b/>
          <w:bCs/>
          <w:color w:val="000000"/>
        </w:rPr>
        <w:t>200MME</w:t>
      </w:r>
      <w:proofErr w:type="spellEnd"/>
      <w:r>
        <w:rPr>
          <w:b/>
          <w:bCs/>
          <w:color w:val="000000"/>
        </w:rPr>
        <w:t>/day -</w:t>
      </w:r>
      <w:r>
        <w:rPr>
          <w:color w:val="000000"/>
        </w:rPr>
        <w:t xml:space="preserve"> When all three of the below drugs are added together, they add up to 227MME/day which would trigger the HARD edit. Would reject 922, 88, &amp; </w:t>
      </w:r>
      <w:proofErr w:type="spellStart"/>
      <w:r>
        <w:rPr>
          <w:color w:val="000000"/>
        </w:rPr>
        <w:t>G4</w:t>
      </w:r>
      <w:proofErr w:type="spellEnd"/>
      <w:r>
        <w:rPr>
          <w:color w:val="000000"/>
        </w:rPr>
        <w:t xml:space="preserve"> - requiring a PA review.</w:t>
      </w:r>
    </w:p>
    <w:p w14:paraId="19BFC1AE" w14:textId="77777777" w:rsidR="00D346C5" w:rsidRDefault="00D346C5" w:rsidP="00D346C5">
      <w:pPr>
        <w:numPr>
          <w:ilvl w:val="0"/>
          <w:numId w:val="2"/>
        </w:numPr>
        <w:spacing w:before="0" w:after="0"/>
        <w:ind w:left="406"/>
        <w:contextualSpacing/>
        <w:rPr>
          <w:color w:val="000000"/>
        </w:rPr>
      </w:pPr>
      <w:r>
        <w:rPr>
          <w:color w:val="000000"/>
        </w:rPr>
        <w:t xml:space="preserve">Oxycodone </w:t>
      </w:r>
      <w:proofErr w:type="spellStart"/>
      <w:r>
        <w:rPr>
          <w:color w:val="000000"/>
        </w:rPr>
        <w:t>5mg</w:t>
      </w:r>
      <w:proofErr w:type="spellEnd"/>
      <w:r>
        <w:rPr>
          <w:color w:val="000000"/>
        </w:rPr>
        <w:t>:  10 tabs per day (</w:t>
      </w:r>
      <w:proofErr w:type="spellStart"/>
      <w:r>
        <w:rPr>
          <w:color w:val="000000"/>
        </w:rPr>
        <w:t>75MME</w:t>
      </w:r>
      <w:proofErr w:type="spellEnd"/>
      <w:r>
        <w:rPr>
          <w:color w:val="000000"/>
        </w:rPr>
        <w:t>/day)</w:t>
      </w:r>
    </w:p>
    <w:p w14:paraId="6C75F6F1" w14:textId="77777777" w:rsidR="00D346C5" w:rsidRDefault="00D346C5" w:rsidP="00D346C5">
      <w:pPr>
        <w:numPr>
          <w:ilvl w:val="0"/>
          <w:numId w:val="2"/>
        </w:numPr>
        <w:spacing w:before="0" w:after="0"/>
        <w:ind w:left="406"/>
        <w:contextualSpacing/>
        <w:rPr>
          <w:color w:val="000000"/>
        </w:rPr>
      </w:pPr>
      <w:r>
        <w:rPr>
          <w:color w:val="000000"/>
        </w:rPr>
        <w:t xml:space="preserve">Hydromorphone </w:t>
      </w:r>
      <w:proofErr w:type="spellStart"/>
      <w:r>
        <w:rPr>
          <w:color w:val="000000"/>
        </w:rPr>
        <w:t>2mg</w:t>
      </w:r>
      <w:proofErr w:type="spellEnd"/>
      <w:r>
        <w:rPr>
          <w:color w:val="000000"/>
        </w:rPr>
        <w:t>:  4 tabs per day (</w:t>
      </w:r>
      <w:proofErr w:type="spellStart"/>
      <w:r>
        <w:rPr>
          <w:color w:val="000000"/>
        </w:rPr>
        <w:t>32MME</w:t>
      </w:r>
      <w:proofErr w:type="spellEnd"/>
      <w:r>
        <w:rPr>
          <w:color w:val="000000"/>
        </w:rPr>
        <w:t>/day)</w:t>
      </w:r>
    </w:p>
    <w:p w14:paraId="048F6760" w14:textId="6F1E9207" w:rsidR="00D346C5" w:rsidRDefault="00D346C5" w:rsidP="00D346C5">
      <w:pPr>
        <w:numPr>
          <w:ilvl w:val="0"/>
          <w:numId w:val="2"/>
        </w:numPr>
        <w:spacing w:before="0" w:after="0"/>
        <w:ind w:left="406"/>
        <w:contextualSpacing/>
        <w:rPr>
          <w:color w:val="000000"/>
        </w:rPr>
      </w:pPr>
      <w:r>
        <w:rPr>
          <w:color w:val="000000"/>
        </w:rPr>
        <w:t xml:space="preserve">Fentanyl </w:t>
      </w:r>
      <w:proofErr w:type="spellStart"/>
      <w:r>
        <w:rPr>
          <w:color w:val="000000"/>
        </w:rPr>
        <w:t>50mcg</w:t>
      </w:r>
      <w:proofErr w:type="spellEnd"/>
      <w:r>
        <w:rPr>
          <w:color w:val="000000"/>
        </w:rPr>
        <w:t>/</w:t>
      </w:r>
      <w:proofErr w:type="spellStart"/>
      <w:r>
        <w:rPr>
          <w:color w:val="000000"/>
        </w:rPr>
        <w:t>hr</w:t>
      </w:r>
      <w:proofErr w:type="spellEnd"/>
      <w:r>
        <w:rPr>
          <w:color w:val="000000"/>
        </w:rPr>
        <w:t xml:space="preserve">: </w:t>
      </w:r>
      <w:r w:rsidR="008D5822">
        <w:rPr>
          <w:color w:val="000000"/>
        </w:rPr>
        <w:t xml:space="preserve"> </w:t>
      </w:r>
      <w:r>
        <w:rPr>
          <w:color w:val="000000"/>
        </w:rPr>
        <w:t>(</w:t>
      </w:r>
      <w:proofErr w:type="spellStart"/>
      <w:r>
        <w:rPr>
          <w:color w:val="000000"/>
        </w:rPr>
        <w:t>120MME</w:t>
      </w:r>
      <w:proofErr w:type="spellEnd"/>
      <w:r>
        <w:rPr>
          <w:color w:val="000000"/>
        </w:rPr>
        <w:t xml:space="preserve"> per day)</w:t>
      </w:r>
    </w:p>
    <w:p w14:paraId="0C7D900A" w14:textId="77777777" w:rsidR="00D346C5" w:rsidRDefault="00D346C5" w:rsidP="00D346C5">
      <w:pPr>
        <w:rPr>
          <w:color w:val="000000"/>
        </w:rPr>
      </w:pPr>
    </w:p>
    <w:p w14:paraId="480B9205" w14:textId="77777777" w:rsidR="00D346C5" w:rsidRDefault="00D346C5" w:rsidP="00D346C5">
      <w:pPr>
        <w:rPr>
          <w:color w:val="000000"/>
        </w:rPr>
      </w:pPr>
      <w:r>
        <w:rPr>
          <w:color w:val="000000"/>
        </w:rPr>
        <w:t xml:space="preserve">Claims over the 200 </w:t>
      </w:r>
      <w:proofErr w:type="spellStart"/>
      <w:r>
        <w:rPr>
          <w:color w:val="000000"/>
        </w:rPr>
        <w:t>MME</w:t>
      </w:r>
      <w:proofErr w:type="spellEnd"/>
      <w:r>
        <w:rPr>
          <w:color w:val="000000"/>
        </w:rPr>
        <w:t xml:space="preserve"> Limit will not reject with standard reject code 75 and the opioid phone number (</w:t>
      </w:r>
      <w:r>
        <w:rPr>
          <w:b/>
          <w:bCs/>
          <w:color w:val="000000"/>
        </w:rPr>
        <w:t>1-844-449-8734</w:t>
      </w:r>
      <w:r>
        <w:rPr>
          <w:color w:val="000000"/>
        </w:rPr>
        <w:t>).  These DUR rejects will return 922/</w:t>
      </w:r>
      <w:proofErr w:type="spellStart"/>
      <w:r>
        <w:rPr>
          <w:color w:val="000000"/>
        </w:rPr>
        <w:t>G4</w:t>
      </w:r>
      <w:proofErr w:type="spellEnd"/>
      <w:r>
        <w:rPr>
          <w:color w:val="000000"/>
        </w:rPr>
        <w:t>/88 with the opioid phone number (</w:t>
      </w:r>
      <w:r>
        <w:rPr>
          <w:b/>
          <w:bCs/>
          <w:color w:val="000000"/>
        </w:rPr>
        <w:t>1-844-449-8734</w:t>
      </w:r>
      <w:r>
        <w:rPr>
          <w:color w:val="000000"/>
        </w:rPr>
        <w:t>).</w:t>
      </w:r>
    </w:p>
    <w:p w14:paraId="7EEDA11B" w14:textId="77777777" w:rsidR="00D346C5" w:rsidRDefault="00D346C5" w:rsidP="00D346C5"/>
    <w:p w14:paraId="7D4A7A19" w14:textId="77777777" w:rsidR="00D346C5" w:rsidRDefault="00D346C5" w:rsidP="00D346C5">
      <w:pPr>
        <w:rPr>
          <w:b/>
          <w:bCs/>
        </w:rPr>
      </w:pPr>
      <w:r>
        <w:rPr>
          <w:b/>
          <w:bCs/>
        </w:rPr>
        <w:t>Notes:</w:t>
      </w:r>
    </w:p>
    <w:p w14:paraId="7D26E5D3" w14:textId="77777777" w:rsidR="008D5822" w:rsidRDefault="00D346C5" w:rsidP="008D5822">
      <w:pPr>
        <w:numPr>
          <w:ilvl w:val="0"/>
          <w:numId w:val="3"/>
        </w:numPr>
        <w:spacing w:before="0" w:after="0"/>
        <w:ind w:left="406"/>
        <w:contextualSpacing/>
      </w:pPr>
      <w:r>
        <w:t>The DUR Override will be entered at full GPI and will apply to a specific drug strength.  If the drugs are filled in a different order, another opioid could trigger the DUR reject and another DUR review will be needed.</w:t>
      </w:r>
    </w:p>
    <w:p w14:paraId="049A0D87" w14:textId="09221FB4" w:rsidR="00D346C5" w:rsidRPr="008D5822" w:rsidRDefault="00D346C5" w:rsidP="008D5822">
      <w:pPr>
        <w:numPr>
          <w:ilvl w:val="0"/>
          <w:numId w:val="3"/>
        </w:numPr>
        <w:spacing w:before="0" w:after="0"/>
        <w:ind w:left="406"/>
        <w:contextualSpacing/>
      </w:pPr>
      <w:r w:rsidRPr="008D5822">
        <w:rPr>
          <w:color w:val="000000"/>
        </w:rPr>
        <w:t>A member could see different outcomes experiencing a reject or denial depending on the order that the drugs are filled.  In this instance, suggest to the pharmacy that they try processing the drugs in a different order to see if it would result in a paid claim.</w:t>
      </w:r>
    </w:p>
    <w:p w14:paraId="5F9EE943" w14:textId="77777777" w:rsidR="00634C18" w:rsidRDefault="00634C18" w:rsidP="00D346C5">
      <w:pPr>
        <w:rPr>
          <w:color w:val="000000"/>
        </w:rPr>
      </w:pPr>
    </w:p>
    <w:p w14:paraId="492A2D62" w14:textId="73B7288E" w:rsidR="00E5075E" w:rsidRDefault="00950F25" w:rsidP="00634C18">
      <w:pPr>
        <w:jc w:val="right"/>
      </w:pPr>
      <w:hyperlink w:anchor="_top" w:history="1">
        <w:r w:rsidR="00E5075E" w:rsidRPr="00950F25">
          <w:rPr>
            <w:rStyle w:val="Hyperlink"/>
          </w:rPr>
          <w:t>Top of the Document</w:t>
        </w:r>
      </w:hyperlink>
    </w:p>
    <w:tbl>
      <w:tblPr>
        <w:tblStyle w:val="TableGrid"/>
        <w:tblW w:w="5000" w:type="pct"/>
        <w:tblLook w:val="04A0" w:firstRow="1" w:lastRow="0" w:firstColumn="1" w:lastColumn="0" w:noHBand="0" w:noVBand="1"/>
      </w:tblPr>
      <w:tblGrid>
        <w:gridCol w:w="9350"/>
      </w:tblGrid>
      <w:tr w:rsidR="00E5075E" w14:paraId="2B3A5AA8" w14:textId="77777777" w:rsidTr="00E5075E">
        <w:tc>
          <w:tcPr>
            <w:tcW w:w="5000" w:type="pct"/>
            <w:shd w:val="clear" w:color="auto" w:fill="BFBFBF" w:themeFill="background1" w:themeFillShade="BF"/>
          </w:tcPr>
          <w:p w14:paraId="7567D3EE" w14:textId="1D2FF2EE" w:rsidR="00E5075E" w:rsidRDefault="00E5075E" w:rsidP="00650928">
            <w:pPr>
              <w:pStyle w:val="Heading2"/>
            </w:pPr>
            <w:bookmarkStart w:id="4" w:name="_Toc191272657"/>
            <w:r>
              <w:t>Related Documents</w:t>
            </w:r>
            <w:bookmarkEnd w:id="4"/>
          </w:p>
        </w:tc>
      </w:tr>
    </w:tbl>
    <w:p w14:paraId="17EB30BB" w14:textId="40CBC238" w:rsidR="00A26F67" w:rsidRDefault="006802BF" w:rsidP="00A26F67">
      <w:r>
        <w:rPr>
          <w:b/>
          <w:bCs/>
        </w:rPr>
        <w:t xml:space="preserve">CVS Caremark:  </w:t>
      </w:r>
      <w:hyperlink r:id="rId7" w:anchor="!/view?docid=657ddfe3-27d1-4a21-8f51-8cbd3961001c" w:history="1">
        <w:r w:rsidR="00A26F67">
          <w:rPr>
            <w:rStyle w:val="Hyperlink"/>
          </w:rPr>
          <w:t>Prior Authorization, Exceptions, Appeals Guide (063978)</w:t>
        </w:r>
      </w:hyperlink>
    </w:p>
    <w:p w14:paraId="51B9B929" w14:textId="3DD9309B" w:rsidR="00DD5047" w:rsidRDefault="00DD5047" w:rsidP="00E5075E">
      <w:hyperlink r:id="rId8" w:anchor="!/view?docid=c1f1028b-e42c-4b4f-a4cf-cc0b42c91606" w:tgtFrame="_blank" w:history="1">
        <w:r w:rsidR="00587C50">
          <w:rPr>
            <w:rStyle w:val="Hyperlink"/>
          </w:rPr>
          <w:t>Customer Care Abbreviations, Definitions, and Terms (017428)</w:t>
        </w:r>
      </w:hyperlink>
    </w:p>
    <w:p w14:paraId="154B7848" w14:textId="43353D65" w:rsidR="00634C18" w:rsidRDefault="00950F25" w:rsidP="00634C18">
      <w:pPr>
        <w:jc w:val="right"/>
      </w:pPr>
      <w:hyperlink w:anchor="_top" w:history="1">
        <w:r w:rsidR="002A4DD5" w:rsidRPr="00950F25">
          <w:rPr>
            <w:rStyle w:val="Hyperlink"/>
          </w:rPr>
          <w:t>Top of the Document</w:t>
        </w:r>
      </w:hyperlink>
    </w:p>
    <w:p w14:paraId="1D8CD963" w14:textId="77777777" w:rsidR="00634C18" w:rsidRDefault="00634C18" w:rsidP="00634C18">
      <w:pPr>
        <w:pStyle w:val="NormalWeb"/>
        <w:spacing w:before="0" w:beforeAutospacing="0" w:after="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09A7AC92" w14:textId="0BE0667C" w:rsidR="00634C18" w:rsidRPr="00390D1F" w:rsidRDefault="00634C18" w:rsidP="00390D1F">
      <w:pPr>
        <w:pStyle w:val="NormalWeb"/>
        <w:spacing w:before="0" w:beforeAutospacing="0" w:after="0" w:afterAutospacing="0"/>
        <w:jc w:val="center"/>
        <w:rPr>
          <w:color w:val="000000"/>
          <w:sz w:val="27"/>
          <w:szCs w:val="27"/>
        </w:rPr>
      </w:pPr>
      <w:r>
        <w:rPr>
          <w:rFonts w:ascii="Verdana" w:hAnsi="Verdana"/>
          <w:b/>
          <w:bCs/>
          <w:color w:val="000000"/>
          <w:sz w:val="16"/>
          <w:szCs w:val="16"/>
        </w:rPr>
        <w:t>ELECTRONIC DATA = OFFICIAL VERSION / PAPER COPY = INFORMATIONAL ONLY</w:t>
      </w:r>
    </w:p>
    <w:sectPr w:rsidR="00634C18" w:rsidRPr="00390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75F4B"/>
    <w:multiLevelType w:val="hybridMultilevel"/>
    <w:tmpl w:val="47CCA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E9849F4"/>
    <w:multiLevelType w:val="hybridMultilevel"/>
    <w:tmpl w:val="C86C8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0DC0927"/>
    <w:multiLevelType w:val="hybridMultilevel"/>
    <w:tmpl w:val="C24C6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04940020">
    <w:abstractNumId w:val="1"/>
  </w:num>
  <w:num w:numId="2" w16cid:durableId="2044209005">
    <w:abstractNumId w:val="0"/>
  </w:num>
  <w:num w:numId="3" w16cid:durableId="1501387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C5"/>
    <w:rsid w:val="002A4DD5"/>
    <w:rsid w:val="00372931"/>
    <w:rsid w:val="00390D1F"/>
    <w:rsid w:val="004276FA"/>
    <w:rsid w:val="00587C50"/>
    <w:rsid w:val="005E1D0F"/>
    <w:rsid w:val="00634C18"/>
    <w:rsid w:val="00650928"/>
    <w:rsid w:val="006802BF"/>
    <w:rsid w:val="00687FD2"/>
    <w:rsid w:val="008D5822"/>
    <w:rsid w:val="008F60FF"/>
    <w:rsid w:val="00950F25"/>
    <w:rsid w:val="009751FF"/>
    <w:rsid w:val="00976DA1"/>
    <w:rsid w:val="00A26F67"/>
    <w:rsid w:val="00A6016C"/>
    <w:rsid w:val="00BB73F1"/>
    <w:rsid w:val="00CD055E"/>
    <w:rsid w:val="00D346C5"/>
    <w:rsid w:val="00DD5047"/>
    <w:rsid w:val="00E5075E"/>
    <w:rsid w:val="00EA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49A1"/>
  <w15:chartTrackingRefBased/>
  <w15:docId w15:val="{52050539-129E-476E-86BB-F65A93D7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6FA"/>
    <w:pPr>
      <w:spacing w:before="120" w:after="120" w:line="240" w:lineRule="auto"/>
    </w:pPr>
    <w:rPr>
      <w:rFonts w:ascii="Verdana" w:hAnsi="Verdana"/>
      <w:sz w:val="24"/>
    </w:rPr>
  </w:style>
  <w:style w:type="paragraph" w:styleId="Heading1">
    <w:name w:val="heading 1"/>
    <w:basedOn w:val="Normal"/>
    <w:next w:val="Normal"/>
    <w:link w:val="Heading1Char"/>
    <w:uiPriority w:val="9"/>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650928"/>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4276FA"/>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rsid w:val="00650928"/>
    <w:rPr>
      <w:rFonts w:ascii="Verdana" w:eastAsiaTheme="majorEastAsia" w:hAnsi="Verdana" w:cstheme="majorBidi"/>
      <w:b/>
      <w:sz w:val="28"/>
      <w:szCs w:val="26"/>
    </w:rPr>
  </w:style>
  <w:style w:type="character" w:customStyle="1" w:styleId="Heading3Char">
    <w:name w:val="Heading 3 Char"/>
    <w:basedOn w:val="DefaultParagraphFont"/>
    <w:link w:val="Heading3"/>
    <w:uiPriority w:val="9"/>
    <w:semiHidden/>
    <w:rsid w:val="004276FA"/>
    <w:rPr>
      <w:rFonts w:ascii="Verdana" w:eastAsiaTheme="majorEastAsia" w:hAnsi="Verdana" w:cstheme="majorBidi"/>
      <w:b/>
      <w:sz w:val="24"/>
      <w:szCs w:val="24"/>
    </w:rPr>
  </w:style>
  <w:style w:type="table" w:styleId="TableGrid">
    <w:name w:val="Table Grid"/>
    <w:basedOn w:val="TableNormal"/>
    <w:uiPriority w:val="39"/>
    <w:rsid w:val="00D3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46C5"/>
    <w:pPr>
      <w:spacing w:before="0" w:after="0"/>
      <w:ind w:left="720"/>
      <w:contextualSpacing/>
    </w:pPr>
    <w:rPr>
      <w:rFonts w:eastAsia="Times New Roman" w:cs="Times New Roman"/>
      <w:szCs w:val="24"/>
    </w:rPr>
  </w:style>
  <w:style w:type="character" w:styleId="Hyperlink">
    <w:name w:val="Hyperlink"/>
    <w:basedOn w:val="DefaultParagraphFont"/>
    <w:uiPriority w:val="99"/>
    <w:unhideWhenUsed/>
    <w:rsid w:val="00634C18"/>
    <w:rPr>
      <w:color w:val="0563C1" w:themeColor="hyperlink"/>
      <w:u w:val="single"/>
    </w:rPr>
  </w:style>
  <w:style w:type="character" w:styleId="UnresolvedMention">
    <w:name w:val="Unresolved Mention"/>
    <w:basedOn w:val="DefaultParagraphFont"/>
    <w:uiPriority w:val="99"/>
    <w:semiHidden/>
    <w:unhideWhenUsed/>
    <w:rsid w:val="00634C18"/>
    <w:rPr>
      <w:color w:val="605E5C"/>
      <w:shd w:val="clear" w:color="auto" w:fill="E1DFDD"/>
    </w:rPr>
  </w:style>
  <w:style w:type="paragraph" w:styleId="NormalWeb">
    <w:name w:val="Normal (Web)"/>
    <w:basedOn w:val="Normal"/>
    <w:uiPriority w:val="99"/>
    <w:unhideWhenUsed/>
    <w:rsid w:val="00634C18"/>
    <w:pPr>
      <w:spacing w:before="100" w:beforeAutospacing="1" w:after="100" w:afterAutospacing="1"/>
    </w:pPr>
    <w:rPr>
      <w:rFonts w:ascii="Times New Roman" w:eastAsia="Times New Roman" w:hAnsi="Times New Roman" w:cs="Times New Roman"/>
      <w:szCs w:val="24"/>
    </w:rPr>
  </w:style>
  <w:style w:type="paragraph" w:styleId="Revision">
    <w:name w:val="Revision"/>
    <w:hidden/>
    <w:uiPriority w:val="99"/>
    <w:semiHidden/>
    <w:rsid w:val="009751FF"/>
    <w:pPr>
      <w:spacing w:after="0" w:line="240" w:lineRule="auto"/>
    </w:pPr>
    <w:rPr>
      <w:rFonts w:ascii="Verdana" w:hAnsi="Verdana"/>
      <w:sz w:val="24"/>
    </w:rPr>
  </w:style>
  <w:style w:type="paragraph" w:styleId="TOC1">
    <w:name w:val="toc 1"/>
    <w:basedOn w:val="Normal"/>
    <w:next w:val="Normal"/>
    <w:autoRedefine/>
    <w:uiPriority w:val="39"/>
    <w:unhideWhenUsed/>
    <w:rsid w:val="00BB73F1"/>
    <w:pPr>
      <w:spacing w:after="100"/>
    </w:pPr>
  </w:style>
  <w:style w:type="paragraph" w:styleId="TOC2">
    <w:name w:val="toc 2"/>
    <w:basedOn w:val="Normal"/>
    <w:next w:val="Normal"/>
    <w:autoRedefine/>
    <w:uiPriority w:val="39"/>
    <w:unhideWhenUsed/>
    <w:rsid w:val="002A4DD5"/>
    <w:pPr>
      <w:tabs>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341972">
      <w:bodyDiv w:val="1"/>
      <w:marLeft w:val="0"/>
      <w:marRight w:val="0"/>
      <w:marTop w:val="0"/>
      <w:marBottom w:val="0"/>
      <w:divBdr>
        <w:top w:val="none" w:sz="0" w:space="0" w:color="auto"/>
        <w:left w:val="none" w:sz="0" w:space="0" w:color="auto"/>
        <w:bottom w:val="none" w:sz="0" w:space="0" w:color="auto"/>
        <w:right w:val="none" w:sz="0" w:space="0" w:color="auto"/>
      </w:divBdr>
    </w:div>
    <w:div w:id="85854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3" Type="http://schemas.openxmlformats.org/officeDocument/2006/relationships/styles" Target="styles.xml"/><Relationship Id="rId7" Type="http://schemas.openxmlformats.org/officeDocument/2006/relationships/hyperlink" Target="https://thesource.cvshealth.com/nuxeo/thesour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7ECA7-2BC7-428B-B9D9-92CC8E16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Brienna Dugdale</dc:creator>
  <cp:keywords/>
  <dc:description/>
  <cp:lastModifiedBy>Dugdale, Brienna</cp:lastModifiedBy>
  <cp:revision>4</cp:revision>
  <dcterms:created xsi:type="dcterms:W3CDTF">2025-02-21T14:39:00Z</dcterms:created>
  <dcterms:modified xsi:type="dcterms:W3CDTF">2025-02-24T12:57:00Z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2023-07-24T16:29:05Z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f8aefc16-c9fe-4b5c-9293-2f189c7754de</vt:lpwstr>
  </property>
  <property fmtid="{D5CDD505-2E9C-101B-9397-08002B2CF9AE}" pid="8" name="MSIP_Label_67599526-06ca-49cc-9fa9-5307800a949a_ContentBits">
    <vt:lpwstr>0</vt:lpwstr>
  </property>
</Properties>
</file>