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150E" w14:textId="039A0409" w:rsidR="007336C8" w:rsidRDefault="007336C8" w:rsidP="007336C8">
      <w:pPr>
        <w:pStyle w:val="Heading1"/>
      </w:pPr>
      <w:bookmarkStart w:id="0" w:name="_top"/>
      <w:bookmarkStart w:id="1" w:name="Top_of_the_Document"/>
      <w:bookmarkEnd w:id="0"/>
      <w:bookmarkEnd w:id="1"/>
      <w:r>
        <w:t xml:space="preserve">Compass – Editing a </w:t>
      </w:r>
      <w:r w:rsidR="00EB6C31">
        <w:t xml:space="preserve">Specialty </w:t>
      </w:r>
      <w:r>
        <w:t>Pharmacy Lock PBO</w:t>
      </w:r>
    </w:p>
    <w:p w14:paraId="4A8C8E8E" w14:textId="77777777" w:rsidR="002A4CD8" w:rsidRPr="002A4CD8" w:rsidRDefault="002A4CD8" w:rsidP="00924DE6"/>
    <w:p w14:paraId="5D2BE758" w14:textId="247D7454" w:rsidR="002A4CD8" w:rsidRDefault="002A4CD8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7275441" w:history="1">
        <w:r w:rsidRPr="00481CE6">
          <w:rPr>
            <w:rStyle w:val="Hyperlink"/>
            <w:noProof/>
          </w:rPr>
          <w:t>Editing Specialty Pharmacy Lock to PBO</w:t>
        </w:r>
      </w:hyperlink>
    </w:p>
    <w:p w14:paraId="7857067D" w14:textId="77777777" w:rsidR="002A4CD8" w:rsidRDefault="002A4CD8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275442" w:history="1">
        <w:r w:rsidRPr="00481CE6">
          <w:rPr>
            <w:rStyle w:val="Hyperlink"/>
            <w:noProof/>
          </w:rPr>
          <w:t>Related Documents</w:t>
        </w:r>
      </w:hyperlink>
    </w:p>
    <w:p w14:paraId="49E7EA8A" w14:textId="37ED724E" w:rsidR="00EB6C31" w:rsidRDefault="002A4CD8" w:rsidP="007336C8">
      <w:r>
        <w:fldChar w:fldCharType="end"/>
      </w:r>
    </w:p>
    <w:p w14:paraId="505CC3AA" w14:textId="77777777" w:rsidR="002A4CD8" w:rsidRPr="007336C8" w:rsidRDefault="002A4CD8" w:rsidP="007336C8"/>
    <w:p w14:paraId="0E5FC8F8" w14:textId="6E490D70" w:rsidR="006C6A0C" w:rsidRDefault="006C6A0C">
      <w:r>
        <w:rPr>
          <w:b/>
          <w:bCs/>
          <w:color w:val="000000"/>
        </w:rPr>
        <w:t xml:space="preserve">Description: </w:t>
      </w:r>
      <w:bookmarkStart w:id="2" w:name="OLE_LINK2"/>
      <w:r w:rsidR="00442844">
        <w:rPr>
          <w:color w:val="000000"/>
        </w:rPr>
        <w:t>S</w:t>
      </w:r>
      <w:r>
        <w:rPr>
          <w:color w:val="000000"/>
        </w:rPr>
        <w:t xml:space="preserve">teps to take after entering a Specialty Retail Lock Out </w:t>
      </w:r>
      <w:r w:rsidR="00442844">
        <w:rPr>
          <w:color w:val="000000"/>
        </w:rPr>
        <w:t>O</w:t>
      </w:r>
      <w:r>
        <w:rPr>
          <w:color w:val="000000"/>
        </w:rPr>
        <w:t>verride to edit the override. This is necessary to complete the override and allow the claim to pay.</w:t>
      </w:r>
    </w:p>
    <w:bookmarkEnd w:id="2"/>
    <w:p w14:paraId="12F68F7E" w14:textId="77777777" w:rsidR="006C6A0C" w:rsidRDefault="006C6A0C"/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EE1568" w14:paraId="5EE0718A" w14:textId="77777777" w:rsidTr="00D95902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2D9601" w14:textId="1DEE2760" w:rsidR="00EE1568" w:rsidRDefault="00EE1568" w:rsidP="007336C8">
            <w:pPr>
              <w:pStyle w:val="Heading2"/>
              <w:spacing w:before="120" w:after="120"/>
              <w:rPr>
                <w:i/>
                <w:sz w:val="36"/>
                <w:szCs w:val="36"/>
              </w:rPr>
            </w:pPr>
            <w:bookmarkStart w:id="3" w:name="_Toc145512208"/>
            <w:bookmarkStart w:id="4" w:name="_Toc145509618"/>
            <w:bookmarkStart w:id="5" w:name="OLE_LINK56"/>
            <w:bookmarkStart w:id="6" w:name="_Toc207275441"/>
            <w:r>
              <w:t xml:space="preserve">Editing </w:t>
            </w:r>
            <w:r w:rsidR="001C3294">
              <w:t xml:space="preserve">Specialty </w:t>
            </w:r>
            <w:r>
              <w:t xml:space="preserve">Pharmacy Lock to </w:t>
            </w:r>
            <w:r w:rsidRPr="007336C8">
              <w:t>PBO</w:t>
            </w:r>
            <w:bookmarkEnd w:id="3"/>
            <w:bookmarkEnd w:id="4"/>
            <w:bookmarkEnd w:id="5"/>
            <w:bookmarkEnd w:id="6"/>
          </w:p>
        </w:tc>
      </w:tr>
    </w:tbl>
    <w:p w14:paraId="6370986B" w14:textId="645B221B" w:rsidR="00EE1568" w:rsidRPr="00B8585C" w:rsidRDefault="00EE1568" w:rsidP="007336C8">
      <w:pPr>
        <w:pStyle w:val="NormalWeb"/>
        <w:spacing w:before="120" w:beforeAutospacing="0" w:after="120" w:afterAutospacing="0"/>
        <w:ind w:right="312"/>
        <w:rPr>
          <w:color w:val="000000"/>
        </w:rPr>
      </w:pPr>
      <w:r>
        <w:rPr>
          <w:color w:val="000000"/>
        </w:rPr>
        <w:t xml:space="preserve">This section provides instructions for editing </w:t>
      </w:r>
      <w:r w:rsidR="00EB7187">
        <w:rPr>
          <w:color w:val="000000"/>
        </w:rPr>
        <w:t xml:space="preserve">specialty </w:t>
      </w:r>
      <w:r>
        <w:rPr>
          <w:color w:val="000000"/>
        </w:rPr>
        <w:t>pharmacy lock edits to a PBO</w:t>
      </w:r>
      <w:r w:rsidR="0072586F">
        <w:rPr>
          <w:color w:val="000000"/>
        </w:rPr>
        <w:t xml:space="preserve"> (Plan Benefit Override)</w:t>
      </w:r>
      <w:r>
        <w:rPr>
          <w:color w:val="000000"/>
        </w:rPr>
        <w:t>.</w:t>
      </w:r>
    </w:p>
    <w:p w14:paraId="5E2422CE" w14:textId="60258A6F" w:rsidR="00940D6F" w:rsidRDefault="00000000" w:rsidP="00EE1568">
      <w:pPr>
        <w:pStyle w:val="NormalWeb"/>
        <w:ind w:right="312"/>
        <w:rPr>
          <w:color w:val="000000"/>
        </w:rPr>
      </w:pPr>
      <w:r>
        <w:pict w14:anchorId="56001044">
          <v:shape id="Picture 7" o:spid="_x0000_i1026" type="#_x0000_t75" style="width:18.75pt;height:16.5pt;visibility:visible;mso-wrap-style:square">
            <v:imagedata r:id="rId8" o:title=""/>
          </v:shape>
        </w:pict>
      </w:r>
      <w:r w:rsidR="00805E2D" w:rsidRPr="00D71D8B" w:rsidDel="00805E2D">
        <w:rPr>
          <w:b/>
          <w:bCs/>
          <w:color w:val="FF0000"/>
        </w:rPr>
        <w:t xml:space="preserve"> </w:t>
      </w:r>
      <w:r w:rsidR="00EE1568">
        <w:rPr>
          <w:color w:val="000000"/>
        </w:rPr>
        <w:t xml:space="preserve"> Review the CIF before entering the edit on ANY PBO.</w:t>
      </w:r>
    </w:p>
    <w:p w14:paraId="0642DD5A" w14:textId="142A0CFE" w:rsidR="0047070C" w:rsidRDefault="00631207" w:rsidP="00EE1568">
      <w:pPr>
        <w:pStyle w:val="NormalWeb"/>
        <w:ind w:right="312"/>
        <w:rPr>
          <w:color w:val="000000"/>
          <w:sz w:val="27"/>
          <w:szCs w:val="27"/>
        </w:rPr>
      </w:pPr>
      <w:r>
        <w:rPr>
          <w:color w:val="000000"/>
        </w:rPr>
        <w:t>The over</w:t>
      </w:r>
      <w:r w:rsidR="004A3171">
        <w:rPr>
          <w:color w:val="000000"/>
        </w:rPr>
        <w:t xml:space="preserve">ride must be entered first before the </w:t>
      </w:r>
      <w:r w:rsidR="005A75B0">
        <w:rPr>
          <w:color w:val="000000"/>
        </w:rPr>
        <w:t xml:space="preserve">Specialty </w:t>
      </w:r>
      <w:r w:rsidR="004A3171">
        <w:rPr>
          <w:color w:val="000000"/>
        </w:rPr>
        <w:t xml:space="preserve">Pharmacy Lock </w:t>
      </w:r>
      <w:r w:rsidR="0024107E">
        <w:rPr>
          <w:color w:val="000000"/>
        </w:rPr>
        <w:t xml:space="preserve">field can be updated. </w:t>
      </w:r>
    </w:p>
    <w:p w14:paraId="3FB7AFD4" w14:textId="77777777" w:rsidR="00EE1568" w:rsidRDefault="00EE1568" w:rsidP="00EE1568">
      <w:pPr>
        <w:pStyle w:val="NormalWeb"/>
        <w:ind w:right="312"/>
        <w:rPr>
          <w:color w:val="000000"/>
          <w:sz w:val="27"/>
          <w:szCs w:val="27"/>
        </w:rPr>
      </w:pPr>
      <w:r>
        <w:rPr>
          <w:color w:val="000000"/>
        </w:rPr>
        <w:t>After completing the override, perform the following steps to process the remaining edits on the PBO: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4218"/>
        <w:gridCol w:w="8068"/>
      </w:tblGrid>
      <w:tr w:rsidR="00EE1568" w14:paraId="211726AA" w14:textId="77777777" w:rsidTr="00D95902">
        <w:tc>
          <w:tcPr>
            <w:tcW w:w="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4E12B1D" w14:textId="77777777" w:rsidR="00EE1568" w:rsidRPr="007336C8" w:rsidRDefault="00EE1568" w:rsidP="007336C8">
            <w:pPr>
              <w:spacing w:before="120" w:after="120"/>
              <w:jc w:val="center"/>
              <w:rPr>
                <w:b/>
                <w:bCs/>
              </w:rPr>
            </w:pPr>
            <w:r w:rsidRPr="007336C8">
              <w:rPr>
                <w:b/>
                <w:bCs/>
              </w:rPr>
              <w:t>Step</w:t>
            </w:r>
          </w:p>
        </w:tc>
        <w:tc>
          <w:tcPr>
            <w:tcW w:w="4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3FBBDF" w14:textId="77777777" w:rsidR="00EE1568" w:rsidRDefault="00EE1568" w:rsidP="007336C8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b/>
                <w:bCs/>
                <w:sz w:val="22"/>
                <w:szCs w:val="22"/>
              </w:rPr>
              <w:t>Action</w:t>
            </w:r>
          </w:p>
        </w:tc>
      </w:tr>
      <w:tr w:rsidR="00EE1568" w14:paraId="7E4E541B" w14:textId="77777777" w:rsidTr="007336C8">
        <w:tc>
          <w:tcPr>
            <w:tcW w:w="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0331AA2" w14:textId="77777777" w:rsidR="00EE1568" w:rsidRPr="007336C8" w:rsidRDefault="00EE1568" w:rsidP="007336C8">
            <w:pPr>
              <w:spacing w:before="120" w:after="120"/>
              <w:jc w:val="center"/>
              <w:rPr>
                <w:b/>
                <w:bCs/>
              </w:rPr>
            </w:pPr>
            <w:r w:rsidRPr="007336C8">
              <w:rPr>
                <w:b/>
                <w:bCs/>
              </w:rPr>
              <w:t>1</w:t>
            </w:r>
          </w:p>
        </w:tc>
        <w:tc>
          <w:tcPr>
            <w:tcW w:w="4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C5A6B2C" w14:textId="33140B7D" w:rsidR="00EE1568" w:rsidRDefault="00EE1568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 xml:space="preserve">After entering the override for </w:t>
            </w:r>
            <w:r>
              <w:rPr>
                <w:b/>
                <w:bCs/>
              </w:rPr>
              <w:t>Specialty Retail Lock Out</w:t>
            </w:r>
            <w:r>
              <w:t xml:space="preserve">, in the </w:t>
            </w:r>
            <w:r>
              <w:rPr>
                <w:b/>
                <w:bCs/>
              </w:rPr>
              <w:t>Override Results</w:t>
            </w:r>
            <w:r>
              <w:t xml:space="preserve"> screen, the </w:t>
            </w:r>
            <w:r>
              <w:rPr>
                <w:b/>
                <w:bCs/>
              </w:rPr>
              <w:t>Test Claim Status</w:t>
            </w:r>
            <w:r>
              <w:t xml:space="preserve"> will show Denied. The claim will reject for R6. </w:t>
            </w:r>
            <w:r w:rsidR="0035260E">
              <w:t xml:space="preserve">Click </w:t>
            </w:r>
            <w:r w:rsidR="0035260E">
              <w:rPr>
                <w:b/>
                <w:bCs/>
              </w:rPr>
              <w:t>Finish</w:t>
            </w:r>
            <w:r w:rsidR="0035260E">
              <w:t>.</w:t>
            </w:r>
          </w:p>
          <w:p w14:paraId="23097F0C" w14:textId="77777777" w:rsidR="007336C8" w:rsidRDefault="007336C8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2C252F45" w14:textId="3E5BB186" w:rsidR="001A2736" w:rsidRDefault="00EE1568" w:rsidP="007336C8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529257B9" wp14:editId="5D3F9817">
                  <wp:extent cx="7058025" cy="4562475"/>
                  <wp:effectExtent l="19050" t="19050" r="28575" b="285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8025" cy="45624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EB62411" w14:textId="77777777" w:rsidR="007336C8" w:rsidRDefault="007336C8" w:rsidP="007336C8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</w:p>
          <w:p w14:paraId="7610D1D2" w14:textId="15E7A4B8" w:rsidR="00EE1568" w:rsidRDefault="001A2736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rPr>
                <w:b/>
                <w:bCs/>
              </w:rPr>
              <w:t xml:space="preserve">Result: </w:t>
            </w:r>
            <w:r w:rsidR="00674A93" w:rsidRPr="007336C8">
              <w:t>Override/PA History</w:t>
            </w:r>
            <w:r w:rsidR="00674A93">
              <w:rPr>
                <w:b/>
                <w:bCs/>
              </w:rPr>
              <w:t xml:space="preserve"> </w:t>
            </w:r>
            <w:r w:rsidR="00674A93">
              <w:t>screen displays.</w:t>
            </w:r>
            <w:r w:rsidR="0035260E">
              <w:br/>
            </w:r>
            <w:r w:rsidR="00674A93">
              <w:rPr>
                <w:b/>
                <w:bCs/>
              </w:rPr>
              <w:t xml:space="preserve">Note: </w:t>
            </w:r>
            <w:r w:rsidR="00674A93">
              <w:t xml:space="preserve">If </w:t>
            </w:r>
            <w:r w:rsidR="00674A93" w:rsidRPr="007336C8">
              <w:rPr>
                <w:b/>
                <w:bCs/>
              </w:rPr>
              <w:t>the Override/PA History</w:t>
            </w:r>
            <w:r w:rsidR="00674A93">
              <w:t xml:space="preserve"> screen does not display, navigate to the Override/PA History screen.</w:t>
            </w:r>
          </w:p>
        </w:tc>
      </w:tr>
      <w:tr w:rsidR="00EE1568" w14:paraId="3FBD14A6" w14:textId="77777777" w:rsidTr="007336C8">
        <w:tc>
          <w:tcPr>
            <w:tcW w:w="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DFD8287" w14:textId="77777777" w:rsidR="00EE1568" w:rsidRPr="007336C8" w:rsidRDefault="00EE1568" w:rsidP="007336C8">
            <w:pPr>
              <w:spacing w:before="120" w:after="120"/>
              <w:jc w:val="center"/>
              <w:rPr>
                <w:b/>
                <w:bCs/>
              </w:rPr>
            </w:pPr>
            <w:r w:rsidRPr="007336C8">
              <w:rPr>
                <w:b/>
                <w:bCs/>
              </w:rPr>
              <w:t>2</w:t>
            </w:r>
          </w:p>
        </w:tc>
        <w:tc>
          <w:tcPr>
            <w:tcW w:w="4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CFA41C9" w14:textId="7D4926DD" w:rsidR="00EE1568" w:rsidRDefault="00674A93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 xml:space="preserve">Click on the </w:t>
            </w:r>
            <w:r>
              <w:rPr>
                <w:b/>
                <w:bCs/>
              </w:rPr>
              <w:t>ID</w:t>
            </w:r>
            <w:r>
              <w:t xml:space="preserve"> hyperlink of the override that </w:t>
            </w:r>
            <w:r w:rsidR="00E55219">
              <w:t xml:space="preserve">needs the </w:t>
            </w:r>
            <w:r w:rsidR="005A75B0">
              <w:t xml:space="preserve">Specialty </w:t>
            </w:r>
            <w:r w:rsidR="00E55219">
              <w:t>Pharmacy Lock override edited</w:t>
            </w:r>
            <w:r>
              <w:t>.</w:t>
            </w:r>
          </w:p>
          <w:p w14:paraId="1424ED6C" w14:textId="77777777" w:rsidR="007336C8" w:rsidRDefault="007336C8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77BA690C" w14:textId="67B4F7E3" w:rsidR="00EE1568" w:rsidRDefault="00EE1568" w:rsidP="007336C8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533C2CB2" wp14:editId="1110C795">
                  <wp:extent cx="8127545" cy="3448050"/>
                  <wp:effectExtent l="19050" t="19050" r="2603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7545" cy="34480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496AD63" w14:textId="77777777" w:rsidR="007336C8" w:rsidRDefault="007336C8" w:rsidP="007336C8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</w:p>
          <w:p w14:paraId="11F6AFA5" w14:textId="72A6DF0A" w:rsidR="00EE1568" w:rsidRDefault="00E55219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rPr>
                <w:b/>
                <w:bCs/>
              </w:rPr>
              <w:t xml:space="preserve">Result: </w:t>
            </w:r>
            <w:r>
              <w:t>Override Details screen displays.</w:t>
            </w:r>
          </w:p>
        </w:tc>
      </w:tr>
      <w:tr w:rsidR="00EE1568" w14:paraId="758F6D05" w14:textId="77777777" w:rsidTr="007336C8">
        <w:tc>
          <w:tcPr>
            <w:tcW w:w="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3CDF7A0" w14:textId="77777777" w:rsidR="00EE1568" w:rsidRPr="007336C8" w:rsidRDefault="00EE1568" w:rsidP="007336C8">
            <w:pPr>
              <w:spacing w:before="120" w:after="120"/>
              <w:jc w:val="center"/>
              <w:rPr>
                <w:b/>
                <w:bCs/>
              </w:rPr>
            </w:pPr>
            <w:r w:rsidRPr="007336C8">
              <w:rPr>
                <w:b/>
                <w:bCs/>
              </w:rPr>
              <w:t>3</w:t>
            </w:r>
          </w:p>
        </w:tc>
        <w:tc>
          <w:tcPr>
            <w:tcW w:w="4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3DF6C71" w14:textId="2C112077" w:rsidR="00EE1568" w:rsidRDefault="00E55219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 xml:space="preserve">Navigate to the </w:t>
            </w:r>
            <w:r>
              <w:rPr>
                <w:b/>
                <w:bCs/>
              </w:rPr>
              <w:t>Provider/Pharmacy Restrictions</w:t>
            </w:r>
            <w:r>
              <w:t xml:space="preserve"> tab in the </w:t>
            </w:r>
            <w:r>
              <w:rPr>
                <w:b/>
                <w:bCs/>
              </w:rPr>
              <w:t>Requires Special Handing</w:t>
            </w:r>
            <w:r>
              <w:t xml:space="preserve"> section of the screen.</w:t>
            </w:r>
          </w:p>
          <w:p w14:paraId="28175045" w14:textId="77777777" w:rsidR="007336C8" w:rsidRDefault="007336C8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03AF424E" w14:textId="627C6D9B" w:rsidR="00EE1568" w:rsidRDefault="00EE1568" w:rsidP="007336C8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74141E43" wp14:editId="24CAA627">
                  <wp:extent cx="9991725" cy="2324100"/>
                  <wp:effectExtent l="19050" t="19050" r="28575" b="190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1725" cy="23241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CE542D">
              <w:br/>
            </w:r>
          </w:p>
        </w:tc>
      </w:tr>
      <w:tr w:rsidR="00CE542D" w14:paraId="23DE91C4" w14:textId="77777777" w:rsidTr="007336C8">
        <w:tc>
          <w:tcPr>
            <w:tcW w:w="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A03C520" w14:textId="3F995B7E" w:rsidR="00CE542D" w:rsidRPr="007336C8" w:rsidRDefault="00CE542D" w:rsidP="007336C8">
            <w:pPr>
              <w:spacing w:before="120" w:after="120"/>
              <w:jc w:val="center"/>
              <w:rPr>
                <w:b/>
                <w:bCs/>
              </w:rPr>
            </w:pPr>
            <w:r w:rsidRPr="007336C8">
              <w:rPr>
                <w:b/>
                <w:bCs/>
              </w:rPr>
              <w:t>4</w:t>
            </w:r>
          </w:p>
        </w:tc>
        <w:tc>
          <w:tcPr>
            <w:tcW w:w="4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9BC67C7" w14:textId="77777777" w:rsidR="00607A21" w:rsidRDefault="00CE542D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 xml:space="preserve">Enter the Pharmacy NPI/NCPDP or use the magnifying glass to search for the pharmacy. </w:t>
            </w:r>
            <w:r w:rsidR="00607A21">
              <w:t xml:space="preserve">Once NPI/NCPDP has been entered, click the </w:t>
            </w:r>
            <w:r w:rsidR="00607A21">
              <w:rPr>
                <w:b/>
                <w:bCs/>
              </w:rPr>
              <w:t>Include</w:t>
            </w:r>
            <w:r w:rsidR="00607A21">
              <w:t xml:space="preserve"> radio button.</w:t>
            </w:r>
          </w:p>
          <w:p w14:paraId="7DAE5422" w14:textId="2A869072" w:rsidR="00CE542D" w:rsidRDefault="007336C8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>R</w:t>
            </w:r>
            <w:r w:rsidR="00CE542D">
              <w:t>efer to</w:t>
            </w:r>
            <w:r>
              <w:t xml:space="preserve"> </w:t>
            </w:r>
            <w:hyperlink r:id="rId12" w:anchor="!/view?docid=c8f0ac8f-b076-4187-944d-2cf65b0ec799" w:history="1">
              <w:r w:rsidR="006D47EE">
                <w:rPr>
                  <w:rStyle w:val="Hyperlink"/>
                </w:rPr>
                <w:t>Compass - Claims Landing Page (049993)</w:t>
              </w:r>
            </w:hyperlink>
            <w:r w:rsidR="00CE542D">
              <w:t xml:space="preserve"> to find where to locate the Pharmacy NPI/NCPDP in the Pharmacy Details screen</w:t>
            </w:r>
            <w:r>
              <w:t xml:space="preserve"> as needed.</w:t>
            </w:r>
          </w:p>
        </w:tc>
      </w:tr>
      <w:tr w:rsidR="00EE1568" w14:paraId="7BBDECC6" w14:textId="77777777" w:rsidTr="007336C8">
        <w:tc>
          <w:tcPr>
            <w:tcW w:w="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A564BFC" w14:textId="5A85C892" w:rsidR="00EE1568" w:rsidRPr="007336C8" w:rsidRDefault="00607A21" w:rsidP="007336C8">
            <w:pPr>
              <w:spacing w:before="120" w:after="120"/>
              <w:jc w:val="center"/>
              <w:rPr>
                <w:b/>
                <w:bCs/>
              </w:rPr>
            </w:pPr>
            <w:r w:rsidRPr="007336C8">
              <w:rPr>
                <w:b/>
                <w:bCs/>
              </w:rPr>
              <w:t>5</w:t>
            </w:r>
          </w:p>
        </w:tc>
        <w:tc>
          <w:tcPr>
            <w:tcW w:w="4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33B09B2" w14:textId="596C6D24" w:rsidR="00EE1568" w:rsidRDefault="00EE1568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 xml:space="preserve">Click </w:t>
            </w:r>
            <w:r>
              <w:rPr>
                <w:b/>
                <w:bCs/>
              </w:rPr>
              <w:t>Save Changes</w:t>
            </w:r>
            <w:r>
              <w:t xml:space="preserve"> at the top of the </w:t>
            </w:r>
            <w:r w:rsidRPr="007336C8">
              <w:t>Override Details</w:t>
            </w:r>
            <w:r>
              <w:t xml:space="preserve"> screen.</w:t>
            </w:r>
          </w:p>
          <w:p w14:paraId="1AEFC74F" w14:textId="07602BDA" w:rsidR="00EE1568" w:rsidRDefault="00EE1568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rPr>
                <w:b/>
                <w:bCs/>
              </w:rPr>
              <w:t>Result:</w:t>
            </w:r>
            <w:r>
              <w:t xml:space="preserve"> Reason for Editing pop</w:t>
            </w:r>
            <w:r w:rsidR="007336C8">
              <w:t>-</w:t>
            </w:r>
            <w:r>
              <w:t>up appears.</w:t>
            </w:r>
          </w:p>
        </w:tc>
      </w:tr>
      <w:tr w:rsidR="00EE1568" w14:paraId="3F5DFF79" w14:textId="77777777" w:rsidTr="007336C8">
        <w:tc>
          <w:tcPr>
            <w:tcW w:w="2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0316848" w14:textId="2FA3F1B2" w:rsidR="00EE1568" w:rsidRPr="007336C8" w:rsidRDefault="00607A21" w:rsidP="007336C8">
            <w:pPr>
              <w:spacing w:before="120" w:after="120"/>
              <w:jc w:val="center"/>
              <w:rPr>
                <w:b/>
                <w:bCs/>
              </w:rPr>
            </w:pPr>
            <w:r w:rsidRPr="007336C8">
              <w:rPr>
                <w:b/>
                <w:bCs/>
              </w:rPr>
              <w:t>6</w:t>
            </w:r>
          </w:p>
        </w:tc>
        <w:tc>
          <w:tcPr>
            <w:tcW w:w="4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163DE90" w14:textId="0F7EF3C9" w:rsidR="00EE1568" w:rsidRDefault="00EE1568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 xml:space="preserve">In the </w:t>
            </w:r>
            <w:r>
              <w:rPr>
                <w:b/>
                <w:bCs/>
              </w:rPr>
              <w:t>Select a reason for editing the override</w:t>
            </w:r>
            <w:r>
              <w:t xml:space="preserve"> dropdown, select the appropriate reason for editing</w:t>
            </w:r>
            <w:r w:rsidR="007336C8">
              <w:t xml:space="preserve"> and c</w:t>
            </w:r>
            <w:r>
              <w:t xml:space="preserve">lick </w:t>
            </w:r>
            <w:r>
              <w:rPr>
                <w:b/>
                <w:bCs/>
              </w:rPr>
              <w:t>Save Change</w:t>
            </w:r>
            <w:r>
              <w:t>.</w:t>
            </w:r>
            <w:r w:rsidR="000350A4">
              <w:br/>
            </w:r>
            <w:r w:rsidR="000350A4">
              <w:rPr>
                <w:b/>
                <w:bCs/>
              </w:rPr>
              <w:t>Result:</w:t>
            </w:r>
            <w:r w:rsidR="000350A4">
              <w:t xml:space="preserve"> </w:t>
            </w:r>
            <w:r w:rsidR="007336C8">
              <w:t>U</w:t>
            </w:r>
            <w:r w:rsidR="000350A4">
              <w:t>pdate was successfully applied</w:t>
            </w:r>
            <w:r w:rsidR="007336C8">
              <w:t xml:space="preserve"> message appears. </w:t>
            </w:r>
          </w:p>
        </w:tc>
      </w:tr>
      <w:tr w:rsidR="00E7214F" w14:paraId="048CE10C" w14:textId="77777777" w:rsidTr="007336C8">
        <w:trPr>
          <w:trHeight w:val="42"/>
        </w:trPr>
        <w:tc>
          <w:tcPr>
            <w:tcW w:w="25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1E9189" w14:textId="11D4DDC7" w:rsidR="00E7214F" w:rsidRPr="007336C8" w:rsidRDefault="00E7214F" w:rsidP="007336C8">
            <w:pPr>
              <w:spacing w:before="120" w:after="120"/>
              <w:jc w:val="center"/>
              <w:rPr>
                <w:b/>
                <w:bCs/>
              </w:rPr>
            </w:pPr>
            <w:r w:rsidRPr="007336C8">
              <w:rPr>
                <w:b/>
                <w:bCs/>
              </w:rPr>
              <w:t>7</w:t>
            </w:r>
          </w:p>
        </w:tc>
        <w:tc>
          <w:tcPr>
            <w:tcW w:w="474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29AB7E1" w14:textId="691C1D2B" w:rsidR="00E7214F" w:rsidRDefault="000350A4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  <w:r w:rsidRPr="007336C8">
              <w:t>Run a test claim.</w:t>
            </w:r>
          </w:p>
        </w:tc>
      </w:tr>
      <w:tr w:rsidR="00E7214F" w14:paraId="7D5A9ABE" w14:textId="77777777" w:rsidTr="007336C8">
        <w:trPr>
          <w:trHeight w:val="41"/>
        </w:trPr>
        <w:tc>
          <w:tcPr>
            <w:tcW w:w="254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1AFB6B5" w14:textId="77777777" w:rsidR="00E7214F" w:rsidRPr="007336C8" w:rsidRDefault="00E7214F" w:rsidP="007336C8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6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8A14FEB" w14:textId="338557A9" w:rsidR="00E7214F" w:rsidRDefault="00E7214F" w:rsidP="007336C8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</w:t>
            </w:r>
            <w:r w:rsidR="007336C8">
              <w:rPr>
                <w:b/>
                <w:bCs/>
              </w:rPr>
              <w:t xml:space="preserve"> Test Claim</w:t>
            </w:r>
            <w:r>
              <w:rPr>
                <w:b/>
                <w:bCs/>
              </w:rPr>
              <w:t>…</w:t>
            </w:r>
          </w:p>
        </w:tc>
        <w:tc>
          <w:tcPr>
            <w:tcW w:w="31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0D0113A0" w14:textId="14FB2E17" w:rsidR="00E7214F" w:rsidRDefault="007336C8" w:rsidP="007336C8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Then…</w:t>
            </w:r>
          </w:p>
        </w:tc>
      </w:tr>
      <w:tr w:rsidR="00E7214F" w:rsidRPr="00C645A4" w14:paraId="4E6A233C" w14:textId="77777777" w:rsidTr="007336C8">
        <w:trPr>
          <w:trHeight w:val="41"/>
        </w:trPr>
        <w:tc>
          <w:tcPr>
            <w:tcW w:w="254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7EF5F04" w14:textId="77777777" w:rsidR="00E7214F" w:rsidRPr="007336C8" w:rsidRDefault="00E7214F" w:rsidP="007336C8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6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4E26D96" w14:textId="07C7FF1E" w:rsidR="00E7214F" w:rsidRPr="007336C8" w:rsidRDefault="007336C8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>D</w:t>
            </w:r>
            <w:r w:rsidR="00E7214F">
              <w:t xml:space="preserve">oes </w:t>
            </w:r>
            <w:r w:rsidR="00474E4C">
              <w:t>not accept</w:t>
            </w:r>
          </w:p>
        </w:tc>
        <w:tc>
          <w:tcPr>
            <w:tcW w:w="31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4468E" w14:textId="77777777" w:rsidR="00C645A4" w:rsidRDefault="009836CB" w:rsidP="007336C8">
            <w:pPr>
              <w:pStyle w:val="NormalWeb"/>
              <w:numPr>
                <w:ilvl w:val="0"/>
                <w:numId w:val="4"/>
              </w:numPr>
              <w:spacing w:before="120" w:beforeAutospacing="0" w:after="120" w:afterAutospacing="0" w:line="252" w:lineRule="auto"/>
              <w:ind w:right="312"/>
            </w:pPr>
            <w:r w:rsidRPr="007336C8">
              <w:t>Confirm that previous edits were input correctly, and you are running the test claim at the correct pharmacy</w:t>
            </w:r>
            <w:r w:rsidR="00C645A4" w:rsidRPr="007336C8">
              <w:t xml:space="preserve">. </w:t>
            </w:r>
          </w:p>
          <w:p w14:paraId="551CD6D2" w14:textId="4DC31632" w:rsidR="00C645A4" w:rsidRPr="007336C8" w:rsidRDefault="00C645A4" w:rsidP="007336C8">
            <w:pPr>
              <w:pStyle w:val="NormalWeb"/>
              <w:numPr>
                <w:ilvl w:val="0"/>
                <w:numId w:val="4"/>
              </w:numPr>
              <w:spacing w:before="120" w:beforeAutospacing="0" w:after="120" w:afterAutospacing="0" w:line="252" w:lineRule="auto"/>
              <w:ind w:right="312"/>
            </w:pPr>
            <w:r w:rsidRPr="007336C8">
              <w:t>Once you confirm, run another test claim</w:t>
            </w:r>
            <w:r w:rsidR="007336C8">
              <w:t xml:space="preserve">. If </w:t>
            </w:r>
            <w:r w:rsidRPr="007336C8">
              <w:t>the override continues to reject, contact Senior Team.</w:t>
            </w:r>
          </w:p>
        </w:tc>
      </w:tr>
      <w:tr w:rsidR="00E7214F" w14:paraId="5B1037F3" w14:textId="77777777" w:rsidTr="007336C8">
        <w:trPr>
          <w:trHeight w:val="41"/>
        </w:trPr>
        <w:tc>
          <w:tcPr>
            <w:tcW w:w="254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8D692AE" w14:textId="77777777" w:rsidR="00E7214F" w:rsidRPr="007336C8" w:rsidRDefault="00E7214F" w:rsidP="007336C8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6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8F8B2C9" w14:textId="19314C9A" w:rsidR="00E7214F" w:rsidRPr="007336C8" w:rsidRDefault="007336C8" w:rsidP="007336C8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>Accepts</w:t>
            </w:r>
          </w:p>
        </w:tc>
        <w:tc>
          <w:tcPr>
            <w:tcW w:w="31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60DE7" w14:textId="1FBC2E6B" w:rsidR="00E7214F" w:rsidRPr="007336C8" w:rsidRDefault="00764DF6" w:rsidP="007336C8">
            <w:pPr>
              <w:pStyle w:val="NormalWeb"/>
              <w:spacing w:before="120" w:beforeAutospacing="0" w:after="120" w:afterAutospacing="0" w:line="252" w:lineRule="auto"/>
              <w:ind w:left="91" w:right="312"/>
            </w:pPr>
            <w:r>
              <w:t xml:space="preserve">Add any applicable notes to the </w:t>
            </w:r>
            <w:r w:rsidR="005E6B49">
              <w:t>account and</w:t>
            </w:r>
            <w:r>
              <w:t xml:space="preserve"> a</w:t>
            </w:r>
            <w:r w:rsidR="000350A4">
              <w:t>dvise the caller to contact the pharmacy to reprocess the claim.</w:t>
            </w:r>
          </w:p>
        </w:tc>
      </w:tr>
    </w:tbl>
    <w:p w14:paraId="718B1516" w14:textId="4432942B" w:rsidR="00BD1937" w:rsidRDefault="00BD1937" w:rsidP="00EB6C31">
      <w:pPr>
        <w:spacing w:before="120" w:after="120"/>
      </w:pPr>
    </w:p>
    <w:p w14:paraId="636B00EC" w14:textId="152635CE" w:rsidR="00EB6C31" w:rsidRDefault="00CE00E4" w:rsidP="00CE00E4">
      <w:pPr>
        <w:spacing w:before="120" w:after="120"/>
        <w:jc w:val="right"/>
      </w:pPr>
      <w:hyperlink w:anchor="Top_of_the_Document" w:history="1">
        <w:r w:rsidRPr="00CE00E4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0"/>
      </w:tblGrid>
      <w:tr w:rsidR="00EB6C31" w14:paraId="032973E6" w14:textId="77777777" w:rsidTr="00D95902">
        <w:tc>
          <w:tcPr>
            <w:tcW w:w="5000" w:type="pct"/>
            <w:shd w:val="clear" w:color="auto" w:fill="BFBFBF" w:themeFill="background1" w:themeFillShade="BF"/>
          </w:tcPr>
          <w:p w14:paraId="2877489D" w14:textId="77A94739" w:rsidR="00EB6C31" w:rsidRDefault="00EB6C31" w:rsidP="00EB6C31">
            <w:pPr>
              <w:pStyle w:val="Heading2"/>
              <w:spacing w:before="120" w:after="120"/>
            </w:pPr>
            <w:bookmarkStart w:id="7" w:name="_Toc207275442"/>
            <w:r>
              <w:t>Related Documents</w:t>
            </w:r>
            <w:bookmarkEnd w:id="7"/>
          </w:p>
        </w:tc>
      </w:tr>
    </w:tbl>
    <w:p w14:paraId="35437762" w14:textId="04D71B5B" w:rsidR="00EB6C31" w:rsidRDefault="00EA36DC" w:rsidP="00EB6C31">
      <w:pPr>
        <w:pStyle w:val="NormalWeb"/>
        <w:spacing w:before="120" w:beforeAutospacing="0" w:after="120" w:afterAutospacing="0"/>
      </w:pPr>
      <w:hyperlink r:id="rId13" w:anchor="!/view?docid=c1f1028b-e42c-4b4f-a4cf-cc0b42c91606" w:tgtFrame="_blank" w:history="1">
        <w:r>
          <w:rPr>
            <w:rStyle w:val="Hyperlink"/>
          </w:rPr>
          <w:t>Customer Care Abbreviations, Definitions, and Terms Index (017428)</w:t>
        </w:r>
      </w:hyperlink>
    </w:p>
    <w:p w14:paraId="7847ACAF" w14:textId="1FA28F6A" w:rsidR="00EB6C31" w:rsidRDefault="00EA36DC" w:rsidP="00EB6C31">
      <w:hyperlink r:id="rId14" w:anchor="!/view?docid=44418b02-7e70-41cc-bb2e-bb38164a951f" w:history="1">
        <w:r>
          <w:rPr>
            <w:rStyle w:val="Hyperlink"/>
          </w:rPr>
          <w:t>Compass – Plan Benefit Override (PBO) Guide (061708)</w:t>
        </w:r>
      </w:hyperlink>
    </w:p>
    <w:p w14:paraId="70B8BDB7" w14:textId="77777777" w:rsidR="00EB6C31" w:rsidRDefault="00EB6C31" w:rsidP="00EB6C31">
      <w:pPr>
        <w:pStyle w:val="NormalWeb"/>
        <w:spacing w:before="120" w:beforeAutospacing="0" w:after="120" w:afterAutospacing="0"/>
      </w:pPr>
      <w:r>
        <w:rPr>
          <w:b/>
          <w:bCs/>
          <w:color w:val="000000"/>
        </w:rPr>
        <w:t>Parent Document:  </w:t>
      </w:r>
      <w:hyperlink r:id="rId15" w:tgtFrame="_blank" w:history="1">
        <w:r>
          <w:rPr>
            <w:rStyle w:val="Hyperlink"/>
          </w:rPr>
          <w:t>CALL 0049 Customer Care Internal and External Call Handling</w:t>
        </w:r>
      </w:hyperlink>
    </w:p>
    <w:p w14:paraId="5B4D88B9" w14:textId="77777777" w:rsidR="00CE00E4" w:rsidRDefault="00CE00E4" w:rsidP="00EB6C31">
      <w:pPr>
        <w:pStyle w:val="NormalWeb"/>
        <w:spacing w:before="120" w:beforeAutospacing="0" w:after="120" w:afterAutospacing="0"/>
      </w:pPr>
    </w:p>
    <w:p w14:paraId="6B106A86" w14:textId="626CF276" w:rsidR="00CE00E4" w:rsidRPr="002D057A" w:rsidRDefault="00CE00E4" w:rsidP="002D057A">
      <w:pPr>
        <w:pStyle w:val="NormalWeb"/>
        <w:spacing w:before="120" w:beforeAutospacing="0" w:after="120" w:afterAutospacing="0"/>
        <w:jc w:val="right"/>
        <w:rPr>
          <w:color w:val="000000"/>
        </w:rPr>
      </w:pPr>
      <w:hyperlink w:anchor="Top_of_the_Document" w:history="1">
        <w:r>
          <w:rPr>
            <w:rStyle w:val="Hyperlink"/>
          </w:rPr>
          <w:t>Top of the Document</w:t>
        </w:r>
      </w:hyperlink>
    </w:p>
    <w:p w14:paraId="3C352C5D" w14:textId="77777777" w:rsidR="00EB6C31" w:rsidRDefault="00EB6C31" w:rsidP="00EB6C31">
      <w:pPr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16"/>
          <w:szCs w:val="16"/>
        </w:rPr>
        <w:t>Not to Be Reproduced or Disclosed to Others without Prior Written Approval</w:t>
      </w:r>
    </w:p>
    <w:p w14:paraId="4815B6B7" w14:textId="12DD0922" w:rsidR="00EB6C31" w:rsidRPr="00EB6C31" w:rsidRDefault="00EB6C31" w:rsidP="00EB6C31">
      <w:pPr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b/>
          <w:bCs/>
          <w:color w:val="000000"/>
          <w:sz w:val="16"/>
          <w:szCs w:val="16"/>
        </w:rPr>
        <w:t>ELECTRONIC DATA = OFFICIAL VERSION / PAPER COPY = INFORMATIONAL ONLY</w:t>
      </w:r>
    </w:p>
    <w:p w14:paraId="48316ECC" w14:textId="77777777" w:rsidR="007336C8" w:rsidRDefault="007336C8"/>
    <w:sectPr w:rsidR="007336C8" w:rsidSect="00DE7F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8BFE9" w14:textId="77777777" w:rsidR="00DE0546" w:rsidRDefault="00DE0546" w:rsidP="00EE1568">
      <w:r>
        <w:separator/>
      </w:r>
    </w:p>
  </w:endnote>
  <w:endnote w:type="continuationSeparator" w:id="0">
    <w:p w14:paraId="3FA141F1" w14:textId="77777777" w:rsidR="00DE0546" w:rsidRDefault="00DE0546" w:rsidP="00EE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D3A70" w14:textId="77777777" w:rsidR="00DE0546" w:rsidRDefault="00DE0546" w:rsidP="00EE1568">
      <w:r>
        <w:separator/>
      </w:r>
    </w:p>
  </w:footnote>
  <w:footnote w:type="continuationSeparator" w:id="0">
    <w:p w14:paraId="50C6EEBA" w14:textId="77777777" w:rsidR="00DE0546" w:rsidRDefault="00DE0546" w:rsidP="00EE1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4FD327BB"/>
    <w:multiLevelType w:val="hybridMultilevel"/>
    <w:tmpl w:val="CD7815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3151A6"/>
    <w:multiLevelType w:val="hybridMultilevel"/>
    <w:tmpl w:val="4CBE7EE8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2362D"/>
    <w:multiLevelType w:val="hybridMultilevel"/>
    <w:tmpl w:val="491E58C4"/>
    <w:lvl w:ilvl="0" w:tplc="B7EC89A6">
      <w:start w:val="1"/>
      <w:numFmt w:val="bullet"/>
      <w:lvlText w:val="●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545033">
    <w:abstractNumId w:val="1"/>
  </w:num>
  <w:num w:numId="2" w16cid:durableId="652947957">
    <w:abstractNumId w:val="0"/>
  </w:num>
  <w:num w:numId="3" w16cid:durableId="229267217">
    <w:abstractNumId w:val="1"/>
  </w:num>
  <w:num w:numId="4" w16cid:durableId="546650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68"/>
    <w:rsid w:val="000350A4"/>
    <w:rsid w:val="000352E2"/>
    <w:rsid w:val="00045471"/>
    <w:rsid w:val="0007492A"/>
    <w:rsid w:val="000B3616"/>
    <w:rsid w:val="000E0DBE"/>
    <w:rsid w:val="001A2736"/>
    <w:rsid w:val="001C3294"/>
    <w:rsid w:val="0024107E"/>
    <w:rsid w:val="002A4CD8"/>
    <w:rsid w:val="002D057A"/>
    <w:rsid w:val="0035260E"/>
    <w:rsid w:val="0037138E"/>
    <w:rsid w:val="00417160"/>
    <w:rsid w:val="00442844"/>
    <w:rsid w:val="0047070C"/>
    <w:rsid w:val="00474E4C"/>
    <w:rsid w:val="004A3171"/>
    <w:rsid w:val="005258BC"/>
    <w:rsid w:val="005A75B0"/>
    <w:rsid w:val="005A7C80"/>
    <w:rsid w:val="005E6B49"/>
    <w:rsid w:val="00607A21"/>
    <w:rsid w:val="00621784"/>
    <w:rsid w:val="00631207"/>
    <w:rsid w:val="00674A93"/>
    <w:rsid w:val="006C6A0C"/>
    <w:rsid w:val="006D47EE"/>
    <w:rsid w:val="006E5D2D"/>
    <w:rsid w:val="0072586F"/>
    <w:rsid w:val="007336C8"/>
    <w:rsid w:val="00764DF6"/>
    <w:rsid w:val="007B6E49"/>
    <w:rsid w:val="00805E2D"/>
    <w:rsid w:val="00865402"/>
    <w:rsid w:val="00870A32"/>
    <w:rsid w:val="00924DE6"/>
    <w:rsid w:val="00940D6F"/>
    <w:rsid w:val="009836CB"/>
    <w:rsid w:val="009A3F96"/>
    <w:rsid w:val="00A2554B"/>
    <w:rsid w:val="00A31143"/>
    <w:rsid w:val="00AC43D1"/>
    <w:rsid w:val="00AF7A93"/>
    <w:rsid w:val="00B41FB7"/>
    <w:rsid w:val="00B5088F"/>
    <w:rsid w:val="00B60C2F"/>
    <w:rsid w:val="00B8585C"/>
    <w:rsid w:val="00BD1937"/>
    <w:rsid w:val="00C645A4"/>
    <w:rsid w:val="00C85387"/>
    <w:rsid w:val="00CE00E4"/>
    <w:rsid w:val="00CE542D"/>
    <w:rsid w:val="00D34BBA"/>
    <w:rsid w:val="00D71D8B"/>
    <w:rsid w:val="00D732FE"/>
    <w:rsid w:val="00D95902"/>
    <w:rsid w:val="00DC3C8F"/>
    <w:rsid w:val="00DE0546"/>
    <w:rsid w:val="00DE7FC3"/>
    <w:rsid w:val="00E55219"/>
    <w:rsid w:val="00E7214F"/>
    <w:rsid w:val="00E851CF"/>
    <w:rsid w:val="00EA36DC"/>
    <w:rsid w:val="00EB6C31"/>
    <w:rsid w:val="00EB7187"/>
    <w:rsid w:val="00EE1568"/>
    <w:rsid w:val="00EE68CE"/>
    <w:rsid w:val="00F0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B4ACB"/>
  <w15:chartTrackingRefBased/>
  <w15:docId w15:val="{4678B7C1-D9ED-458A-A185-206DA17D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6C8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6C8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336C8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C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336C8"/>
    <w:rPr>
      <w:rFonts w:ascii="Verdana" w:eastAsia="Times New Roman" w:hAnsi="Verdana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EE1568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E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568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EE1568"/>
    <w:rPr>
      <w:sz w:val="16"/>
      <w:szCs w:val="16"/>
    </w:rPr>
  </w:style>
  <w:style w:type="paragraph" w:styleId="Revision">
    <w:name w:val="Revision"/>
    <w:hidden/>
    <w:uiPriority w:val="99"/>
    <w:semiHidden/>
    <w:rsid w:val="007B6E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36C8"/>
    <w:rPr>
      <w:rFonts w:ascii="Verdana" w:eastAsiaTheme="majorEastAsia" w:hAnsi="Verdana" w:cstheme="majorBidi"/>
      <w:b/>
      <w:sz w:val="36"/>
      <w:szCs w:val="32"/>
    </w:rPr>
  </w:style>
  <w:style w:type="paragraph" w:styleId="NoSpacing">
    <w:name w:val="No Spacing"/>
    <w:uiPriority w:val="1"/>
    <w:qFormat/>
    <w:rsid w:val="007336C8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3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6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B6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EB6C31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EA36D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C4C32-61CF-46D3-BE5C-6464B587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Hotchkiss, Eric A</dc:creator>
  <cp:keywords/>
  <dc:description/>
  <cp:lastModifiedBy>Jennings, Katie A</cp:lastModifiedBy>
  <cp:revision>9</cp:revision>
  <dcterms:created xsi:type="dcterms:W3CDTF">2025-08-28T14:20:00Z</dcterms:created>
  <dcterms:modified xsi:type="dcterms:W3CDTF">2025-08-28T16:15:00Z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2023-09-27T23:34:50Z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f43ad74a-cc50-4269-bf4c-d68874f40004</vt:lpwstr>
  </property>
  <property fmtid="{D5CDD505-2E9C-101B-9397-08002B2CF9AE}" pid="8" name="MSIP_Label_1ecdf243-b9b0-4f63-8694-76742e4201b7_ContentBits">
    <vt:lpwstr>0</vt:lpwstr>
  </property>
</Properties>
</file>