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392810" w14:textId="56491202" w:rsidR="00137005" w:rsidRDefault="00137005" w:rsidP="00741AD3">
      <w:pPr>
        <w:pStyle w:val="Heading1"/>
        <w:spacing w:before="120" w:after="120"/>
      </w:pPr>
      <w:bookmarkStart w:id="0" w:name="_top"/>
      <w:bookmarkStart w:id="1" w:name="OLE_LINK11"/>
      <w:bookmarkEnd w:id="0"/>
      <w:r>
        <w:t>Compass – Override for Secondary Coverage</w:t>
      </w:r>
    </w:p>
    <w:bookmarkEnd w:id="1"/>
    <w:p w14:paraId="6BE8D639" w14:textId="7BBE851C" w:rsidR="00572146" w:rsidRDefault="00137005" w:rsidP="001D35A5">
      <w:pPr>
        <w:pStyle w:val="TOC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r>
        <w:fldChar w:fldCharType="begin"/>
      </w:r>
      <w:r>
        <w:instrText xml:space="preserve"> TOC \o "2-2" \n \p " " \h \z \u </w:instrText>
      </w:r>
      <w:r>
        <w:fldChar w:fldCharType="separate"/>
      </w:r>
      <w:hyperlink w:anchor="_Toc201653168" w:history="1">
        <w:r w:rsidR="00572146" w:rsidRPr="001F6D9D">
          <w:rPr>
            <w:rStyle w:val="Hyperlink"/>
            <w:noProof/>
          </w:rPr>
          <w:t>Secondary Coverage Guide</w:t>
        </w:r>
      </w:hyperlink>
    </w:p>
    <w:p w14:paraId="5E6F417D" w14:textId="7452E8EE" w:rsidR="00572146" w:rsidRDefault="00572146" w:rsidP="001D35A5">
      <w:pPr>
        <w:pStyle w:val="TOC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01653169" w:history="1">
        <w:r w:rsidRPr="001F6D9D">
          <w:rPr>
            <w:rStyle w:val="Hyperlink"/>
            <w:noProof/>
          </w:rPr>
          <w:t>Process</w:t>
        </w:r>
      </w:hyperlink>
    </w:p>
    <w:p w14:paraId="6D30511E" w14:textId="55878B7D" w:rsidR="00572146" w:rsidRDefault="00572146" w:rsidP="001D35A5">
      <w:pPr>
        <w:pStyle w:val="TOC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01653170" w:history="1">
        <w:r w:rsidRPr="001F6D9D">
          <w:rPr>
            <w:rStyle w:val="Hyperlink"/>
            <w:noProof/>
          </w:rPr>
          <w:t>Related Documents</w:t>
        </w:r>
      </w:hyperlink>
    </w:p>
    <w:p w14:paraId="2FE2D752" w14:textId="71A4DDA3" w:rsidR="00137005" w:rsidRPr="00137005" w:rsidRDefault="00137005" w:rsidP="00741AD3">
      <w:pPr>
        <w:spacing w:before="120" w:after="120"/>
      </w:pPr>
      <w:r>
        <w:fldChar w:fldCharType="end"/>
      </w:r>
    </w:p>
    <w:p w14:paraId="399945BC" w14:textId="6DFA11A9" w:rsidR="00037043" w:rsidRDefault="00037043" w:rsidP="00741AD3">
      <w:pPr>
        <w:spacing w:before="120" w:after="120"/>
        <w:rPr>
          <w:color w:val="000000"/>
        </w:rPr>
      </w:pPr>
      <w:r>
        <w:rPr>
          <w:b/>
          <w:bCs/>
          <w:color w:val="000000"/>
        </w:rPr>
        <w:t xml:space="preserve">Description: </w:t>
      </w:r>
      <w:r w:rsidR="00BC2ED3" w:rsidRPr="00BC2ED3">
        <w:rPr>
          <w:color w:val="000000"/>
        </w:rPr>
        <w:t>A</w:t>
      </w:r>
      <w:r>
        <w:rPr>
          <w:color w:val="000000"/>
        </w:rPr>
        <w:t>dditional steps to apply an override to a secondary plan when the member has EGWP, Wrap</w:t>
      </w:r>
      <w:r w:rsidR="00137005">
        <w:rPr>
          <w:color w:val="000000"/>
        </w:rPr>
        <w:t>,</w:t>
      </w:r>
      <w:r>
        <w:rPr>
          <w:color w:val="000000"/>
        </w:rPr>
        <w:t xml:space="preserve"> and/or a Dual Demo account.</w:t>
      </w:r>
    </w:p>
    <w:p w14:paraId="37F54A47" w14:textId="77777777" w:rsidR="00037043" w:rsidRDefault="00037043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1E0" w:firstRow="1" w:lastRow="1" w:firstColumn="1" w:lastColumn="1" w:noHBand="0" w:noVBand="0"/>
      </w:tblPr>
      <w:tblGrid>
        <w:gridCol w:w="9350"/>
      </w:tblGrid>
      <w:tr w:rsidR="00D42E62" w14:paraId="3437B396" w14:textId="77777777" w:rsidTr="00572146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C409241" w14:textId="570570F1" w:rsidR="00D42E62" w:rsidRDefault="00D42E62" w:rsidP="00137005">
            <w:pPr>
              <w:pStyle w:val="Heading2"/>
              <w:spacing w:before="120" w:after="120" w:line="252" w:lineRule="auto"/>
              <w:ind w:right="312"/>
              <w:rPr>
                <w:i/>
                <w:iCs w:val="0"/>
              </w:rPr>
            </w:pPr>
            <w:bookmarkStart w:id="2" w:name="_Toc145512202"/>
            <w:bookmarkStart w:id="3" w:name="_Toc145509612"/>
            <w:bookmarkStart w:id="4" w:name="_Toc201653168"/>
            <w:bookmarkStart w:id="5" w:name="OLE_LINK72"/>
            <w:r>
              <w:rPr>
                <w:iCs w:val="0"/>
              </w:rPr>
              <w:t>Secondary Coverage</w:t>
            </w:r>
            <w:r w:rsidR="00807B9B">
              <w:rPr>
                <w:iCs w:val="0"/>
              </w:rPr>
              <w:t xml:space="preserve"> Guide</w:t>
            </w:r>
            <w:bookmarkEnd w:id="2"/>
            <w:bookmarkEnd w:id="3"/>
            <w:bookmarkEnd w:id="4"/>
            <w:bookmarkEnd w:id="5"/>
          </w:p>
        </w:tc>
      </w:tr>
    </w:tbl>
    <w:p w14:paraId="4AE3F96C" w14:textId="7B9C076E" w:rsidR="00137FC7" w:rsidRDefault="00137FC7" w:rsidP="00741AD3">
      <w:pPr>
        <w:spacing w:before="120" w:after="120"/>
      </w:pPr>
      <w:r>
        <w:t>If secondary coverage exists on the account, the following banner displays:</w:t>
      </w:r>
      <w:r w:rsidR="00904873">
        <w:t xml:space="preserve"> Review the CIF for any specific instructions regarding overrides.</w:t>
      </w:r>
    </w:p>
    <w:p w14:paraId="75B0C295" w14:textId="77777777" w:rsidR="00904873" w:rsidRDefault="00904873" w:rsidP="00137FC7">
      <w:pPr>
        <w:pStyle w:val="NormalWeb"/>
        <w:spacing w:before="120" w:beforeAutospacing="0" w:after="120" w:afterAutospacing="0" w:line="252" w:lineRule="auto"/>
        <w:ind w:right="312"/>
      </w:pPr>
    </w:p>
    <w:p w14:paraId="47998E67" w14:textId="16A5C34E" w:rsidR="007A6BB5" w:rsidRDefault="00904873" w:rsidP="00F07C2B">
      <w:pPr>
        <w:pStyle w:val="NormalWeb"/>
        <w:spacing w:before="120" w:beforeAutospacing="0" w:after="120" w:afterAutospacing="0" w:line="252" w:lineRule="auto"/>
        <w:ind w:right="312"/>
        <w:jc w:val="center"/>
      </w:pPr>
      <w:r>
        <w:rPr>
          <w:noProof/>
        </w:rPr>
        <w:drawing>
          <wp:inline distT="0" distB="0" distL="0" distR="0" wp14:anchorId="70423F61" wp14:editId="38866759">
            <wp:extent cx="6105525" cy="657225"/>
            <wp:effectExtent l="0" t="0" r="9525" b="9525"/>
            <wp:docPr id="1372735335" name="Picture 1372735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9A67B" w14:textId="77777777" w:rsidR="007A6BB5" w:rsidRDefault="007A6BB5" w:rsidP="002A4482">
      <w:pPr>
        <w:pStyle w:val="NormalWeb"/>
        <w:spacing w:before="120" w:beforeAutospacing="0" w:after="120" w:afterAutospacing="0" w:line="252" w:lineRule="auto"/>
        <w:ind w:right="312"/>
      </w:pPr>
    </w:p>
    <w:p w14:paraId="5FD10E7E" w14:textId="5BF424E5" w:rsidR="00D42E62" w:rsidRDefault="00ED4620" w:rsidP="00741AD3">
      <w:pPr>
        <w:spacing w:before="120" w:after="120"/>
      </w:pPr>
      <w:r>
        <w:t xml:space="preserve">For EGWP, Wraps, and Dual Demo accounts, overrides will need to be </w:t>
      </w:r>
      <w:r w:rsidR="002B5BC5">
        <w:t>applied to the secondary account.</w:t>
      </w:r>
      <w:r w:rsidR="002A4482">
        <w:t xml:space="preserve"> </w:t>
      </w:r>
    </w:p>
    <w:p w14:paraId="31FBB72B" w14:textId="77777777" w:rsidR="002B5BC5" w:rsidRDefault="002B5BC5" w:rsidP="00741AD3">
      <w:pPr>
        <w:spacing w:before="120" w:after="120"/>
      </w:pPr>
    </w:p>
    <w:p w14:paraId="78D6E710" w14:textId="6BCC994C" w:rsidR="00C135B8" w:rsidRDefault="002B5BC5" w:rsidP="00741AD3">
      <w:pPr>
        <w:spacing w:before="120" w:after="120"/>
      </w:pPr>
      <w:r>
        <w:rPr>
          <w:b/>
          <w:bCs/>
        </w:rPr>
        <w:t xml:space="preserve">Reminder: </w:t>
      </w:r>
      <w:r w:rsidR="00C135B8" w:rsidRPr="003B7619">
        <w:t xml:space="preserve">If you create the override and need to edit it after it </w:t>
      </w:r>
      <w:r w:rsidR="00AB006D">
        <w:t>has been applied to both acc</w:t>
      </w:r>
      <w:r w:rsidR="0002694F">
        <w:t>o</w:t>
      </w:r>
      <w:r w:rsidR="00AB006D">
        <w:t>unts</w:t>
      </w:r>
      <w:r w:rsidR="00C135B8" w:rsidRPr="003B7619">
        <w:t>, you will need t</w:t>
      </w:r>
      <w:r w:rsidR="003821DE">
        <w:t>o</w:t>
      </w:r>
      <w:r w:rsidR="00C135B8" w:rsidRPr="003B7619">
        <w:t xml:space="preserve"> navigate to the secondary account to manually edit the override there</w:t>
      </w:r>
      <w:r w:rsidR="003821DE">
        <w:t xml:space="preserve"> as well</w:t>
      </w:r>
      <w:r w:rsidR="00C135B8" w:rsidRPr="003B7619">
        <w:t>.</w:t>
      </w:r>
      <w:r w:rsidR="004F42B3">
        <w:t xml:space="preserve"> Refer to the </w:t>
      </w:r>
      <w:hyperlink r:id="rId12" w:anchor="!/view?docid=922592a2-b585-40da-9acb-f128fed94c62" w:history="1">
        <w:r w:rsidR="00BC7AE4" w:rsidRPr="00BC7AE4">
          <w:rPr>
            <w:rStyle w:val="Hyperlink"/>
          </w:rPr>
          <w:t>Override Reference Table</w:t>
        </w:r>
        <w:r w:rsidR="00BC7AE4" w:rsidRPr="00BC7AE4">
          <w:rPr>
            <w:rStyle w:val="Hyperlink"/>
          </w:rPr>
          <w:t xml:space="preserve"> </w:t>
        </w:r>
        <w:r w:rsidR="00BC7AE4" w:rsidRPr="00BC7AE4">
          <w:rPr>
            <w:rStyle w:val="Hyperlink"/>
          </w:rPr>
          <w:t>(061701)</w:t>
        </w:r>
      </w:hyperlink>
      <w:r w:rsidR="004F42B3">
        <w:t xml:space="preserve"> </w:t>
      </w:r>
      <w:r w:rsidR="004453A5">
        <w:t>to review</w:t>
      </w:r>
      <w:r w:rsidR="00432BAF">
        <w:t xml:space="preserve"> which flags </w:t>
      </w:r>
      <w:r w:rsidR="00AB4A05">
        <w:t>need flipped for the override you are entering</w:t>
      </w:r>
      <w:r w:rsidR="00AF0BE7">
        <w:t>.</w:t>
      </w:r>
    </w:p>
    <w:p w14:paraId="7071974D" w14:textId="77777777" w:rsidR="001D35A5" w:rsidRDefault="001D35A5" w:rsidP="001D35A5">
      <w:pPr>
        <w:spacing w:before="120" w:after="120"/>
        <w:ind w:right="312"/>
      </w:pPr>
    </w:p>
    <w:p w14:paraId="22952C79" w14:textId="27283F6D" w:rsidR="001D35A5" w:rsidRDefault="001D35A5" w:rsidP="001D35A5">
      <w:pPr>
        <w:pStyle w:val="ListParagraph"/>
        <w:numPr>
          <w:ilvl w:val="0"/>
          <w:numId w:val="17"/>
        </w:numPr>
        <w:spacing w:before="120" w:after="120"/>
        <w:ind w:right="312"/>
      </w:pPr>
      <w:r>
        <w:rPr>
          <w:noProof/>
        </w:rPr>
        <w:drawing>
          <wp:inline distT="0" distB="0" distL="0" distR="0" wp14:anchorId="3B3148EE" wp14:editId="70F7E780">
            <wp:extent cx="304762" cy="304762"/>
            <wp:effectExtent l="0" t="0" r="635" b="635"/>
            <wp:docPr id="18298581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858165" name="Picture 182985816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If attempting to edit (flip flag) and a red banner message displays “Client has Override/PA Layering, edits may not apply based on this Reason Code.</w:t>
      </w:r>
      <w:r w:rsidR="00741AD3">
        <w:t>,”</w:t>
      </w:r>
      <w:r>
        <w:t xml:space="preserve"> review the CIF and announcements in theSource. If no specific direction, contact Senior Team for further assistance</w:t>
      </w:r>
      <w:r w:rsidR="00741AD3">
        <w:t xml:space="preserve">. </w:t>
      </w:r>
      <w:r>
        <w:t xml:space="preserve">Refer to </w:t>
      </w:r>
      <w:hyperlink r:id="rId14" w:anchor="!/view?docid=0990aac5-274f-424d-9400-546d74b3fed7" w:history="1">
        <w:r w:rsidRPr="001D35A5">
          <w:rPr>
            <w:rStyle w:val="Hyperlink"/>
          </w:rPr>
          <w:t>Compass MED D - When to Transfer Calls to the S</w:t>
        </w:r>
        <w:r w:rsidRPr="001D35A5">
          <w:rPr>
            <w:rStyle w:val="Hyperlink"/>
          </w:rPr>
          <w:t>e</w:t>
        </w:r>
        <w:r w:rsidRPr="001D35A5">
          <w:rPr>
            <w:rStyle w:val="Hyperlink"/>
          </w:rPr>
          <w:t>nior Team (062944).</w:t>
        </w:r>
      </w:hyperlink>
    </w:p>
    <w:p w14:paraId="7453F23B" w14:textId="77777777" w:rsidR="001D35A5" w:rsidRDefault="001D35A5" w:rsidP="00741AD3">
      <w:pPr>
        <w:pStyle w:val="ListParagraph"/>
        <w:spacing w:before="120" w:after="120"/>
        <w:ind w:left="1440" w:right="312"/>
      </w:pPr>
    </w:p>
    <w:p w14:paraId="4FD7F120" w14:textId="620BA8B4" w:rsidR="001D35A5" w:rsidRDefault="001D35A5" w:rsidP="00741AD3">
      <w:pPr>
        <w:pStyle w:val="ListParagraph"/>
        <w:numPr>
          <w:ilvl w:val="1"/>
          <w:numId w:val="17"/>
        </w:numPr>
        <w:spacing w:before="120" w:after="120"/>
        <w:ind w:right="312"/>
      </w:pPr>
      <w:r>
        <w:t xml:space="preserve">This red banner messages appears when a client has PA Layering. If no edits are made on the override and only notes have been entered on the override, proceed as normal. </w:t>
      </w:r>
    </w:p>
    <w:p w14:paraId="666CF09B" w14:textId="77777777" w:rsidR="001D35A5" w:rsidRDefault="001D35A5" w:rsidP="00741AD3">
      <w:pPr>
        <w:pStyle w:val="ListParagraph"/>
        <w:spacing w:before="120" w:after="120"/>
        <w:ind w:right="312"/>
      </w:pPr>
    </w:p>
    <w:p w14:paraId="43EE60C7" w14:textId="77777777" w:rsidR="0004768C" w:rsidRDefault="0004768C" w:rsidP="00741AD3"/>
    <w:p w14:paraId="6DC8F2D4" w14:textId="47C0DAA1" w:rsidR="0004768C" w:rsidRDefault="0004768C" w:rsidP="00F07C2B">
      <w:pPr>
        <w:pStyle w:val="ListParagraph"/>
        <w:spacing w:before="120" w:after="120"/>
        <w:ind w:right="312"/>
        <w:jc w:val="center"/>
      </w:pPr>
      <w:r>
        <w:rPr>
          <w:noProof/>
        </w:rPr>
        <w:drawing>
          <wp:inline distT="0" distB="0" distL="0" distR="0" wp14:anchorId="4C902462" wp14:editId="50D0B1E5">
            <wp:extent cx="6419048" cy="733333"/>
            <wp:effectExtent l="0" t="0" r="1270" b="0"/>
            <wp:docPr id="907160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16016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19048" cy="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2F656" w14:textId="77777777" w:rsidR="007C60AE" w:rsidRDefault="007C60AE" w:rsidP="00137005">
      <w:pPr>
        <w:spacing w:before="120" w:after="120"/>
        <w:ind w:right="312"/>
      </w:pPr>
    </w:p>
    <w:p w14:paraId="38646793" w14:textId="77777777" w:rsidR="007C60AE" w:rsidRDefault="007C60AE" w:rsidP="00741AD3">
      <w:pPr>
        <w:spacing w:before="120" w:after="120"/>
      </w:pPr>
      <w:r w:rsidRPr="00E238B8">
        <w:rPr>
          <w:b/>
          <w:bCs/>
        </w:rPr>
        <w:t>Note:</w:t>
      </w:r>
      <w:r>
        <w:t xml:space="preserve"> There may be occasions where a PBO is entered </w:t>
      </w:r>
      <w:r w:rsidRPr="006E30AB">
        <w:rPr>
          <w:b/>
          <w:bCs/>
        </w:rPr>
        <w:t>only</w:t>
      </w:r>
      <w:r>
        <w:t xml:space="preserve"> on the secondary account. </w:t>
      </w:r>
    </w:p>
    <w:p w14:paraId="7EE653F5" w14:textId="77777777" w:rsidR="007C60AE" w:rsidRDefault="007C60AE" w:rsidP="001D35A5">
      <w:pPr>
        <w:pStyle w:val="NormalWeb"/>
        <w:numPr>
          <w:ilvl w:val="0"/>
          <w:numId w:val="5"/>
        </w:numPr>
        <w:spacing w:before="120" w:beforeAutospacing="0" w:after="120" w:afterAutospacing="0" w:line="252" w:lineRule="auto"/>
        <w:ind w:right="312"/>
      </w:pPr>
      <w:r>
        <w:t>Medication is not covered under Med-D</w:t>
      </w:r>
    </w:p>
    <w:p w14:paraId="652FCADF" w14:textId="77777777" w:rsidR="007C60AE" w:rsidRDefault="007C60AE" w:rsidP="001D35A5">
      <w:pPr>
        <w:pStyle w:val="NormalWeb"/>
        <w:numPr>
          <w:ilvl w:val="0"/>
          <w:numId w:val="5"/>
        </w:numPr>
        <w:spacing w:before="120" w:beforeAutospacing="0" w:after="120" w:afterAutospacing="0" w:line="252" w:lineRule="auto"/>
        <w:ind w:right="312"/>
      </w:pPr>
      <w:r>
        <w:t>Medication only covered under WRAP</w:t>
      </w:r>
    </w:p>
    <w:p w14:paraId="7586CA5D" w14:textId="77777777" w:rsidR="007C60AE" w:rsidRDefault="007C60AE" w:rsidP="001D35A5">
      <w:pPr>
        <w:pStyle w:val="NormalWeb"/>
        <w:numPr>
          <w:ilvl w:val="0"/>
          <w:numId w:val="5"/>
        </w:numPr>
        <w:spacing w:before="120" w:beforeAutospacing="0" w:after="120" w:afterAutospacing="0" w:line="252" w:lineRule="auto"/>
        <w:ind w:right="312"/>
      </w:pPr>
      <w:r w:rsidRPr="009D6D2B">
        <w:t>Medication is only covered under secondary and not primary</w:t>
      </w:r>
    </w:p>
    <w:p w14:paraId="3599702B" w14:textId="6FE1F35E" w:rsidR="007C60AE" w:rsidRPr="00C135B8" w:rsidRDefault="007C60AE" w:rsidP="001D35A5">
      <w:pPr>
        <w:spacing w:before="120" w:after="120"/>
        <w:ind w:right="312"/>
      </w:pPr>
      <w:r>
        <w:t>If it is determined an override needs to be added to the secondary account</w:t>
      </w:r>
      <w:r w:rsidR="00707E9D">
        <w:t xml:space="preserve"> only</w:t>
      </w:r>
      <w:r>
        <w:t>, close out of the primary account and navigate to secondary account to enter the override</w:t>
      </w:r>
      <w:r w:rsidR="001260C8">
        <w:t>.</w:t>
      </w:r>
    </w:p>
    <w:p w14:paraId="0A6A13F5" w14:textId="77777777" w:rsidR="00137005" w:rsidRDefault="00137005" w:rsidP="00F07C2B">
      <w:pPr>
        <w:pStyle w:val="NormalWeb"/>
        <w:spacing w:before="120" w:beforeAutospacing="0" w:after="120" w:afterAutospacing="0" w:line="252" w:lineRule="auto"/>
        <w:ind w:right="312"/>
      </w:pPr>
    </w:p>
    <w:p w14:paraId="5068E8F6" w14:textId="4045F144" w:rsidR="001B7705" w:rsidRDefault="001B7705" w:rsidP="00D52E70">
      <w:pPr>
        <w:jc w:val="right"/>
      </w:pPr>
      <w:hyperlink w:anchor="_top" w:history="1">
        <w:r w:rsidRPr="005E2557">
          <w:rPr>
            <w:rStyle w:val="Hyperlink"/>
          </w:rPr>
          <w:t xml:space="preserve">Top of the </w:t>
        </w:r>
        <w:r w:rsidRPr="005E2557">
          <w:rPr>
            <w:rStyle w:val="Hyperlink"/>
          </w:rPr>
          <w:t>D</w:t>
        </w:r>
        <w:r w:rsidRPr="005E2557">
          <w:rPr>
            <w:rStyle w:val="Hyperlink"/>
          </w:rPr>
          <w:t>ocument</w:t>
        </w:r>
      </w:hyperlink>
    </w:p>
    <w:tbl>
      <w:tblPr>
        <w:tblStyle w:val="TableGrid"/>
        <w:tblW w:w="5000" w:type="pct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1B7705" w14:paraId="559DF2D5" w14:textId="77777777" w:rsidTr="001B7705">
        <w:tc>
          <w:tcPr>
            <w:tcW w:w="5000" w:type="pct"/>
            <w:shd w:val="clear" w:color="auto" w:fill="BFBFBF" w:themeFill="background1" w:themeFillShade="BF"/>
          </w:tcPr>
          <w:p w14:paraId="165F005F" w14:textId="31EEBCE9" w:rsidR="001B7705" w:rsidRDefault="001B7705" w:rsidP="001B7705">
            <w:pPr>
              <w:pStyle w:val="Heading2"/>
              <w:spacing w:before="120" w:after="120"/>
            </w:pPr>
            <w:bookmarkStart w:id="6" w:name="_Toc201653169"/>
            <w:r>
              <w:t>Process</w:t>
            </w:r>
            <w:bookmarkEnd w:id="6"/>
            <w:r w:rsidR="008359BC">
              <w:t xml:space="preserve"> </w:t>
            </w:r>
          </w:p>
        </w:tc>
      </w:tr>
    </w:tbl>
    <w:p w14:paraId="2E96B64E" w14:textId="77777777" w:rsidR="001B7705" w:rsidRDefault="001B7705" w:rsidP="001B7705">
      <w:pPr>
        <w:pStyle w:val="NormalWeb"/>
        <w:spacing w:before="120" w:beforeAutospacing="0" w:after="120" w:afterAutospacing="0" w:line="252" w:lineRule="auto"/>
        <w:ind w:right="312"/>
      </w:pPr>
    </w:p>
    <w:p w14:paraId="7225D3EF" w14:textId="1DDA259D" w:rsidR="00D42E62" w:rsidRDefault="00DE72E2" w:rsidP="00137005">
      <w:pPr>
        <w:spacing w:before="120" w:after="120"/>
        <w:ind w:right="312"/>
      </w:pPr>
      <w:r>
        <w:t>Complete the following steps</w:t>
      </w:r>
      <w:r w:rsidR="002B5BC5"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2"/>
        <w:gridCol w:w="8728"/>
      </w:tblGrid>
      <w:tr w:rsidR="00D42E62" w14:paraId="235491D3" w14:textId="77777777" w:rsidTr="509CE5FE"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4061B3" w14:textId="586D8AB0" w:rsidR="00D42E62" w:rsidRPr="00137005" w:rsidRDefault="00137005" w:rsidP="00137005">
            <w:pPr>
              <w:spacing w:before="120" w:after="120"/>
              <w:jc w:val="center"/>
              <w:rPr>
                <w:b/>
                <w:bCs/>
              </w:rPr>
            </w:pPr>
            <w:r w:rsidRPr="00137005">
              <w:rPr>
                <w:b/>
                <w:bCs/>
              </w:rPr>
              <w:t>Step</w:t>
            </w:r>
          </w:p>
        </w:tc>
        <w:tc>
          <w:tcPr>
            <w:tcW w:w="4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F0DCD5" w14:textId="77777777" w:rsidR="00D42E62" w:rsidRDefault="00D42E62" w:rsidP="00137005">
            <w:pPr>
              <w:spacing w:before="120" w:after="120" w:line="252" w:lineRule="auto"/>
              <w:ind w:right="312"/>
              <w:jc w:val="center"/>
              <w:rPr>
                <w:b/>
              </w:rPr>
            </w:pPr>
            <w:r>
              <w:rPr>
                <w:b/>
              </w:rPr>
              <w:t xml:space="preserve">Action </w:t>
            </w:r>
          </w:p>
        </w:tc>
      </w:tr>
      <w:tr w:rsidR="00D42E62" w14:paraId="3EB554D4" w14:textId="77777777" w:rsidTr="509CE5FE"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2B9A7" w14:textId="6443B98C" w:rsidR="00D42E62" w:rsidRPr="00137005" w:rsidRDefault="002B5BC5" w:rsidP="00137005">
            <w:pPr>
              <w:spacing w:before="120" w:after="120"/>
              <w:jc w:val="center"/>
              <w:rPr>
                <w:b/>
                <w:bCs/>
              </w:rPr>
            </w:pPr>
            <w:r w:rsidRPr="00137005">
              <w:rPr>
                <w:b/>
                <w:bCs/>
              </w:rPr>
              <w:t>1</w:t>
            </w:r>
          </w:p>
        </w:tc>
        <w:tc>
          <w:tcPr>
            <w:tcW w:w="4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B08BD" w14:textId="330BD2A3" w:rsidR="00D42E62" w:rsidRPr="002B5BC5" w:rsidRDefault="002B5BC5" w:rsidP="00137005">
            <w:pPr>
              <w:spacing w:before="120" w:after="120" w:line="252" w:lineRule="auto"/>
              <w:ind w:right="312"/>
            </w:pPr>
            <w:r>
              <w:t xml:space="preserve">From the </w:t>
            </w:r>
            <w:r>
              <w:rPr>
                <w:b/>
                <w:bCs/>
              </w:rPr>
              <w:t xml:space="preserve">Override History </w:t>
            </w:r>
            <w:r>
              <w:t>screen, l</w:t>
            </w:r>
            <w:r w:rsidR="00D42E62" w:rsidRPr="002B5BC5">
              <w:t xml:space="preserve">ocate the Override ID in the </w:t>
            </w:r>
            <w:r w:rsidR="00D42E62" w:rsidRPr="002B5BC5">
              <w:rPr>
                <w:b/>
                <w:bCs/>
              </w:rPr>
              <w:t>ID column</w:t>
            </w:r>
            <w:r w:rsidR="00D42E62" w:rsidRPr="002B5BC5">
              <w:t xml:space="preserve">, then click the </w:t>
            </w:r>
            <w:r w:rsidR="00D42E62" w:rsidRPr="002B5BC5">
              <w:rPr>
                <w:b/>
                <w:bCs/>
              </w:rPr>
              <w:t>Row Level Action</w:t>
            </w:r>
            <w:r w:rsidR="00D42E62" w:rsidRPr="002B5BC5">
              <w:t xml:space="preserve"> drop-down arrow on the right.</w:t>
            </w:r>
          </w:p>
          <w:p w14:paraId="4B8B0C68" w14:textId="77777777" w:rsidR="00D42E62" w:rsidRDefault="00D42E62" w:rsidP="00137005">
            <w:pPr>
              <w:spacing w:before="120" w:after="120" w:line="252" w:lineRule="auto"/>
              <w:ind w:right="312"/>
            </w:pPr>
          </w:p>
          <w:p w14:paraId="6FD2DAA0" w14:textId="77777777" w:rsidR="00D42E62" w:rsidRDefault="00D42E62" w:rsidP="00137005">
            <w:pPr>
              <w:spacing w:before="120" w:after="120" w:line="252" w:lineRule="auto"/>
              <w:ind w:right="312"/>
              <w:jc w:val="center"/>
            </w:pPr>
            <w:r>
              <w:rPr>
                <w:noProof/>
                <w:color w:val="2B579A"/>
                <w:shd w:val="clear" w:color="auto" w:fill="E6E6E6"/>
              </w:rPr>
              <w:drawing>
                <wp:inline distT="0" distB="0" distL="0" distR="0" wp14:anchorId="6FE29A24" wp14:editId="2D09F954">
                  <wp:extent cx="7858125" cy="1762125"/>
                  <wp:effectExtent l="19050" t="19050" r="28575" b="2857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58125" cy="1762125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14:paraId="2EF9C2DD" w14:textId="64998010" w:rsidR="00137005" w:rsidRDefault="00137005" w:rsidP="00137005">
            <w:pPr>
              <w:spacing w:before="120" w:after="120" w:line="252" w:lineRule="auto"/>
              <w:ind w:right="312"/>
              <w:jc w:val="center"/>
            </w:pPr>
          </w:p>
        </w:tc>
      </w:tr>
      <w:tr w:rsidR="002B5BC5" w14:paraId="3BF8B723" w14:textId="77777777" w:rsidTr="509CE5FE"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C984F" w14:textId="4F969F3E" w:rsidR="002B5BC5" w:rsidRPr="00137005" w:rsidRDefault="002B5BC5" w:rsidP="00137005">
            <w:pPr>
              <w:spacing w:before="120" w:after="120"/>
              <w:jc w:val="center"/>
              <w:rPr>
                <w:b/>
                <w:bCs/>
              </w:rPr>
            </w:pPr>
            <w:r w:rsidRPr="00137005">
              <w:rPr>
                <w:b/>
                <w:bCs/>
              </w:rPr>
              <w:t>2</w:t>
            </w:r>
          </w:p>
        </w:tc>
        <w:tc>
          <w:tcPr>
            <w:tcW w:w="4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AD40B" w14:textId="77777777" w:rsidR="002B5BC5" w:rsidRDefault="002B5BC5" w:rsidP="00137005">
            <w:pPr>
              <w:spacing w:before="120" w:after="120" w:line="252" w:lineRule="auto"/>
              <w:ind w:right="312"/>
            </w:pPr>
            <w:r w:rsidRPr="002B5BC5">
              <w:t xml:space="preserve">Select </w:t>
            </w:r>
            <w:r w:rsidRPr="002B5BC5">
              <w:rPr>
                <w:b/>
                <w:bCs/>
              </w:rPr>
              <w:t>Apply to Secondary</w:t>
            </w:r>
            <w:r w:rsidRPr="002B5BC5">
              <w:t xml:space="preserve"> </w:t>
            </w:r>
            <w:r w:rsidRPr="002B5BC5">
              <w:rPr>
                <w:b/>
                <w:bCs/>
              </w:rPr>
              <w:t>Account</w:t>
            </w:r>
            <w:r w:rsidRPr="002B5BC5">
              <w:t xml:space="preserve"> to apply the override to secondary coverage.</w:t>
            </w:r>
          </w:p>
          <w:p w14:paraId="48D4A1BD" w14:textId="77777777" w:rsidR="00EC636D" w:rsidRDefault="00EC636D" w:rsidP="00137005">
            <w:pPr>
              <w:spacing w:before="120" w:after="120" w:line="252" w:lineRule="auto"/>
              <w:ind w:right="312"/>
            </w:pPr>
          </w:p>
          <w:p w14:paraId="618B8138" w14:textId="471DEE9D" w:rsidR="00EC636D" w:rsidRPr="00EC636D" w:rsidRDefault="00EC636D" w:rsidP="00137005">
            <w:pPr>
              <w:spacing w:before="120" w:after="120" w:line="252" w:lineRule="auto"/>
              <w:ind w:right="312"/>
            </w:pPr>
          </w:p>
          <w:p w14:paraId="550582C9" w14:textId="77777777" w:rsidR="002B5BC5" w:rsidRDefault="002B5BC5" w:rsidP="00137005">
            <w:pPr>
              <w:pStyle w:val="ListParagraph"/>
              <w:spacing w:before="120" w:after="120" w:line="252" w:lineRule="auto"/>
              <w:ind w:left="360" w:right="312"/>
            </w:pPr>
          </w:p>
          <w:p w14:paraId="4F773C39" w14:textId="1019CB9A" w:rsidR="002B5BC5" w:rsidRDefault="002B5BC5" w:rsidP="00137005">
            <w:pPr>
              <w:spacing w:before="120" w:after="120" w:line="252" w:lineRule="auto"/>
              <w:ind w:right="312"/>
              <w:jc w:val="center"/>
            </w:pPr>
            <w:r>
              <w:rPr>
                <w:noProof/>
                <w:color w:val="2B579A"/>
                <w:shd w:val="clear" w:color="auto" w:fill="E6E6E6"/>
              </w:rPr>
              <w:drawing>
                <wp:inline distT="0" distB="0" distL="0" distR="0" wp14:anchorId="0663C074" wp14:editId="4961C68A">
                  <wp:extent cx="2028825" cy="1504950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8825" cy="1504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03086B8" w14:textId="77777777" w:rsidR="00EC636D" w:rsidRDefault="00EC636D" w:rsidP="00137005">
            <w:pPr>
              <w:spacing w:before="120" w:after="120" w:line="252" w:lineRule="auto"/>
              <w:ind w:right="312"/>
            </w:pPr>
          </w:p>
          <w:p w14:paraId="6C9759F4" w14:textId="77777777" w:rsidR="00EE4DFA" w:rsidRDefault="00EE4DFA" w:rsidP="00137005">
            <w:pPr>
              <w:spacing w:before="120" w:after="120" w:line="252" w:lineRule="auto"/>
              <w:ind w:right="312"/>
            </w:pPr>
          </w:p>
          <w:p w14:paraId="29FBCD1E" w14:textId="1FEF0384" w:rsidR="002B5BC5" w:rsidRPr="00137005" w:rsidRDefault="00EE4DFA" w:rsidP="00137005">
            <w:pPr>
              <w:spacing w:before="120" w:after="120" w:line="252" w:lineRule="auto"/>
              <w:ind w:right="312"/>
              <w:rPr>
                <w:b/>
                <w:bCs/>
              </w:rPr>
            </w:pPr>
            <w:r w:rsidRPr="00EE4DFA">
              <w:rPr>
                <w:b/>
                <w:bCs/>
              </w:rPr>
              <w:t xml:space="preserve">Result: </w:t>
            </w:r>
            <w:r w:rsidRPr="00EE4DFA">
              <w:t xml:space="preserve">The </w:t>
            </w:r>
            <w:r w:rsidRPr="00137005">
              <w:t>Apply to Secondary Account</w:t>
            </w:r>
            <w:r w:rsidRPr="00EE4DFA">
              <w:rPr>
                <w:b/>
                <w:bCs/>
              </w:rPr>
              <w:t xml:space="preserve"> </w:t>
            </w:r>
            <w:r w:rsidRPr="00EE4DFA">
              <w:t>window displays.</w:t>
            </w:r>
          </w:p>
        </w:tc>
      </w:tr>
      <w:tr w:rsidR="002B5BC5" w14:paraId="61E065B6" w14:textId="77777777" w:rsidTr="509CE5FE"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D17D3" w14:textId="78AAE46F" w:rsidR="002B5BC5" w:rsidRPr="00137005" w:rsidRDefault="002B5BC5" w:rsidP="00137005">
            <w:pPr>
              <w:spacing w:before="120" w:after="120"/>
              <w:jc w:val="center"/>
              <w:rPr>
                <w:b/>
                <w:bCs/>
              </w:rPr>
            </w:pPr>
            <w:r w:rsidRPr="00137005">
              <w:rPr>
                <w:b/>
                <w:bCs/>
              </w:rPr>
              <w:t>3</w:t>
            </w:r>
          </w:p>
        </w:tc>
        <w:tc>
          <w:tcPr>
            <w:tcW w:w="4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11463" w14:textId="2FBC7948" w:rsidR="00EE4DFA" w:rsidRPr="00672CD5" w:rsidRDefault="00EE4DFA" w:rsidP="00137005">
            <w:pPr>
              <w:spacing w:before="120" w:after="120" w:line="252" w:lineRule="auto"/>
              <w:ind w:right="312"/>
            </w:pPr>
            <w:r w:rsidRPr="00EE4DFA">
              <w:t xml:space="preserve">Click </w:t>
            </w:r>
            <w:r w:rsidRPr="00EE4DFA">
              <w:rPr>
                <w:b/>
                <w:bCs/>
              </w:rPr>
              <w:t>Apply</w:t>
            </w:r>
            <w:r w:rsidR="00672CD5">
              <w:t>.</w:t>
            </w:r>
          </w:p>
          <w:p w14:paraId="0DA9659D" w14:textId="2F669E1E" w:rsidR="00EE4DFA" w:rsidRDefault="00EE4DFA" w:rsidP="00137005">
            <w:pPr>
              <w:spacing w:before="120" w:after="120" w:line="252" w:lineRule="auto"/>
              <w:ind w:right="312"/>
            </w:pPr>
            <w:r>
              <w:rPr>
                <w:b/>
                <w:bCs/>
              </w:rPr>
              <w:t>Note:</w:t>
            </w:r>
            <w:r>
              <w:t xml:space="preserve"> If client specific Notes </w:t>
            </w:r>
            <w:proofErr w:type="gramStart"/>
            <w:r>
              <w:t>are required</w:t>
            </w:r>
            <w:proofErr w:type="gramEnd"/>
            <w:r>
              <w:t xml:space="preserve">, enter them in the </w:t>
            </w:r>
            <w:r>
              <w:rPr>
                <w:b/>
                <w:bCs/>
              </w:rPr>
              <w:t>Authorized Notes</w:t>
            </w:r>
            <w:r>
              <w:t xml:space="preserve"> field first. </w:t>
            </w:r>
          </w:p>
          <w:p w14:paraId="7382FBD2" w14:textId="77777777" w:rsidR="00EE4DFA" w:rsidRDefault="00EE4DFA" w:rsidP="00137005">
            <w:pPr>
              <w:spacing w:before="120" w:after="120" w:line="252" w:lineRule="auto"/>
              <w:ind w:right="312"/>
            </w:pPr>
          </w:p>
          <w:p w14:paraId="36ABE31F" w14:textId="3E8499B1" w:rsidR="00EE4DFA" w:rsidRDefault="00EE4DFA" w:rsidP="00137005">
            <w:pPr>
              <w:spacing w:before="120" w:after="120" w:line="252" w:lineRule="auto"/>
              <w:ind w:right="312"/>
              <w:jc w:val="center"/>
            </w:pPr>
            <w:r>
              <w:rPr>
                <w:noProof/>
                <w:shd w:val="clear" w:color="auto" w:fill="E6E6E6"/>
              </w:rPr>
              <w:drawing>
                <wp:inline distT="0" distB="0" distL="0" distR="0" wp14:anchorId="0008DDD7" wp14:editId="6F333FF8">
                  <wp:extent cx="3705225" cy="13144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5225" cy="1314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BE1B9AE" w14:textId="77777777" w:rsidR="00EE4DFA" w:rsidRPr="00EE4DFA" w:rsidRDefault="00EE4DFA" w:rsidP="00137005">
            <w:pPr>
              <w:spacing w:before="120" w:after="120" w:line="252" w:lineRule="auto"/>
              <w:ind w:right="312"/>
              <w:jc w:val="center"/>
            </w:pPr>
          </w:p>
          <w:p w14:paraId="5A2BE7AA" w14:textId="0ECCC376" w:rsidR="002B5BC5" w:rsidRDefault="00EE4DFA" w:rsidP="00137005">
            <w:pPr>
              <w:spacing w:before="120" w:after="120" w:line="252" w:lineRule="auto"/>
              <w:ind w:right="312"/>
            </w:pPr>
            <w:r>
              <w:rPr>
                <w:b/>
                <w:bCs/>
              </w:rPr>
              <w:t>Result:</w:t>
            </w:r>
            <w:r>
              <w:t xml:space="preserve"> A banner </w:t>
            </w:r>
            <w:proofErr w:type="gramStart"/>
            <w:r>
              <w:t>displays</w:t>
            </w:r>
            <w:proofErr w:type="gramEnd"/>
            <w:r>
              <w:t xml:space="preserve"> that reads</w:t>
            </w:r>
            <w:proofErr w:type="gramStart"/>
            <w:r>
              <w:t xml:space="preserve">: </w:t>
            </w:r>
            <w:r w:rsidR="00137005">
              <w:t xml:space="preserve"> </w:t>
            </w:r>
            <w:r w:rsidRPr="00137005">
              <w:t>Override</w:t>
            </w:r>
            <w:proofErr w:type="gramEnd"/>
            <w:r w:rsidRPr="00137005">
              <w:t xml:space="preserve"> </w:t>
            </w:r>
            <w:proofErr w:type="gramStart"/>
            <w:r w:rsidRPr="00137005">
              <w:t>was successfully applied</w:t>
            </w:r>
            <w:proofErr w:type="gramEnd"/>
            <w:r w:rsidRPr="00137005">
              <w:t xml:space="preserve"> to the secondary</w:t>
            </w:r>
            <w:r>
              <w:t>.</w:t>
            </w:r>
            <w:r w:rsidR="00A24BF8">
              <w:t xml:space="preserve"> </w:t>
            </w:r>
          </w:p>
          <w:p w14:paraId="0A1C69DA" w14:textId="77777777" w:rsidR="00F32214" w:rsidRDefault="00F32214" w:rsidP="00137005">
            <w:pPr>
              <w:spacing w:before="120" w:after="120" w:line="252" w:lineRule="auto"/>
              <w:ind w:right="312"/>
            </w:pPr>
          </w:p>
          <w:p w14:paraId="1E5B1210" w14:textId="6073422F" w:rsidR="00F32214" w:rsidRDefault="00F32214" w:rsidP="00F32214">
            <w:pPr>
              <w:spacing w:before="120" w:after="120" w:line="252" w:lineRule="auto"/>
              <w:ind w:right="312"/>
              <w:jc w:val="center"/>
            </w:pPr>
            <w:r>
              <w:rPr>
                <w:noProof/>
              </w:rPr>
              <w:drawing>
                <wp:inline distT="0" distB="0" distL="0" distR="0" wp14:anchorId="5229A4CB" wp14:editId="22A3E5E0">
                  <wp:extent cx="6495238" cy="1552381"/>
                  <wp:effectExtent l="0" t="0" r="1270" b="0"/>
                  <wp:docPr id="8341251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4125167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95238" cy="15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56EC1C" w14:textId="77777777" w:rsidR="00D311EB" w:rsidRDefault="00D311EB" w:rsidP="00F07C2B">
            <w:pPr>
              <w:spacing w:before="120" w:after="120" w:line="252" w:lineRule="auto"/>
              <w:ind w:right="312"/>
              <w:jc w:val="center"/>
            </w:pPr>
          </w:p>
          <w:p w14:paraId="53A7A7E2" w14:textId="054D1F3E" w:rsidR="00335105" w:rsidRDefault="004F2415" w:rsidP="00F07C2B">
            <w:pPr>
              <w:spacing w:before="120" w:after="120" w:line="252" w:lineRule="auto"/>
              <w:ind w:right="312"/>
            </w:pPr>
            <w:r>
              <w:rPr>
                <w:noProof/>
              </w:rPr>
              <w:drawing>
                <wp:inline distT="0" distB="0" distL="0" distR="0" wp14:anchorId="4887400A" wp14:editId="36BEDE65">
                  <wp:extent cx="304762" cy="304762"/>
                  <wp:effectExtent l="0" t="0" r="635" b="635"/>
                  <wp:docPr id="160012846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0128460" name="Picture 1600128460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35105">
              <w:t xml:space="preserve">If banner </w:t>
            </w:r>
            <w:r w:rsidR="006F6DC7">
              <w:t>displays</w:t>
            </w:r>
            <w:r w:rsidR="005F546C">
              <w:t xml:space="preserve"> </w:t>
            </w:r>
            <w:r w:rsidR="00D02CF7">
              <w:t>"Error occurred on Secondary Account update, verify override on secondary account</w:t>
            </w:r>
            <w:r w:rsidR="00741AD3">
              <w:t>,”</w:t>
            </w:r>
            <w:r w:rsidR="005F546C">
              <w:t xml:space="preserve"> n</w:t>
            </w:r>
            <w:r w:rsidR="00D02CF7">
              <w:t xml:space="preserve">avigate to secondary account to ensure override </w:t>
            </w:r>
            <w:proofErr w:type="gramStart"/>
            <w:r w:rsidR="00D02CF7">
              <w:t>was correctly applied</w:t>
            </w:r>
            <w:proofErr w:type="gramEnd"/>
            <w:r w:rsidR="00D02CF7">
              <w:t xml:space="preserve">. </w:t>
            </w:r>
            <w:r w:rsidR="018AA4BA">
              <w:t xml:space="preserve">If updates need to be made, please </w:t>
            </w:r>
            <w:r w:rsidR="00005A39">
              <w:t>contact Senior Team</w:t>
            </w:r>
            <w:r w:rsidR="000F215D">
              <w:t xml:space="preserve"> </w:t>
            </w:r>
            <w:r w:rsidR="00384960">
              <w:t xml:space="preserve">to have the override updated. </w:t>
            </w:r>
            <w:r w:rsidR="00804A2A">
              <w:t xml:space="preserve">Refer to </w:t>
            </w:r>
            <w:hyperlink r:id="rId20" w:anchor="!/view?docid=0990aac5-274f-424d-9400-546d74b3fed7" w:history="1">
              <w:r w:rsidR="0019647E" w:rsidRPr="00741AD3">
                <w:rPr>
                  <w:rStyle w:val="Hyperlink"/>
                </w:rPr>
                <w:t xml:space="preserve">Compass MED D - When to </w:t>
              </w:r>
              <w:r w:rsidR="0019647E" w:rsidRPr="00741AD3">
                <w:rPr>
                  <w:rStyle w:val="Hyperlink"/>
                </w:rPr>
                <w:t>T</w:t>
              </w:r>
              <w:r w:rsidR="0019647E" w:rsidRPr="00741AD3">
                <w:rPr>
                  <w:rStyle w:val="Hyperlink"/>
                </w:rPr>
                <w:t>ransfer Calls to the Senior Team (</w:t>
              </w:r>
              <w:r w:rsidR="00D42134" w:rsidRPr="00741AD3">
                <w:rPr>
                  <w:rStyle w:val="Hyperlink"/>
                </w:rPr>
                <w:t>062944)</w:t>
              </w:r>
            </w:hyperlink>
            <w:r w:rsidR="00D42134" w:rsidRPr="00741AD3">
              <w:t>.</w:t>
            </w:r>
            <w:r w:rsidR="018AA4BA">
              <w:t xml:space="preserve"> </w:t>
            </w:r>
          </w:p>
        </w:tc>
      </w:tr>
      <w:tr w:rsidR="00012408" w14:paraId="2EA5B6F9" w14:textId="77777777" w:rsidTr="509CE5FE"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CEB13" w14:textId="130183BF" w:rsidR="00012408" w:rsidRPr="00137005" w:rsidRDefault="00012408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4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84D1C" w14:textId="77777777" w:rsidR="00012408" w:rsidRDefault="00012408">
            <w:pPr>
              <w:spacing w:before="120" w:after="120" w:line="252" w:lineRule="auto"/>
              <w:ind w:right="312"/>
            </w:pPr>
            <w:r>
              <w:t>A</w:t>
            </w:r>
            <w:r w:rsidRPr="00EE4DFA">
              <w:t>dvise the pharmacy to resubmit the claim.</w:t>
            </w:r>
          </w:p>
          <w:p w14:paraId="6C3E573D" w14:textId="49BE511F" w:rsidR="00516200" w:rsidRDefault="00516200" w:rsidP="0033125A">
            <w:pPr>
              <w:pStyle w:val="ListParagraph"/>
              <w:numPr>
                <w:ilvl w:val="0"/>
                <w:numId w:val="5"/>
              </w:numPr>
              <w:spacing w:before="120" w:after="120" w:line="252" w:lineRule="auto"/>
              <w:ind w:right="312"/>
            </w:pPr>
            <w:r>
              <w:t>To void</w:t>
            </w:r>
            <w:r w:rsidR="00E70E23">
              <w:t xml:space="preserve">, refer to </w:t>
            </w:r>
            <w:hyperlink r:id="rId21" w:anchor="!/view?docid=88d16b41-cb0d-45e0-86d6-6bd27d559377" w:tgtFrame="_blank" w:history="1">
              <w:r w:rsidR="00E70E23" w:rsidRPr="00E70E23">
                <w:rPr>
                  <w:rStyle w:val="Hyperlink"/>
                </w:rPr>
                <w:t>Compass - Voiding an Overri</w:t>
              </w:r>
              <w:r w:rsidR="00E70E23" w:rsidRPr="00E70E23">
                <w:rPr>
                  <w:rStyle w:val="Hyperlink"/>
                </w:rPr>
                <w:t>d</w:t>
              </w:r>
              <w:r w:rsidR="00E70E23" w:rsidRPr="00E70E23">
                <w:rPr>
                  <w:rStyle w:val="Hyperlink"/>
                </w:rPr>
                <w:t>e (050045)</w:t>
              </w:r>
            </w:hyperlink>
            <w:r w:rsidR="00E70E23">
              <w:t>.</w:t>
            </w:r>
          </w:p>
        </w:tc>
      </w:tr>
    </w:tbl>
    <w:p w14:paraId="12F04716" w14:textId="77777777" w:rsidR="00F57C44" w:rsidRDefault="00F57C44" w:rsidP="00F07C2B"/>
    <w:p w14:paraId="7ED35223" w14:textId="77777777" w:rsidR="00DF32B7" w:rsidRDefault="00DF32B7" w:rsidP="00137005">
      <w:pPr>
        <w:jc w:val="right"/>
      </w:pPr>
    </w:p>
    <w:p w14:paraId="59FA90E2" w14:textId="7C9C5741" w:rsidR="00137005" w:rsidRDefault="00137005" w:rsidP="00137005">
      <w:pPr>
        <w:jc w:val="right"/>
      </w:pPr>
      <w:hyperlink w:anchor="_top" w:history="1">
        <w:r w:rsidRPr="005E2557">
          <w:rPr>
            <w:rStyle w:val="Hyperlink"/>
          </w:rPr>
          <w:t>To</w:t>
        </w:r>
        <w:r w:rsidRPr="005E2557">
          <w:rPr>
            <w:rStyle w:val="Hyperlink"/>
          </w:rPr>
          <w:t>p</w:t>
        </w:r>
        <w:r w:rsidRPr="005E2557">
          <w:rPr>
            <w:rStyle w:val="Hyperlink"/>
          </w:rPr>
          <w:t xml:space="preserve"> of the Document</w:t>
        </w:r>
      </w:hyperlink>
    </w:p>
    <w:tbl>
      <w:tblPr>
        <w:tblStyle w:val="TableGrid"/>
        <w:tblW w:w="5000" w:type="pct"/>
        <w:tblInd w:w="0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350"/>
      </w:tblGrid>
      <w:tr w:rsidR="00137005" w14:paraId="7FDF51DF" w14:textId="77777777" w:rsidTr="00AF0971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C951F51" w14:textId="77777777" w:rsidR="00137005" w:rsidRDefault="00137005">
            <w:pPr>
              <w:pStyle w:val="Heading2"/>
              <w:spacing w:before="120" w:after="120"/>
            </w:pPr>
            <w:bookmarkStart w:id="7" w:name="_Toc149058505"/>
            <w:bookmarkStart w:id="8" w:name="_Toc201653170"/>
            <w:bookmarkStart w:id="9" w:name="OLE_LINK8"/>
            <w:r>
              <w:t>Related Documents</w:t>
            </w:r>
            <w:bookmarkEnd w:id="7"/>
            <w:bookmarkEnd w:id="8"/>
          </w:p>
        </w:tc>
      </w:tr>
    </w:tbl>
    <w:bookmarkStart w:id="10" w:name="OLE_LINK6"/>
    <w:p w14:paraId="3554C422" w14:textId="25EF6FE7" w:rsidR="00137005" w:rsidRDefault="00137005" w:rsidP="00741AD3">
      <w:pPr>
        <w:spacing w:before="120" w:after="120"/>
      </w:pPr>
      <w:r>
        <w:fldChar w:fldCharType="begin"/>
      </w:r>
      <w:r w:rsidR="003B7619">
        <w:instrText>HYPERLINK "https://thesource.cvshealth.com/nuxeo/thesource/" \l "!/view?docid=c1f1028b-e42c-4b4f-a4cf-cc0b42c91606" \t "_blank"</w:instrText>
      </w:r>
      <w:r>
        <w:fldChar w:fldCharType="separate"/>
      </w:r>
      <w:r w:rsidR="003B7619">
        <w:rPr>
          <w:rStyle w:val="Hyperlink"/>
        </w:rPr>
        <w:t>Customer Care Abbreviations, Definitions and Terms Ind</w:t>
      </w:r>
      <w:r w:rsidR="003B7619">
        <w:rPr>
          <w:rStyle w:val="Hyperlink"/>
        </w:rPr>
        <w:t>e</w:t>
      </w:r>
      <w:r w:rsidR="003B7619">
        <w:rPr>
          <w:rStyle w:val="Hyperlink"/>
        </w:rPr>
        <w:t>x (</w:t>
      </w:r>
      <w:r w:rsidR="003B7619">
        <w:rPr>
          <w:rStyle w:val="Hyperlink"/>
        </w:rPr>
        <w:t>0</w:t>
      </w:r>
      <w:r w:rsidR="003B7619">
        <w:rPr>
          <w:rStyle w:val="Hyperlink"/>
        </w:rPr>
        <w:t>17428)</w:t>
      </w:r>
      <w:r>
        <w:fldChar w:fldCharType="end"/>
      </w:r>
    </w:p>
    <w:p w14:paraId="4B67F03B" w14:textId="77777777" w:rsidR="00137005" w:rsidRDefault="00137005" w:rsidP="00741AD3">
      <w:pPr>
        <w:spacing w:before="120" w:after="120"/>
        <w:rPr>
          <w:color w:val="000000"/>
          <w:sz w:val="27"/>
          <w:szCs w:val="27"/>
        </w:rPr>
      </w:pPr>
      <w:r>
        <w:rPr>
          <w:b/>
          <w:bCs/>
          <w:color w:val="000000"/>
        </w:rPr>
        <w:t>Parent Document:  </w:t>
      </w:r>
      <w:hyperlink r:id="rId22" w:tgtFrame="_blank" w:history="1">
        <w:r>
          <w:rPr>
            <w:rStyle w:val="Hyperlink"/>
          </w:rPr>
          <w:t>CALL 0049 Customer Care Internal and External Call Ha</w:t>
        </w:r>
        <w:r>
          <w:rPr>
            <w:rStyle w:val="Hyperlink"/>
          </w:rPr>
          <w:t>n</w:t>
        </w:r>
        <w:r>
          <w:rPr>
            <w:rStyle w:val="Hyperlink"/>
          </w:rPr>
          <w:t>dling</w:t>
        </w:r>
      </w:hyperlink>
    </w:p>
    <w:bookmarkStart w:id="11" w:name="OLE_LINK2"/>
    <w:bookmarkEnd w:id="9"/>
    <w:bookmarkEnd w:id="10"/>
    <w:p w14:paraId="2AE1CDEA" w14:textId="53CB05CE" w:rsidR="00137005" w:rsidRDefault="007A5B9F" w:rsidP="00137005">
      <w:pPr>
        <w:jc w:val="right"/>
      </w:pPr>
      <w:r>
        <w:fldChar w:fldCharType="begin"/>
      </w:r>
      <w:r>
        <w:instrText>HYPERLINK  \l "_top"</w:instrText>
      </w:r>
      <w:r>
        <w:fldChar w:fldCharType="separate"/>
      </w:r>
      <w:r w:rsidR="00137005" w:rsidRPr="007A5B9F">
        <w:rPr>
          <w:rStyle w:val="Hyperlink"/>
        </w:rPr>
        <w:t>Top of</w:t>
      </w:r>
      <w:r w:rsidR="00137005" w:rsidRPr="007A5B9F">
        <w:rPr>
          <w:rStyle w:val="Hyperlink"/>
        </w:rPr>
        <w:t xml:space="preserve"> </w:t>
      </w:r>
      <w:r w:rsidR="00137005" w:rsidRPr="007A5B9F">
        <w:rPr>
          <w:rStyle w:val="Hyperlink"/>
        </w:rPr>
        <w:t>the Document</w:t>
      </w:r>
      <w:r>
        <w:fldChar w:fldCharType="end"/>
      </w:r>
    </w:p>
    <w:p w14:paraId="33A5505E" w14:textId="77777777" w:rsidR="00137005" w:rsidRDefault="00137005" w:rsidP="00137005">
      <w:pPr>
        <w:jc w:val="center"/>
        <w:rPr>
          <w:rFonts w:ascii="Times New Roman" w:hAnsi="Times New Roman"/>
          <w:color w:val="000000"/>
          <w:sz w:val="27"/>
          <w:szCs w:val="27"/>
        </w:rPr>
      </w:pPr>
      <w:bookmarkStart w:id="12" w:name="OLE_LINK5"/>
      <w:bookmarkEnd w:id="11"/>
      <w:r>
        <w:rPr>
          <w:color w:val="000000"/>
          <w:sz w:val="16"/>
          <w:szCs w:val="16"/>
        </w:rPr>
        <w:t>Not to Be Reproduced or Disclosed to Others without Prior Written Approval</w:t>
      </w:r>
    </w:p>
    <w:p w14:paraId="5BC31B50" w14:textId="36AEF810" w:rsidR="00BD1937" w:rsidRPr="003B7619" w:rsidRDefault="00137005" w:rsidP="003B7619">
      <w:pPr>
        <w:jc w:val="center"/>
        <w:rPr>
          <w:rFonts w:ascii="Times New Roman" w:hAnsi="Times New Roman"/>
          <w:color w:val="000000"/>
          <w:sz w:val="27"/>
          <w:szCs w:val="27"/>
        </w:rPr>
      </w:pPr>
      <w:r>
        <w:rPr>
          <w:b/>
          <w:bCs/>
          <w:color w:val="000000"/>
          <w:sz w:val="16"/>
          <w:szCs w:val="16"/>
        </w:rPr>
        <w:t>ELECTRONIC DATA = OFFICIAL VERSION / PAPER COPY = INFORMATIONAL ONLY</w:t>
      </w:r>
      <w:bookmarkEnd w:id="12"/>
    </w:p>
    <w:sectPr w:rsidR="00BD1937" w:rsidRPr="003B7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7EA255" w14:textId="77777777" w:rsidR="00232F4F" w:rsidRDefault="00232F4F" w:rsidP="00D42E62">
      <w:r>
        <w:separator/>
      </w:r>
    </w:p>
  </w:endnote>
  <w:endnote w:type="continuationSeparator" w:id="0">
    <w:p w14:paraId="06EB37A4" w14:textId="77777777" w:rsidR="00232F4F" w:rsidRDefault="00232F4F" w:rsidP="00D42E62">
      <w:r>
        <w:continuationSeparator/>
      </w:r>
    </w:p>
  </w:endnote>
  <w:endnote w:type="continuationNotice" w:id="1">
    <w:p w14:paraId="1DF175D5" w14:textId="77777777" w:rsidR="00232F4F" w:rsidRDefault="00232F4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559062" w14:textId="77777777" w:rsidR="00232F4F" w:rsidRDefault="00232F4F" w:rsidP="00D42E62">
      <w:r>
        <w:separator/>
      </w:r>
    </w:p>
  </w:footnote>
  <w:footnote w:type="continuationSeparator" w:id="0">
    <w:p w14:paraId="19DEF929" w14:textId="77777777" w:rsidR="00232F4F" w:rsidRDefault="00232F4F" w:rsidP="00D42E62">
      <w:r>
        <w:continuationSeparator/>
      </w:r>
    </w:p>
  </w:footnote>
  <w:footnote w:type="continuationNotice" w:id="1">
    <w:p w14:paraId="7456EB3F" w14:textId="77777777" w:rsidR="00232F4F" w:rsidRDefault="00232F4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E0143"/>
    <w:multiLevelType w:val="multilevel"/>
    <w:tmpl w:val="1D325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BF7109"/>
    <w:multiLevelType w:val="hybridMultilevel"/>
    <w:tmpl w:val="5C36F7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7E11866"/>
    <w:multiLevelType w:val="hybridMultilevel"/>
    <w:tmpl w:val="79949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034496"/>
    <w:multiLevelType w:val="hybridMultilevel"/>
    <w:tmpl w:val="8F9CFB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0875C88"/>
    <w:multiLevelType w:val="multilevel"/>
    <w:tmpl w:val="4EAC9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0385642"/>
    <w:multiLevelType w:val="multilevel"/>
    <w:tmpl w:val="D8F2469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8D6B96"/>
    <w:multiLevelType w:val="hybridMultilevel"/>
    <w:tmpl w:val="536258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6E5262"/>
    <w:multiLevelType w:val="hybridMultilevel"/>
    <w:tmpl w:val="8A567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003E2A"/>
    <w:multiLevelType w:val="hybridMultilevel"/>
    <w:tmpl w:val="EBD6F4EA"/>
    <w:lvl w:ilvl="0" w:tplc="4628BB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9F0BE1"/>
    <w:multiLevelType w:val="hybridMultilevel"/>
    <w:tmpl w:val="FAD4221A"/>
    <w:lvl w:ilvl="0" w:tplc="C0DEBC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C998732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bCs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302582"/>
    <w:multiLevelType w:val="hybridMultilevel"/>
    <w:tmpl w:val="594E73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D937AC0"/>
    <w:multiLevelType w:val="hybridMultilevel"/>
    <w:tmpl w:val="33F6D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B066FC"/>
    <w:multiLevelType w:val="hybridMultilevel"/>
    <w:tmpl w:val="5CB031B2"/>
    <w:lvl w:ilvl="0" w:tplc="2072330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8838C2"/>
    <w:multiLevelType w:val="hybridMultilevel"/>
    <w:tmpl w:val="4C9204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9F9287D"/>
    <w:multiLevelType w:val="hybridMultilevel"/>
    <w:tmpl w:val="D5E2F2B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BF24F6A"/>
    <w:multiLevelType w:val="hybridMultilevel"/>
    <w:tmpl w:val="BF3875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55540100">
    <w:abstractNumId w:val="13"/>
  </w:num>
  <w:num w:numId="2" w16cid:durableId="475150661">
    <w:abstractNumId w:val="15"/>
  </w:num>
  <w:num w:numId="3" w16cid:durableId="860777822">
    <w:abstractNumId w:val="3"/>
  </w:num>
  <w:num w:numId="4" w16cid:durableId="688877351">
    <w:abstractNumId w:val="3"/>
  </w:num>
  <w:num w:numId="5" w16cid:durableId="1555970660">
    <w:abstractNumId w:val="8"/>
  </w:num>
  <w:num w:numId="6" w16cid:durableId="1426074507">
    <w:abstractNumId w:val="4"/>
  </w:num>
  <w:num w:numId="7" w16cid:durableId="2039966879">
    <w:abstractNumId w:val="5"/>
  </w:num>
  <w:num w:numId="8" w16cid:durableId="1395348916">
    <w:abstractNumId w:val="11"/>
  </w:num>
  <w:num w:numId="9" w16cid:durableId="955479084">
    <w:abstractNumId w:val="0"/>
  </w:num>
  <w:num w:numId="10" w16cid:durableId="572423945">
    <w:abstractNumId w:val="6"/>
  </w:num>
  <w:num w:numId="11" w16cid:durableId="1298146469">
    <w:abstractNumId w:val="12"/>
  </w:num>
  <w:num w:numId="12" w16cid:durableId="1557930879">
    <w:abstractNumId w:val="14"/>
  </w:num>
  <w:num w:numId="13" w16cid:durableId="88161334">
    <w:abstractNumId w:val="1"/>
  </w:num>
  <w:num w:numId="14" w16cid:durableId="362096860">
    <w:abstractNumId w:val="2"/>
  </w:num>
  <w:num w:numId="15" w16cid:durableId="1515539226">
    <w:abstractNumId w:val="10"/>
  </w:num>
  <w:num w:numId="16" w16cid:durableId="324405073">
    <w:abstractNumId w:val="7"/>
  </w:num>
  <w:num w:numId="17" w16cid:durableId="198314619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E62"/>
    <w:rsid w:val="0000083D"/>
    <w:rsid w:val="000049D6"/>
    <w:rsid w:val="00005A39"/>
    <w:rsid w:val="00012408"/>
    <w:rsid w:val="000178D5"/>
    <w:rsid w:val="0002683A"/>
    <w:rsid w:val="0002694F"/>
    <w:rsid w:val="0003014E"/>
    <w:rsid w:val="00037043"/>
    <w:rsid w:val="0004768C"/>
    <w:rsid w:val="00060811"/>
    <w:rsid w:val="0006548E"/>
    <w:rsid w:val="00066CF9"/>
    <w:rsid w:val="000673B6"/>
    <w:rsid w:val="000731E9"/>
    <w:rsid w:val="00082E47"/>
    <w:rsid w:val="00086B7D"/>
    <w:rsid w:val="00087061"/>
    <w:rsid w:val="00092E9C"/>
    <w:rsid w:val="000A028F"/>
    <w:rsid w:val="000A3122"/>
    <w:rsid w:val="000B13EF"/>
    <w:rsid w:val="000B26BD"/>
    <w:rsid w:val="000B5B6A"/>
    <w:rsid w:val="000C2243"/>
    <w:rsid w:val="000E0BA9"/>
    <w:rsid w:val="000E2C6E"/>
    <w:rsid w:val="000E5817"/>
    <w:rsid w:val="000F215D"/>
    <w:rsid w:val="000F32B7"/>
    <w:rsid w:val="000F3A77"/>
    <w:rsid w:val="00102872"/>
    <w:rsid w:val="001050FA"/>
    <w:rsid w:val="00105DAD"/>
    <w:rsid w:val="00115B18"/>
    <w:rsid w:val="00124E7E"/>
    <w:rsid w:val="001260C8"/>
    <w:rsid w:val="00137005"/>
    <w:rsid w:val="00137FC7"/>
    <w:rsid w:val="00140DBB"/>
    <w:rsid w:val="001654BF"/>
    <w:rsid w:val="0017776B"/>
    <w:rsid w:val="0018062A"/>
    <w:rsid w:val="00182943"/>
    <w:rsid w:val="00186137"/>
    <w:rsid w:val="0019647E"/>
    <w:rsid w:val="00196855"/>
    <w:rsid w:val="001977B8"/>
    <w:rsid w:val="001A0CB1"/>
    <w:rsid w:val="001A1450"/>
    <w:rsid w:val="001A77C4"/>
    <w:rsid w:val="001B27D5"/>
    <w:rsid w:val="001B2924"/>
    <w:rsid w:val="001B6119"/>
    <w:rsid w:val="001B7705"/>
    <w:rsid w:val="001C149E"/>
    <w:rsid w:val="001C532D"/>
    <w:rsid w:val="001D35A5"/>
    <w:rsid w:val="001D539F"/>
    <w:rsid w:val="001F0A27"/>
    <w:rsid w:val="001F4E7B"/>
    <w:rsid w:val="00206F18"/>
    <w:rsid w:val="00217CF2"/>
    <w:rsid w:val="002215E5"/>
    <w:rsid w:val="00222796"/>
    <w:rsid w:val="00226EB3"/>
    <w:rsid w:val="002317A8"/>
    <w:rsid w:val="0023265A"/>
    <w:rsid w:val="00232915"/>
    <w:rsid w:val="00232F4F"/>
    <w:rsid w:val="00244025"/>
    <w:rsid w:val="00251647"/>
    <w:rsid w:val="0025243A"/>
    <w:rsid w:val="00253895"/>
    <w:rsid w:val="00256D9F"/>
    <w:rsid w:val="002639CA"/>
    <w:rsid w:val="00266341"/>
    <w:rsid w:val="0027159F"/>
    <w:rsid w:val="002716BF"/>
    <w:rsid w:val="0028758A"/>
    <w:rsid w:val="00294C5C"/>
    <w:rsid w:val="002959D7"/>
    <w:rsid w:val="002A3087"/>
    <w:rsid w:val="002A4482"/>
    <w:rsid w:val="002A5676"/>
    <w:rsid w:val="002B5BC5"/>
    <w:rsid w:val="002C07B1"/>
    <w:rsid w:val="002C25AB"/>
    <w:rsid w:val="002D153D"/>
    <w:rsid w:val="002F11A1"/>
    <w:rsid w:val="002F688B"/>
    <w:rsid w:val="00300ADC"/>
    <w:rsid w:val="0030128D"/>
    <w:rsid w:val="003055F5"/>
    <w:rsid w:val="00305FD9"/>
    <w:rsid w:val="00306704"/>
    <w:rsid w:val="003205A0"/>
    <w:rsid w:val="00323BFB"/>
    <w:rsid w:val="00323CED"/>
    <w:rsid w:val="003277DA"/>
    <w:rsid w:val="0033125A"/>
    <w:rsid w:val="00333AE2"/>
    <w:rsid w:val="00335105"/>
    <w:rsid w:val="0033645F"/>
    <w:rsid w:val="003418E4"/>
    <w:rsid w:val="00342E86"/>
    <w:rsid w:val="00345EC7"/>
    <w:rsid w:val="00347B83"/>
    <w:rsid w:val="003501A7"/>
    <w:rsid w:val="003631B2"/>
    <w:rsid w:val="00365AFF"/>
    <w:rsid w:val="003676A7"/>
    <w:rsid w:val="003821DE"/>
    <w:rsid w:val="003831BB"/>
    <w:rsid w:val="00384960"/>
    <w:rsid w:val="00390221"/>
    <w:rsid w:val="0039600A"/>
    <w:rsid w:val="003A426E"/>
    <w:rsid w:val="003B7619"/>
    <w:rsid w:val="003B7FFC"/>
    <w:rsid w:val="003C0C2E"/>
    <w:rsid w:val="003C3341"/>
    <w:rsid w:val="003C4E2D"/>
    <w:rsid w:val="003D0C90"/>
    <w:rsid w:val="003E30F8"/>
    <w:rsid w:val="003E60A2"/>
    <w:rsid w:val="003E65CE"/>
    <w:rsid w:val="003E7140"/>
    <w:rsid w:val="003F34C9"/>
    <w:rsid w:val="003F457F"/>
    <w:rsid w:val="003F4738"/>
    <w:rsid w:val="003F5272"/>
    <w:rsid w:val="0040495D"/>
    <w:rsid w:val="00413BE3"/>
    <w:rsid w:val="004233FC"/>
    <w:rsid w:val="00425AD2"/>
    <w:rsid w:val="00427ABB"/>
    <w:rsid w:val="00430DBF"/>
    <w:rsid w:val="00431969"/>
    <w:rsid w:val="00432BAF"/>
    <w:rsid w:val="004407FD"/>
    <w:rsid w:val="0044086D"/>
    <w:rsid w:val="00441252"/>
    <w:rsid w:val="004453A5"/>
    <w:rsid w:val="004458E4"/>
    <w:rsid w:val="00447A0D"/>
    <w:rsid w:val="00447E90"/>
    <w:rsid w:val="00451879"/>
    <w:rsid w:val="00452FB1"/>
    <w:rsid w:val="00456DDE"/>
    <w:rsid w:val="00466129"/>
    <w:rsid w:val="00470293"/>
    <w:rsid w:val="00471175"/>
    <w:rsid w:val="00474D25"/>
    <w:rsid w:val="00476623"/>
    <w:rsid w:val="004779AE"/>
    <w:rsid w:val="00482552"/>
    <w:rsid w:val="00482A1B"/>
    <w:rsid w:val="00482BC9"/>
    <w:rsid w:val="00484515"/>
    <w:rsid w:val="00484BB2"/>
    <w:rsid w:val="00487C1E"/>
    <w:rsid w:val="004A0CBD"/>
    <w:rsid w:val="004A49E6"/>
    <w:rsid w:val="004B0044"/>
    <w:rsid w:val="004B2357"/>
    <w:rsid w:val="004B5959"/>
    <w:rsid w:val="004B5E63"/>
    <w:rsid w:val="004C4934"/>
    <w:rsid w:val="004C546E"/>
    <w:rsid w:val="004C550A"/>
    <w:rsid w:val="004C759A"/>
    <w:rsid w:val="004C7E56"/>
    <w:rsid w:val="004D596D"/>
    <w:rsid w:val="004E1FD3"/>
    <w:rsid w:val="004F2415"/>
    <w:rsid w:val="004F42B3"/>
    <w:rsid w:val="004F6182"/>
    <w:rsid w:val="00502B13"/>
    <w:rsid w:val="0051054D"/>
    <w:rsid w:val="0051480C"/>
    <w:rsid w:val="00516200"/>
    <w:rsid w:val="00520696"/>
    <w:rsid w:val="005227E2"/>
    <w:rsid w:val="005231F5"/>
    <w:rsid w:val="00524F46"/>
    <w:rsid w:val="00532394"/>
    <w:rsid w:val="005367AD"/>
    <w:rsid w:val="00542DEE"/>
    <w:rsid w:val="00543A38"/>
    <w:rsid w:val="005441A0"/>
    <w:rsid w:val="00546B65"/>
    <w:rsid w:val="00552973"/>
    <w:rsid w:val="00556DA1"/>
    <w:rsid w:val="0055727B"/>
    <w:rsid w:val="00565250"/>
    <w:rsid w:val="00566BF6"/>
    <w:rsid w:val="0057034D"/>
    <w:rsid w:val="00572146"/>
    <w:rsid w:val="00572173"/>
    <w:rsid w:val="00575186"/>
    <w:rsid w:val="00577312"/>
    <w:rsid w:val="00590EAD"/>
    <w:rsid w:val="005A09FB"/>
    <w:rsid w:val="005A0D0C"/>
    <w:rsid w:val="005A7C80"/>
    <w:rsid w:val="005D2EA6"/>
    <w:rsid w:val="005D3F52"/>
    <w:rsid w:val="005D691D"/>
    <w:rsid w:val="005D7829"/>
    <w:rsid w:val="005E2557"/>
    <w:rsid w:val="005F3064"/>
    <w:rsid w:val="005F546C"/>
    <w:rsid w:val="00610840"/>
    <w:rsid w:val="00612AEA"/>
    <w:rsid w:val="00613968"/>
    <w:rsid w:val="00621784"/>
    <w:rsid w:val="0062654A"/>
    <w:rsid w:val="00633C78"/>
    <w:rsid w:val="00641AF4"/>
    <w:rsid w:val="0065469D"/>
    <w:rsid w:val="006648FA"/>
    <w:rsid w:val="00664E4D"/>
    <w:rsid w:val="00665960"/>
    <w:rsid w:val="00666DE0"/>
    <w:rsid w:val="00667183"/>
    <w:rsid w:val="006672CF"/>
    <w:rsid w:val="00672CD5"/>
    <w:rsid w:val="00674505"/>
    <w:rsid w:val="00674B85"/>
    <w:rsid w:val="00677428"/>
    <w:rsid w:val="006852E8"/>
    <w:rsid w:val="006A03DE"/>
    <w:rsid w:val="006B2D14"/>
    <w:rsid w:val="006C10A7"/>
    <w:rsid w:val="006C3819"/>
    <w:rsid w:val="006D4BD7"/>
    <w:rsid w:val="006D51E8"/>
    <w:rsid w:val="006E6B9C"/>
    <w:rsid w:val="006F6DC7"/>
    <w:rsid w:val="00707E9D"/>
    <w:rsid w:val="007101E1"/>
    <w:rsid w:val="00710E44"/>
    <w:rsid w:val="0071516D"/>
    <w:rsid w:val="00715252"/>
    <w:rsid w:val="00721B86"/>
    <w:rsid w:val="007264F2"/>
    <w:rsid w:val="007356AC"/>
    <w:rsid w:val="00737932"/>
    <w:rsid w:val="00741AD3"/>
    <w:rsid w:val="00741BE2"/>
    <w:rsid w:val="00755DA1"/>
    <w:rsid w:val="00761EBA"/>
    <w:rsid w:val="007622FC"/>
    <w:rsid w:val="007624AC"/>
    <w:rsid w:val="00763094"/>
    <w:rsid w:val="00763231"/>
    <w:rsid w:val="0076380E"/>
    <w:rsid w:val="0077375E"/>
    <w:rsid w:val="00776431"/>
    <w:rsid w:val="00792EA2"/>
    <w:rsid w:val="00793DBB"/>
    <w:rsid w:val="007A5B9F"/>
    <w:rsid w:val="007A6BB5"/>
    <w:rsid w:val="007A6CA1"/>
    <w:rsid w:val="007A77EF"/>
    <w:rsid w:val="007B50C0"/>
    <w:rsid w:val="007B54C4"/>
    <w:rsid w:val="007B7F9C"/>
    <w:rsid w:val="007C53BF"/>
    <w:rsid w:val="007C60AE"/>
    <w:rsid w:val="007C70D9"/>
    <w:rsid w:val="007D1568"/>
    <w:rsid w:val="007E25C1"/>
    <w:rsid w:val="007E56E6"/>
    <w:rsid w:val="007E5893"/>
    <w:rsid w:val="007F20B0"/>
    <w:rsid w:val="007F7807"/>
    <w:rsid w:val="008000AA"/>
    <w:rsid w:val="00804A2A"/>
    <w:rsid w:val="00807B9B"/>
    <w:rsid w:val="00830546"/>
    <w:rsid w:val="008359BC"/>
    <w:rsid w:val="00836152"/>
    <w:rsid w:val="0085245F"/>
    <w:rsid w:val="00856472"/>
    <w:rsid w:val="00856884"/>
    <w:rsid w:val="00856C32"/>
    <w:rsid w:val="00857949"/>
    <w:rsid w:val="0086641E"/>
    <w:rsid w:val="00876F6A"/>
    <w:rsid w:val="00883B37"/>
    <w:rsid w:val="00883E30"/>
    <w:rsid w:val="00885C7C"/>
    <w:rsid w:val="00886F17"/>
    <w:rsid w:val="00893B8A"/>
    <w:rsid w:val="008943F2"/>
    <w:rsid w:val="008A6641"/>
    <w:rsid w:val="008A70A9"/>
    <w:rsid w:val="008C0132"/>
    <w:rsid w:val="008C5702"/>
    <w:rsid w:val="008C5B45"/>
    <w:rsid w:val="008C7D75"/>
    <w:rsid w:val="008D3251"/>
    <w:rsid w:val="008D4B74"/>
    <w:rsid w:val="008F2A51"/>
    <w:rsid w:val="008F3096"/>
    <w:rsid w:val="008F5605"/>
    <w:rsid w:val="008F5887"/>
    <w:rsid w:val="008F7B46"/>
    <w:rsid w:val="008F7C6C"/>
    <w:rsid w:val="00904873"/>
    <w:rsid w:val="0090540A"/>
    <w:rsid w:val="009070B0"/>
    <w:rsid w:val="00907F17"/>
    <w:rsid w:val="009109C5"/>
    <w:rsid w:val="00916594"/>
    <w:rsid w:val="009223D3"/>
    <w:rsid w:val="009229E8"/>
    <w:rsid w:val="0092603B"/>
    <w:rsid w:val="0092619B"/>
    <w:rsid w:val="00927C26"/>
    <w:rsid w:val="00936A89"/>
    <w:rsid w:val="00936E5C"/>
    <w:rsid w:val="00947B79"/>
    <w:rsid w:val="00950783"/>
    <w:rsid w:val="00970BD8"/>
    <w:rsid w:val="00976E76"/>
    <w:rsid w:val="009965F7"/>
    <w:rsid w:val="009A706A"/>
    <w:rsid w:val="009B131A"/>
    <w:rsid w:val="009B50D4"/>
    <w:rsid w:val="009B62D7"/>
    <w:rsid w:val="009C4B5D"/>
    <w:rsid w:val="009C688F"/>
    <w:rsid w:val="009C75C6"/>
    <w:rsid w:val="009D0774"/>
    <w:rsid w:val="009D0F44"/>
    <w:rsid w:val="009D2868"/>
    <w:rsid w:val="009D6D2B"/>
    <w:rsid w:val="009E0E85"/>
    <w:rsid w:val="009E1FC7"/>
    <w:rsid w:val="009E6048"/>
    <w:rsid w:val="009E64DE"/>
    <w:rsid w:val="009F531D"/>
    <w:rsid w:val="00A009E4"/>
    <w:rsid w:val="00A05C2E"/>
    <w:rsid w:val="00A05E1D"/>
    <w:rsid w:val="00A138D4"/>
    <w:rsid w:val="00A21356"/>
    <w:rsid w:val="00A24BF8"/>
    <w:rsid w:val="00A326C0"/>
    <w:rsid w:val="00A3316B"/>
    <w:rsid w:val="00A431F3"/>
    <w:rsid w:val="00A44C00"/>
    <w:rsid w:val="00A56ADC"/>
    <w:rsid w:val="00A60A32"/>
    <w:rsid w:val="00A62AD9"/>
    <w:rsid w:val="00A723BC"/>
    <w:rsid w:val="00A7482F"/>
    <w:rsid w:val="00A80534"/>
    <w:rsid w:val="00A81472"/>
    <w:rsid w:val="00A82C90"/>
    <w:rsid w:val="00A92702"/>
    <w:rsid w:val="00AA400F"/>
    <w:rsid w:val="00AA5E04"/>
    <w:rsid w:val="00AA6D36"/>
    <w:rsid w:val="00AB006D"/>
    <w:rsid w:val="00AB109D"/>
    <w:rsid w:val="00AB360B"/>
    <w:rsid w:val="00AB476B"/>
    <w:rsid w:val="00AB4A05"/>
    <w:rsid w:val="00AB5DEE"/>
    <w:rsid w:val="00AD5E59"/>
    <w:rsid w:val="00AD6F93"/>
    <w:rsid w:val="00AF0177"/>
    <w:rsid w:val="00AF0971"/>
    <w:rsid w:val="00AF0BE7"/>
    <w:rsid w:val="00AF308E"/>
    <w:rsid w:val="00B04348"/>
    <w:rsid w:val="00B07ADC"/>
    <w:rsid w:val="00B110B5"/>
    <w:rsid w:val="00B1437D"/>
    <w:rsid w:val="00B14EFF"/>
    <w:rsid w:val="00B26CFB"/>
    <w:rsid w:val="00B354B1"/>
    <w:rsid w:val="00B36570"/>
    <w:rsid w:val="00B44E0A"/>
    <w:rsid w:val="00B45744"/>
    <w:rsid w:val="00B46947"/>
    <w:rsid w:val="00B53443"/>
    <w:rsid w:val="00B56DBF"/>
    <w:rsid w:val="00B6103D"/>
    <w:rsid w:val="00B62A59"/>
    <w:rsid w:val="00B651C1"/>
    <w:rsid w:val="00B71D0E"/>
    <w:rsid w:val="00B72A06"/>
    <w:rsid w:val="00B76655"/>
    <w:rsid w:val="00B816EA"/>
    <w:rsid w:val="00B82923"/>
    <w:rsid w:val="00B850C6"/>
    <w:rsid w:val="00B86E87"/>
    <w:rsid w:val="00B9365A"/>
    <w:rsid w:val="00B970E2"/>
    <w:rsid w:val="00B97CFF"/>
    <w:rsid w:val="00BA4D3E"/>
    <w:rsid w:val="00BB0D46"/>
    <w:rsid w:val="00BB1166"/>
    <w:rsid w:val="00BB12BC"/>
    <w:rsid w:val="00BB4C03"/>
    <w:rsid w:val="00BB7A59"/>
    <w:rsid w:val="00BC2ED3"/>
    <w:rsid w:val="00BC7AE4"/>
    <w:rsid w:val="00BD1937"/>
    <w:rsid w:val="00BD7D71"/>
    <w:rsid w:val="00BE5932"/>
    <w:rsid w:val="00BE62C3"/>
    <w:rsid w:val="00BF1533"/>
    <w:rsid w:val="00BF39DC"/>
    <w:rsid w:val="00C006A7"/>
    <w:rsid w:val="00C00A11"/>
    <w:rsid w:val="00C01DFE"/>
    <w:rsid w:val="00C0611B"/>
    <w:rsid w:val="00C0785F"/>
    <w:rsid w:val="00C108DE"/>
    <w:rsid w:val="00C135B8"/>
    <w:rsid w:val="00C167E4"/>
    <w:rsid w:val="00C17BFA"/>
    <w:rsid w:val="00C23796"/>
    <w:rsid w:val="00C37268"/>
    <w:rsid w:val="00C51E61"/>
    <w:rsid w:val="00C53248"/>
    <w:rsid w:val="00C554BB"/>
    <w:rsid w:val="00C5560A"/>
    <w:rsid w:val="00C560D2"/>
    <w:rsid w:val="00C63511"/>
    <w:rsid w:val="00C70CE4"/>
    <w:rsid w:val="00C7334B"/>
    <w:rsid w:val="00C7740B"/>
    <w:rsid w:val="00C81347"/>
    <w:rsid w:val="00C85151"/>
    <w:rsid w:val="00C93B40"/>
    <w:rsid w:val="00C95B7B"/>
    <w:rsid w:val="00CA2406"/>
    <w:rsid w:val="00CA4BB0"/>
    <w:rsid w:val="00CA70C7"/>
    <w:rsid w:val="00CB566D"/>
    <w:rsid w:val="00CB688C"/>
    <w:rsid w:val="00CC2D08"/>
    <w:rsid w:val="00CC39FC"/>
    <w:rsid w:val="00CC74DA"/>
    <w:rsid w:val="00CD2F38"/>
    <w:rsid w:val="00CE263B"/>
    <w:rsid w:val="00CE2CDC"/>
    <w:rsid w:val="00CE683B"/>
    <w:rsid w:val="00D019AB"/>
    <w:rsid w:val="00D02CF7"/>
    <w:rsid w:val="00D05677"/>
    <w:rsid w:val="00D16CC9"/>
    <w:rsid w:val="00D17E6C"/>
    <w:rsid w:val="00D25224"/>
    <w:rsid w:val="00D26926"/>
    <w:rsid w:val="00D308B1"/>
    <w:rsid w:val="00D311EB"/>
    <w:rsid w:val="00D33239"/>
    <w:rsid w:val="00D34177"/>
    <w:rsid w:val="00D413F6"/>
    <w:rsid w:val="00D42134"/>
    <w:rsid w:val="00D422F7"/>
    <w:rsid w:val="00D42E62"/>
    <w:rsid w:val="00D52037"/>
    <w:rsid w:val="00D52E70"/>
    <w:rsid w:val="00D53691"/>
    <w:rsid w:val="00D60C94"/>
    <w:rsid w:val="00D632E0"/>
    <w:rsid w:val="00D64049"/>
    <w:rsid w:val="00D642F7"/>
    <w:rsid w:val="00D72769"/>
    <w:rsid w:val="00D7534D"/>
    <w:rsid w:val="00D764D5"/>
    <w:rsid w:val="00D817F1"/>
    <w:rsid w:val="00D92D13"/>
    <w:rsid w:val="00DA5D13"/>
    <w:rsid w:val="00DA7F2A"/>
    <w:rsid w:val="00DB3FAA"/>
    <w:rsid w:val="00DC004E"/>
    <w:rsid w:val="00DC4BF0"/>
    <w:rsid w:val="00DC7428"/>
    <w:rsid w:val="00DC7BB8"/>
    <w:rsid w:val="00DD0705"/>
    <w:rsid w:val="00DD54CD"/>
    <w:rsid w:val="00DD55E9"/>
    <w:rsid w:val="00DD72E4"/>
    <w:rsid w:val="00DE1053"/>
    <w:rsid w:val="00DE72E2"/>
    <w:rsid w:val="00DE78DB"/>
    <w:rsid w:val="00DF1E6F"/>
    <w:rsid w:val="00DF32B7"/>
    <w:rsid w:val="00E030C1"/>
    <w:rsid w:val="00E16F36"/>
    <w:rsid w:val="00E21244"/>
    <w:rsid w:val="00E22CE5"/>
    <w:rsid w:val="00E258F9"/>
    <w:rsid w:val="00E33397"/>
    <w:rsid w:val="00E34722"/>
    <w:rsid w:val="00E56C6E"/>
    <w:rsid w:val="00E60694"/>
    <w:rsid w:val="00E66783"/>
    <w:rsid w:val="00E70E23"/>
    <w:rsid w:val="00E71931"/>
    <w:rsid w:val="00E72FA4"/>
    <w:rsid w:val="00E73F54"/>
    <w:rsid w:val="00E778B1"/>
    <w:rsid w:val="00E80138"/>
    <w:rsid w:val="00E95DA9"/>
    <w:rsid w:val="00EC06A5"/>
    <w:rsid w:val="00EC48F7"/>
    <w:rsid w:val="00EC636D"/>
    <w:rsid w:val="00ED4451"/>
    <w:rsid w:val="00ED4620"/>
    <w:rsid w:val="00EE1B33"/>
    <w:rsid w:val="00EE4DFA"/>
    <w:rsid w:val="00EE5945"/>
    <w:rsid w:val="00EF0EAF"/>
    <w:rsid w:val="00EF2025"/>
    <w:rsid w:val="00F07C2B"/>
    <w:rsid w:val="00F25B1B"/>
    <w:rsid w:val="00F32214"/>
    <w:rsid w:val="00F33A74"/>
    <w:rsid w:val="00F3644B"/>
    <w:rsid w:val="00F37473"/>
    <w:rsid w:val="00F533C7"/>
    <w:rsid w:val="00F5360D"/>
    <w:rsid w:val="00F540BE"/>
    <w:rsid w:val="00F57C44"/>
    <w:rsid w:val="00F8332A"/>
    <w:rsid w:val="00F834B1"/>
    <w:rsid w:val="00F9560C"/>
    <w:rsid w:val="00F9761E"/>
    <w:rsid w:val="00FA2723"/>
    <w:rsid w:val="00FA4981"/>
    <w:rsid w:val="00FA4CA8"/>
    <w:rsid w:val="00FA782C"/>
    <w:rsid w:val="00FB0168"/>
    <w:rsid w:val="00FB6C7B"/>
    <w:rsid w:val="00FC3513"/>
    <w:rsid w:val="00FC6654"/>
    <w:rsid w:val="00FD5A0D"/>
    <w:rsid w:val="00FD664C"/>
    <w:rsid w:val="00FE323D"/>
    <w:rsid w:val="00FF6C96"/>
    <w:rsid w:val="018AA4BA"/>
    <w:rsid w:val="42167CF5"/>
    <w:rsid w:val="509CE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79C52C"/>
  <w15:chartTrackingRefBased/>
  <w15:docId w15:val="{075DC51D-A21B-4658-808D-228AC1715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7005"/>
    <w:pPr>
      <w:spacing w:after="0" w:line="240" w:lineRule="auto"/>
    </w:pPr>
    <w:rPr>
      <w:rFonts w:ascii="Verdana" w:eastAsia="Times New Roman" w:hAnsi="Verdana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7005"/>
    <w:pPr>
      <w:keepNext/>
      <w:keepLines/>
      <w:spacing w:before="240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137005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7C4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7C4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37005"/>
    <w:rPr>
      <w:rFonts w:ascii="Verdana" w:eastAsia="Times New Roman" w:hAnsi="Verdana" w:cs="Arial"/>
      <w:b/>
      <w:bCs/>
      <w:iCs/>
      <w:sz w:val="28"/>
      <w:szCs w:val="28"/>
    </w:rPr>
  </w:style>
  <w:style w:type="paragraph" w:styleId="NormalWeb">
    <w:name w:val="Normal (Web)"/>
    <w:basedOn w:val="Normal"/>
    <w:uiPriority w:val="99"/>
    <w:unhideWhenUsed/>
    <w:rsid w:val="00D42E62"/>
    <w:pPr>
      <w:spacing w:before="100" w:beforeAutospacing="1" w:after="100" w:afterAutospacing="1"/>
    </w:pPr>
  </w:style>
  <w:style w:type="paragraph" w:styleId="CommentText">
    <w:name w:val="annotation text"/>
    <w:basedOn w:val="Normal"/>
    <w:link w:val="CommentTextChar"/>
    <w:uiPriority w:val="99"/>
    <w:unhideWhenUsed/>
    <w:rsid w:val="00D42E6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42E62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D42E62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D42E62"/>
    <w:rPr>
      <w:sz w:val="16"/>
      <w:szCs w:val="16"/>
    </w:rPr>
  </w:style>
  <w:style w:type="table" w:styleId="TableGrid">
    <w:name w:val="Table Grid"/>
    <w:basedOn w:val="TableNormal"/>
    <w:uiPriority w:val="39"/>
    <w:rsid w:val="0003704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37005"/>
    <w:rPr>
      <w:rFonts w:ascii="Verdana" w:eastAsiaTheme="majorEastAsia" w:hAnsi="Verdana" w:cstheme="majorBidi"/>
      <w:b/>
      <w:sz w:val="36"/>
      <w:szCs w:val="32"/>
    </w:rPr>
  </w:style>
  <w:style w:type="character" w:styleId="Hyperlink">
    <w:name w:val="Hyperlink"/>
    <w:basedOn w:val="DefaultParagraphFont"/>
    <w:uiPriority w:val="99"/>
    <w:unhideWhenUsed/>
    <w:rsid w:val="001370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7005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1B7705"/>
    <w:pPr>
      <w:tabs>
        <w:tab w:val="right" w:leader="dot" w:pos="9350"/>
      </w:tabs>
      <w:spacing w:before="120" w:after="120"/>
    </w:pPr>
  </w:style>
  <w:style w:type="paragraph" w:styleId="Revision">
    <w:name w:val="Revision"/>
    <w:hidden/>
    <w:uiPriority w:val="99"/>
    <w:semiHidden/>
    <w:rsid w:val="00883E30"/>
    <w:pPr>
      <w:spacing w:after="0" w:line="240" w:lineRule="auto"/>
    </w:pPr>
    <w:rPr>
      <w:rFonts w:ascii="Verdana" w:eastAsia="Times New Roman" w:hAnsi="Verdana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56DA1"/>
    <w:rPr>
      <w:color w:val="954F72" w:themeColor="followed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6D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6DA1"/>
    <w:rPr>
      <w:rFonts w:ascii="Verdana" w:eastAsia="Times New Roman" w:hAnsi="Verdana" w:cs="Times New Roman"/>
      <w:b/>
      <w:bCs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9C4B5D"/>
    <w:rPr>
      <w:color w:val="2B579A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unhideWhenUsed/>
    <w:rsid w:val="00D308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308B1"/>
    <w:rPr>
      <w:rFonts w:ascii="Verdana" w:eastAsia="Times New Roman" w:hAnsi="Verdana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D308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308B1"/>
    <w:rPr>
      <w:rFonts w:ascii="Verdana" w:eastAsia="Times New Roman" w:hAnsi="Verdana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7C4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7C44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6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7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2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0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8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205784">
              <w:marLeft w:val="23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37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8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82460">
                  <w:marLeft w:val="23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16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hyperlink" Target="https://thesource.cvshealth.com/nuxeo/thesource/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thesource.cvshealth.com/nuxeo/thesource/" TargetMode="Externa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yperlink" Target="https://thesource.cvshealth.com/nuxeo/thesource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hesource.cvshealth.com/nuxeo/thesource/" TargetMode="External"/><Relationship Id="rId22" Type="http://schemas.openxmlformats.org/officeDocument/2006/relationships/hyperlink" Target="https://policy.corp.cvscaremark.com/pnp/faces/DocRenderer?documentId=CALL-004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B49505AAF66544B3991E59A726D05A" ma:contentTypeVersion="4" ma:contentTypeDescription="Create a new document." ma:contentTypeScope="" ma:versionID="c490d5300bcc29ccb8b6c915c59431fd">
  <xsd:schema xmlns:xsd="http://www.w3.org/2001/XMLSchema" xmlns:xs="http://www.w3.org/2001/XMLSchema" xmlns:p="http://schemas.microsoft.com/office/2006/metadata/properties" xmlns:ns2="105b4efb-3be6-4b39-a776-8a7d43adc0ca" targetNamespace="http://schemas.microsoft.com/office/2006/metadata/properties" ma:root="true" ma:fieldsID="845fad1c6d5081b7ee8f1539f5ad5338" ns2:_="">
    <xsd:import namespace="105b4efb-3be6-4b39-a776-8a7d43adc0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5b4efb-3be6-4b39-a776-8a7d43adc0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D106B27-407A-408E-AE9F-D7191A6D1B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5b4efb-3be6-4b39-a776-8a7d43adc0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8B2E63-E8C7-441D-A342-85ABE6F7FE2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25793C7-C08B-4609-BB57-0F383D42C78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7B147F7-BB37-4349-A6CF-E27D75201C7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600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Hotchkiss, Eric A</dc:creator>
  <cp:keywords/>
  <dc:description/>
  <cp:lastModifiedBy>Salas, Daniela M</cp:lastModifiedBy>
  <cp:revision>3</cp:revision>
  <dcterms:created xsi:type="dcterms:W3CDTF">2025-09-09T19:35:00Z</dcterms:created>
  <dcterms:modified xsi:type="dcterms:W3CDTF">2025-09-09T20:53:00Z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cdf243-b9b0-4f63-8694-76742e4201b7_Enabled">
    <vt:lpwstr>true</vt:lpwstr>
  </property>
  <property fmtid="{D5CDD505-2E9C-101B-9397-08002B2CF9AE}" pid="3" name="MSIP_Label_1ecdf243-b9b0-4f63-8694-76742e4201b7_SetDate">
    <vt:lpwstr>2023-09-27T23:44:27Z</vt:lpwstr>
  </property>
  <property fmtid="{D5CDD505-2E9C-101B-9397-08002B2CF9AE}" pid="4" name="MSIP_Label_1ecdf243-b9b0-4f63-8694-76742e4201b7_Method">
    <vt:lpwstr>Standard</vt:lpwstr>
  </property>
  <property fmtid="{D5CDD505-2E9C-101B-9397-08002B2CF9AE}" pid="5" name="MSIP_Label_1ecdf243-b9b0-4f63-8694-76742e4201b7_Name">
    <vt:lpwstr>Proprietary general</vt:lpwstr>
  </property>
  <property fmtid="{D5CDD505-2E9C-101B-9397-08002B2CF9AE}" pid="6" name="MSIP_Label_1ecdf243-b9b0-4f63-8694-76742e4201b7_SiteId">
    <vt:lpwstr>fabb61b8-3afe-4e75-b934-a47f782b8cd7</vt:lpwstr>
  </property>
  <property fmtid="{D5CDD505-2E9C-101B-9397-08002B2CF9AE}" pid="7" name="MSIP_Label_1ecdf243-b9b0-4f63-8694-76742e4201b7_ActionId">
    <vt:lpwstr>64acad3b-751f-4276-bc2d-95d4891cfd85</vt:lpwstr>
  </property>
  <property fmtid="{D5CDD505-2E9C-101B-9397-08002B2CF9AE}" pid="8" name="MSIP_Label_1ecdf243-b9b0-4f63-8694-76742e4201b7_ContentBits">
    <vt:lpwstr>0</vt:lpwstr>
  </property>
  <property fmtid="{D5CDD505-2E9C-101B-9397-08002B2CF9AE}" pid="9" name="ContentTypeId">
    <vt:lpwstr>0x010100ACB49505AAF66544B3991E59A726D05A</vt:lpwstr>
  </property>
</Properties>
</file>