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86A9A" w14:textId="149B6BF7" w:rsidR="003543D3" w:rsidRDefault="003543D3" w:rsidP="00E42C4C">
      <w:pPr>
        <w:pStyle w:val="Heading1"/>
        <w:spacing w:before="120" w:after="120"/>
      </w:pPr>
      <w:bookmarkStart w:id="0" w:name="_top"/>
      <w:bookmarkEnd w:id="0"/>
      <w:r>
        <w:t xml:space="preserve">Compass </w:t>
      </w:r>
      <w:r w:rsidR="00C75347">
        <w:t xml:space="preserve">- </w:t>
      </w:r>
      <w:r>
        <w:t>Quantity vs. Time (QVT) Override</w:t>
      </w:r>
    </w:p>
    <w:p w14:paraId="1FC34AF8" w14:textId="77777777" w:rsidR="00E42C4C" w:rsidRPr="00E42C4C" w:rsidRDefault="00E42C4C" w:rsidP="00C432A9"/>
    <w:p w14:paraId="70E6AA38" w14:textId="0CEF0405" w:rsidR="00423778" w:rsidRDefault="00C444DE" w:rsidP="00C432A9">
      <w:pPr>
        <w:pStyle w:val="TOC2"/>
        <w:tabs>
          <w:tab w:val="right" w:leader="dot" w:pos="9350"/>
        </w:tabs>
        <w:spacing w:before="120" w:after="120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71665867" w:history="1">
        <w:r w:rsidR="00423778" w:rsidRPr="00AF2FE7">
          <w:rPr>
            <w:rStyle w:val="Hyperlink"/>
            <w:noProof/>
          </w:rPr>
          <w:t>Quantity vs Time (QVT Override)</w:t>
        </w:r>
      </w:hyperlink>
    </w:p>
    <w:p w14:paraId="5C1D1875" w14:textId="071580A6" w:rsidR="00423778" w:rsidRDefault="00423778" w:rsidP="00C432A9">
      <w:pPr>
        <w:pStyle w:val="TOC2"/>
        <w:tabs>
          <w:tab w:val="right" w:leader="dot" w:pos="9350"/>
        </w:tabs>
        <w:spacing w:before="120" w:after="120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1665868" w:history="1">
        <w:r w:rsidRPr="00AF2FE7">
          <w:rPr>
            <w:rStyle w:val="Hyperlink"/>
            <w:noProof/>
          </w:rPr>
          <w:t>Related Documents</w:t>
        </w:r>
      </w:hyperlink>
    </w:p>
    <w:p w14:paraId="5433AF6D" w14:textId="634032EB" w:rsidR="003543D3" w:rsidRPr="003543D3" w:rsidRDefault="00C444DE" w:rsidP="00E42C4C">
      <w:pPr>
        <w:spacing w:before="120" w:after="120"/>
      </w:pPr>
      <w:r>
        <w:fldChar w:fldCharType="end"/>
      </w:r>
    </w:p>
    <w:p w14:paraId="277CF3C5" w14:textId="3F42CE42" w:rsidR="004D0A29" w:rsidRDefault="004D0A29" w:rsidP="00E42C4C">
      <w:pPr>
        <w:spacing w:before="120" w:after="120"/>
      </w:pPr>
      <w:r w:rsidRPr="75544242">
        <w:rPr>
          <w:b/>
          <w:bCs/>
          <w:color w:val="000000" w:themeColor="text1"/>
        </w:rPr>
        <w:t>Description</w:t>
      </w:r>
      <w:r w:rsidR="008B4E84">
        <w:rPr>
          <w:b/>
          <w:bCs/>
          <w:color w:val="000000" w:themeColor="text1"/>
        </w:rPr>
        <w:t xml:space="preserve">: </w:t>
      </w:r>
      <w:r w:rsidR="00C444DE" w:rsidRPr="75544242">
        <w:rPr>
          <w:color w:val="000000" w:themeColor="text1"/>
        </w:rPr>
        <w:t>A</w:t>
      </w:r>
      <w:r w:rsidRPr="75544242">
        <w:rPr>
          <w:color w:val="000000" w:themeColor="text1"/>
        </w:rPr>
        <w:t>dditional information on how to determine if a QVT override is appropriate vs. a Prior Authorization. It also includes additional steps to take to enter a QVT override.</w:t>
      </w:r>
    </w:p>
    <w:p w14:paraId="4F5969C2" w14:textId="77777777" w:rsidR="004D0A29" w:rsidRDefault="004D0A29" w:rsidP="003543D3">
      <w:pPr>
        <w:spacing w:before="120" w:after="120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76A03" w14:paraId="468FF94C" w14:textId="77777777" w:rsidTr="00B234F8">
        <w:trPr>
          <w:trHeight w:val="96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742A85" w14:textId="46158F6D" w:rsidR="00976A03" w:rsidRDefault="00976A03" w:rsidP="003543D3">
            <w:pPr>
              <w:pStyle w:val="Heading2"/>
              <w:spacing w:before="120" w:after="120" w:line="252" w:lineRule="auto"/>
              <w:ind w:right="312"/>
              <w:rPr>
                <w:i/>
                <w:iCs w:val="0"/>
                <w:sz w:val="36"/>
                <w:szCs w:val="36"/>
              </w:rPr>
            </w:pPr>
            <w:bookmarkStart w:id="1" w:name="_Toc145512209"/>
            <w:bookmarkStart w:id="2" w:name="_Toc145509619"/>
            <w:bookmarkStart w:id="3" w:name="_Toc130815673"/>
            <w:bookmarkStart w:id="4" w:name="_Toc171665867"/>
            <w:r>
              <w:rPr>
                <w:iCs w:val="0"/>
              </w:rPr>
              <w:t>Quantity vs Time (QVT Override)</w:t>
            </w:r>
            <w:bookmarkEnd w:id="1"/>
            <w:bookmarkEnd w:id="2"/>
            <w:bookmarkEnd w:id="3"/>
            <w:bookmarkEnd w:id="4"/>
          </w:p>
        </w:tc>
      </w:tr>
    </w:tbl>
    <w:p w14:paraId="1C5BAF4E" w14:textId="73FC102D" w:rsidR="00976A03" w:rsidRDefault="00976A03" w:rsidP="00C432A9">
      <w:pPr>
        <w:spacing w:before="120" w:after="120"/>
      </w:pPr>
      <w:r>
        <w:t xml:space="preserve">When the member is filling the quantity allowed by the plan, but due to previous fills the system </w:t>
      </w:r>
      <w:r w:rsidR="00A63C24">
        <w:t xml:space="preserve">rejects due to an attempt to fill </w:t>
      </w:r>
      <w:r>
        <w:t xml:space="preserve">more than </w:t>
      </w:r>
      <w:r w:rsidR="00A63C24">
        <w:t>the allowed quantity in a specific period of time,</w:t>
      </w:r>
      <w:r>
        <w:t xml:space="preserve"> a QVT </w:t>
      </w:r>
      <w:r w:rsidR="00A63C24">
        <w:t>Override</w:t>
      </w:r>
      <w:r>
        <w:t xml:space="preserve"> may be able to be added to get them the full supply.</w:t>
      </w:r>
    </w:p>
    <w:p w14:paraId="4288B1E4" w14:textId="77777777" w:rsidR="00A42649" w:rsidRDefault="00A42649" w:rsidP="00E42C4C">
      <w:pPr>
        <w:pStyle w:val="NormalWeb"/>
        <w:spacing w:before="120" w:beforeAutospacing="0" w:after="120" w:afterAutospacing="0"/>
        <w:ind w:right="312"/>
        <w:rPr>
          <w:color w:val="000000"/>
        </w:rPr>
      </w:pPr>
    </w:p>
    <w:p w14:paraId="2B52E005" w14:textId="14390F3D" w:rsidR="004E1D36" w:rsidRPr="00C432A9" w:rsidRDefault="004E1D36" w:rsidP="00C432A9">
      <w:pPr>
        <w:spacing w:before="120" w:after="120"/>
        <w:rPr>
          <w:b/>
          <w:bCs/>
        </w:rPr>
      </w:pPr>
      <w:r w:rsidRPr="00C432A9">
        <w:rPr>
          <w:b/>
          <w:bCs/>
        </w:rPr>
        <w:t>Example of when QVT Override is appropriate</w:t>
      </w:r>
      <w:r w:rsidR="008B4E84" w:rsidRPr="00C432A9">
        <w:rPr>
          <w:b/>
          <w:bCs/>
        </w:rPr>
        <w:t xml:space="preserve">: </w:t>
      </w:r>
    </w:p>
    <w:p w14:paraId="3A50EC71" w14:textId="53E8AD06" w:rsidR="004E1D36" w:rsidRPr="005D7A5F" w:rsidRDefault="004E1D36" w:rsidP="00E42C4C">
      <w:pPr>
        <w:pStyle w:val="ListParagraph"/>
        <w:numPr>
          <w:ilvl w:val="0"/>
          <w:numId w:val="6"/>
        </w:numPr>
        <w:spacing w:before="120" w:after="120"/>
        <w:rPr>
          <w:rFonts w:eastAsiaTheme="minorHAnsi"/>
        </w:rPr>
      </w:pPr>
      <w:r w:rsidRPr="005D7A5F">
        <w:rPr>
          <w:color w:val="000000"/>
        </w:rPr>
        <w:t>Member was getting 30DS at a time at a retail pharmacy and needs a 1-time override to allow them to fill 90DS per plan requirements (MChoice</w:t>
      </w:r>
      <w:r w:rsidR="00B725CD" w:rsidRPr="005D7A5F">
        <w:rPr>
          <w:color w:val="000000"/>
        </w:rPr>
        <w:t xml:space="preserve"> or other Maintenance program</w:t>
      </w:r>
      <w:r w:rsidRPr="005D7A5F">
        <w:rPr>
          <w:color w:val="000000"/>
        </w:rPr>
        <w:t xml:space="preserve">, moving to Mail Order, </w:t>
      </w:r>
      <w:r w:rsidR="005968FD">
        <w:rPr>
          <w:color w:val="000000"/>
        </w:rPr>
        <w:t>etcetera</w:t>
      </w:r>
      <w:r w:rsidRPr="005D7A5F">
        <w:rPr>
          <w:color w:val="000000"/>
        </w:rPr>
        <w:t>).</w:t>
      </w:r>
      <w:r w:rsidRPr="005D7A5F">
        <w:rPr>
          <w:rFonts w:eastAsiaTheme="minorHAnsi"/>
        </w:rPr>
        <w:t xml:space="preserve"> </w:t>
      </w:r>
      <w:r w:rsidR="00C93B21">
        <w:rPr>
          <w:rFonts w:eastAsiaTheme="minorHAnsi"/>
        </w:rPr>
        <w:t>This is u</w:t>
      </w:r>
      <w:r w:rsidR="00FA0110" w:rsidRPr="005D7A5F">
        <w:rPr>
          <w:rFonts w:eastAsiaTheme="minorHAnsi"/>
        </w:rPr>
        <w:t>sed to get the member “back on track.”</w:t>
      </w:r>
    </w:p>
    <w:p w14:paraId="2C245BB2" w14:textId="77777777" w:rsidR="004E1D36" w:rsidRDefault="004E1D36" w:rsidP="00E42C4C">
      <w:pPr>
        <w:pStyle w:val="NormalWeb"/>
        <w:spacing w:before="120" w:beforeAutospacing="0" w:after="120" w:afterAutospacing="0"/>
        <w:ind w:right="312"/>
        <w:rPr>
          <w:color w:val="000000"/>
        </w:rPr>
      </w:pPr>
    </w:p>
    <w:p w14:paraId="3BDAB4D3" w14:textId="627C39C6" w:rsidR="00C93B21" w:rsidRPr="00C432A9" w:rsidRDefault="004E1D36" w:rsidP="00C432A9">
      <w:pPr>
        <w:spacing w:before="120" w:after="120"/>
        <w:rPr>
          <w:b/>
          <w:bCs/>
        </w:rPr>
      </w:pPr>
      <w:r w:rsidRPr="00C432A9">
        <w:rPr>
          <w:b/>
          <w:bCs/>
        </w:rPr>
        <w:t xml:space="preserve">Example of when QVT Override is </w:t>
      </w:r>
      <w:r w:rsidRPr="00C432A9">
        <w:rPr>
          <w:b/>
          <w:bCs/>
          <w:color w:val="FF0000"/>
        </w:rPr>
        <w:t xml:space="preserve">NOT </w:t>
      </w:r>
      <w:r w:rsidRPr="00C432A9">
        <w:rPr>
          <w:b/>
          <w:bCs/>
        </w:rPr>
        <w:t>appropriate</w:t>
      </w:r>
      <w:r w:rsidR="008B4E84" w:rsidRPr="00C432A9">
        <w:rPr>
          <w:b/>
          <w:bCs/>
        </w:rPr>
        <w:t xml:space="preserve">: </w:t>
      </w:r>
    </w:p>
    <w:p w14:paraId="169FB02F" w14:textId="77777777" w:rsidR="009203B9" w:rsidRDefault="004E1D36" w:rsidP="00E42C4C">
      <w:pPr>
        <w:pStyle w:val="NormalWeb"/>
        <w:numPr>
          <w:ilvl w:val="0"/>
          <w:numId w:val="6"/>
        </w:numPr>
        <w:spacing w:before="120" w:beforeAutospacing="0" w:after="120" w:afterAutospacing="0"/>
        <w:ind w:right="312"/>
        <w:rPr>
          <w:b/>
          <w:bCs/>
          <w:color w:val="000000"/>
        </w:rPr>
      </w:pPr>
      <w:r>
        <w:t xml:space="preserve">The member needs to take </w:t>
      </w:r>
      <w:r w:rsidR="000D1C3A">
        <w:t>90 tablets in 90 days</w:t>
      </w:r>
      <w:r>
        <w:t xml:space="preserve">, but the plan only allows </w:t>
      </w:r>
      <w:r w:rsidR="000D1C3A">
        <w:t xml:space="preserve">18 tablets every </w:t>
      </w:r>
      <w:r w:rsidR="000E5ECE">
        <w:t>75</w:t>
      </w:r>
      <w:r w:rsidR="000D1C3A">
        <w:t xml:space="preserve"> days</w:t>
      </w:r>
      <w:r w:rsidR="000E5ECE">
        <w:t xml:space="preserve"> per test claim</w:t>
      </w:r>
      <w:r w:rsidR="00FB54F8">
        <w:t xml:space="preserve">. </w:t>
      </w:r>
      <w:r>
        <w:t>A QVT Override is not appropriate</w:t>
      </w:r>
      <w:r w:rsidR="00FB54F8">
        <w:t>. A</w:t>
      </w:r>
      <w:r>
        <w:t>ssist member with a Prior Authorization.</w:t>
      </w:r>
    </w:p>
    <w:p w14:paraId="4EEC4D7F" w14:textId="4E3B3AD4" w:rsidR="000D55D6" w:rsidRDefault="00000000" w:rsidP="00E42C4C">
      <w:pPr>
        <w:pStyle w:val="NormalWeb"/>
        <w:spacing w:before="120" w:beforeAutospacing="0" w:after="120" w:afterAutospacing="0"/>
        <w:ind w:left="360" w:right="312"/>
      </w:pPr>
      <w:r>
        <w:pict w14:anchorId="201D2414">
          <v:shape id="Picture 2" o:spid="_x0000_i1030" type="#_x0000_t75" style="width:18.75pt;height:16.5pt;visibility:visible;mso-wrap-style:square">
            <v:imagedata r:id="rId11" o:title=""/>
          </v:shape>
        </w:pict>
      </w:r>
      <w:r w:rsidR="008600F0" w:rsidRPr="009203B9">
        <w:rPr>
          <w:color w:val="000000"/>
        </w:rPr>
        <w:t xml:space="preserve"> </w:t>
      </w:r>
      <w:r w:rsidR="008B6290" w:rsidRPr="008B6290">
        <w:t>If</w:t>
      </w:r>
      <w:r w:rsidR="008B6290" w:rsidRPr="009203B9">
        <w:rPr>
          <w:b/>
          <w:bCs/>
        </w:rPr>
        <w:t xml:space="preserve"> </w:t>
      </w:r>
      <w:r w:rsidR="008B6290" w:rsidRPr="008B6290">
        <w:t>the</w:t>
      </w:r>
      <w:r w:rsidR="008B6290">
        <w:t xml:space="preserve"> member needs more than</w:t>
      </w:r>
      <w:r w:rsidR="009203B9">
        <w:t xml:space="preserve"> </w:t>
      </w:r>
      <w:r w:rsidR="008B6290">
        <w:t xml:space="preserve">a </w:t>
      </w:r>
      <w:r w:rsidR="008B6290" w:rsidRPr="009203B9">
        <w:rPr>
          <w:b/>
          <w:bCs/>
        </w:rPr>
        <w:t>1-time override</w:t>
      </w:r>
      <w:r w:rsidR="008B6290">
        <w:t xml:space="preserve"> to get back on track, a QVT Override is </w:t>
      </w:r>
      <w:r w:rsidR="008B6290" w:rsidRPr="009203B9">
        <w:rPr>
          <w:b/>
          <w:bCs/>
        </w:rPr>
        <w:t>NOT</w:t>
      </w:r>
      <w:r w:rsidR="008B6290">
        <w:t xml:space="preserve"> appropriate. Instead, a </w:t>
      </w:r>
      <w:hyperlink r:id="rId12" w:anchor="!/view?docid=657ddfe3-27d1-4a21-8f51-8cbd3961001c" w:history="1">
        <w:r w:rsidR="00D25227" w:rsidRPr="006E40FF">
          <w:rPr>
            <w:rStyle w:val="Hyperlink"/>
          </w:rPr>
          <w:t>Prior</w:t>
        </w:r>
        <w:r w:rsidR="00D25227">
          <w:rPr>
            <w:rStyle w:val="Hyperlink"/>
          </w:rPr>
          <w:t xml:space="preserve"> Au</w:t>
        </w:r>
        <w:r w:rsidR="00D25227">
          <w:rPr>
            <w:rStyle w:val="Hyperlink"/>
          </w:rPr>
          <w:t>t</w:t>
        </w:r>
        <w:r w:rsidR="00D25227">
          <w:rPr>
            <w:rStyle w:val="Hyperlink"/>
          </w:rPr>
          <w:t>horization (063978)</w:t>
        </w:r>
      </w:hyperlink>
      <w:r w:rsidR="008B6290">
        <w:t xml:space="preserve"> is needed. </w:t>
      </w:r>
    </w:p>
    <w:p w14:paraId="2878730B" w14:textId="77777777" w:rsidR="00B234F8" w:rsidRPr="009203B9" w:rsidRDefault="00B234F8" w:rsidP="00E42C4C">
      <w:pPr>
        <w:pStyle w:val="NormalWeb"/>
        <w:spacing w:before="120" w:beforeAutospacing="0" w:after="120" w:afterAutospacing="0"/>
        <w:ind w:right="312"/>
        <w:rPr>
          <w:b/>
          <w:bCs/>
          <w:color w:val="000000"/>
        </w:rPr>
      </w:pPr>
    </w:p>
    <w:p w14:paraId="75A56754" w14:textId="2723503A" w:rsidR="00976A03" w:rsidRDefault="001B2BC6" w:rsidP="00C432A9">
      <w:pPr>
        <w:spacing w:before="120" w:after="120"/>
        <w:rPr>
          <w:sz w:val="27"/>
          <w:szCs w:val="27"/>
        </w:rPr>
      </w:pPr>
      <w:r>
        <w:t>Perform the following steps to process the remaining edits on the PBO</w:t>
      </w:r>
      <w:r w:rsidR="004348AC"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836"/>
      </w:tblGrid>
      <w:tr w:rsidR="00976A03" w14:paraId="1A1F3EDD" w14:textId="77777777" w:rsidTr="00980119"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79EE16" w14:textId="77777777" w:rsidR="00976A03" w:rsidRPr="00B6084D" w:rsidRDefault="00976A03" w:rsidP="00B6084D">
            <w:pPr>
              <w:spacing w:before="120" w:after="120"/>
              <w:jc w:val="center"/>
              <w:rPr>
                <w:b/>
                <w:bCs/>
              </w:rPr>
            </w:pPr>
            <w:r w:rsidRPr="00B6084D">
              <w:rPr>
                <w:b/>
                <w:bCs/>
              </w:rPr>
              <w:t>Step</w:t>
            </w:r>
          </w:p>
        </w:tc>
        <w:tc>
          <w:tcPr>
            <w:tcW w:w="4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1AFA37A" w14:textId="77777777" w:rsidR="00976A03" w:rsidRDefault="00976A03" w:rsidP="003543D3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b/>
                <w:bCs/>
              </w:rPr>
              <w:t>Action</w:t>
            </w:r>
          </w:p>
        </w:tc>
      </w:tr>
      <w:tr w:rsidR="00F7213A" w14:paraId="49569815" w14:textId="77777777" w:rsidTr="00980119"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25787F6" w14:textId="3A3EAEEC" w:rsidR="00F7213A" w:rsidRPr="00B6084D" w:rsidRDefault="00F7213A" w:rsidP="00B6084D">
            <w:pPr>
              <w:spacing w:before="120" w:after="120"/>
              <w:jc w:val="center"/>
              <w:rPr>
                <w:b/>
                <w:bCs/>
              </w:rPr>
            </w:pPr>
            <w:r w:rsidRPr="00B6084D">
              <w:rPr>
                <w:b/>
                <w:bCs/>
              </w:rPr>
              <w:t>1</w:t>
            </w:r>
          </w:p>
        </w:tc>
        <w:tc>
          <w:tcPr>
            <w:tcW w:w="4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3D8BF67" w14:textId="33AD6E71" w:rsidR="00AB6B47" w:rsidRDefault="007C3447" w:rsidP="00C432A9">
            <w:pPr>
              <w:spacing w:before="120" w:after="120"/>
            </w:pPr>
            <w:r>
              <w:t>Verify if an override has</w:t>
            </w:r>
            <w:r w:rsidR="00E41BA6">
              <w:t xml:space="preserve"> already</w:t>
            </w:r>
            <w:r>
              <w:t xml:space="preserve"> been entered</w:t>
            </w:r>
            <w:r w:rsidR="00E41BA6">
              <w:t xml:space="preserve"> on the account for the medication in question. </w:t>
            </w:r>
            <w:r>
              <w:t xml:space="preserve"> </w:t>
            </w:r>
          </w:p>
          <w:p w14:paraId="475B9F50" w14:textId="77777777" w:rsidR="00AB6B47" w:rsidRDefault="00AB6B47" w:rsidP="00E42C4C">
            <w:pPr>
              <w:pStyle w:val="NormalWeb"/>
              <w:spacing w:before="120" w:beforeAutospacing="0" w:after="120" w:afterAutospacing="0"/>
              <w:ind w:right="312"/>
              <w:rPr>
                <w:color w:val="000000"/>
              </w:rPr>
            </w:pPr>
          </w:p>
          <w:p w14:paraId="7E5E3393" w14:textId="77777777" w:rsidR="00A66052" w:rsidRDefault="007C3447" w:rsidP="00E42C4C">
            <w:pPr>
              <w:pStyle w:val="NormalWeb"/>
              <w:numPr>
                <w:ilvl w:val="0"/>
                <w:numId w:val="11"/>
              </w:numPr>
              <w:spacing w:before="120" w:beforeAutospacing="0" w:after="120" w:afterAutospacing="0"/>
              <w:ind w:right="312"/>
            </w:pPr>
            <w:r>
              <w:rPr>
                <w:color w:val="000000"/>
              </w:rPr>
              <w:t xml:space="preserve">If an override </w:t>
            </w:r>
            <w:r w:rsidR="001C07E1">
              <w:rPr>
                <w:color w:val="000000"/>
              </w:rPr>
              <w:t>has been entered</w:t>
            </w:r>
            <w:r w:rsidR="00F97FAA">
              <w:rPr>
                <w:color w:val="000000"/>
              </w:rPr>
              <w:t>,</w:t>
            </w:r>
            <w:r w:rsidR="001C07E1">
              <w:rPr>
                <w:color w:val="000000"/>
              </w:rPr>
              <w:t xml:space="preserve"> </w:t>
            </w:r>
            <w:r w:rsidR="00EE0CEA">
              <w:rPr>
                <w:color w:val="000000"/>
              </w:rPr>
              <w:t>continue</w:t>
            </w:r>
            <w:r w:rsidR="001C07E1">
              <w:rPr>
                <w:color w:val="000000"/>
              </w:rPr>
              <w:t xml:space="preserve"> to </w:t>
            </w:r>
            <w:r w:rsidR="00F97FAA">
              <w:rPr>
                <w:color w:val="000000"/>
              </w:rPr>
              <w:t>S</w:t>
            </w:r>
            <w:r w:rsidR="001C07E1">
              <w:rPr>
                <w:color w:val="000000"/>
              </w:rPr>
              <w:t xml:space="preserve">tep 2. </w:t>
            </w:r>
            <w:r w:rsidR="00D2579F">
              <w:t xml:space="preserve"> </w:t>
            </w:r>
          </w:p>
          <w:p w14:paraId="3C771FE6" w14:textId="77777777" w:rsidR="00A66052" w:rsidRDefault="001C07E1" w:rsidP="00E42C4C">
            <w:pPr>
              <w:pStyle w:val="NormalWeb"/>
              <w:numPr>
                <w:ilvl w:val="0"/>
                <w:numId w:val="11"/>
              </w:numPr>
              <w:spacing w:before="120" w:beforeAutospacing="0" w:after="120" w:afterAutospacing="0"/>
              <w:ind w:right="312"/>
            </w:pPr>
            <w:r>
              <w:t xml:space="preserve">If an override has </w:t>
            </w:r>
            <w:r w:rsidR="00AB6B47">
              <w:t>not</w:t>
            </w:r>
            <w:r>
              <w:t xml:space="preserve"> been entered</w:t>
            </w:r>
            <w:r w:rsidR="00F97FAA">
              <w:t>, r</w:t>
            </w:r>
            <w:r w:rsidR="00AB6B47" w:rsidRPr="00D2579F">
              <w:t xml:space="preserve">efer to the </w:t>
            </w:r>
            <w:r w:rsidR="00C210E6" w:rsidRPr="00D2579F">
              <w:t xml:space="preserve">appropriate </w:t>
            </w:r>
            <w:r w:rsidR="00424F32">
              <w:t>o</w:t>
            </w:r>
            <w:r w:rsidR="00AB6B47" w:rsidRPr="00D2579F">
              <w:t xml:space="preserve">verride process </w:t>
            </w:r>
            <w:hyperlink r:id="rId13" w:anchor="!/view?docid=c603121d-bba5-4ec2-97ab-5b047f1c3ab1" w:history="1">
              <w:r w:rsidR="00AB6B47" w:rsidRPr="00D2579F">
                <w:rPr>
                  <w:rStyle w:val="Hyperlink"/>
                </w:rPr>
                <w:t>Retail (0</w:t>
              </w:r>
              <w:r w:rsidR="00AB6B47" w:rsidRPr="00D2579F">
                <w:rPr>
                  <w:rStyle w:val="Hyperlink"/>
                </w:rPr>
                <w:t>6</w:t>
              </w:r>
              <w:r w:rsidR="00AB6B47" w:rsidRPr="00D2579F">
                <w:rPr>
                  <w:rStyle w:val="Hyperlink"/>
                </w:rPr>
                <w:t>1703)</w:t>
              </w:r>
            </w:hyperlink>
            <w:r w:rsidR="00AB6B47" w:rsidRPr="00D2579F">
              <w:t xml:space="preserve"> or </w:t>
            </w:r>
            <w:hyperlink r:id="rId14" w:anchor="!/view?docid=f90d2d18-98d1-4ba4-b8c1-9138922c065d" w:history="1">
              <w:r w:rsidR="00AB6B47" w:rsidRPr="00D2579F">
                <w:rPr>
                  <w:rStyle w:val="Hyperlink"/>
                </w:rPr>
                <w:t>Mail Ord</w:t>
              </w:r>
              <w:r w:rsidR="00AB6B47" w:rsidRPr="00D2579F">
                <w:rPr>
                  <w:rStyle w:val="Hyperlink"/>
                </w:rPr>
                <w:t>e</w:t>
              </w:r>
              <w:r w:rsidR="00AB6B47" w:rsidRPr="00D2579F">
                <w:rPr>
                  <w:rStyle w:val="Hyperlink"/>
                </w:rPr>
                <w:t>r (061702)</w:t>
              </w:r>
            </w:hyperlink>
            <w:r w:rsidR="003A1B12">
              <w:t xml:space="preserve"> to enter the override</w:t>
            </w:r>
            <w:r w:rsidR="0000544A">
              <w:t>.</w:t>
            </w:r>
          </w:p>
          <w:p w14:paraId="3307B279" w14:textId="6733775D" w:rsidR="00F7213A" w:rsidRPr="00884868" w:rsidRDefault="00C210E6" w:rsidP="00E42C4C">
            <w:pPr>
              <w:pStyle w:val="NormalWeb"/>
              <w:numPr>
                <w:ilvl w:val="1"/>
                <w:numId w:val="6"/>
              </w:numPr>
              <w:spacing w:before="120" w:beforeAutospacing="0" w:after="120" w:afterAutospacing="0"/>
              <w:ind w:right="312"/>
            </w:pPr>
            <w:r>
              <w:t>T</w:t>
            </w:r>
            <w:r w:rsidR="00EE0CEA">
              <w:t xml:space="preserve">hen continue to </w:t>
            </w:r>
            <w:r w:rsidR="00A66052">
              <w:t>S</w:t>
            </w:r>
            <w:r w:rsidR="00EE0CEA">
              <w:t xml:space="preserve">tep 2. </w:t>
            </w:r>
          </w:p>
        </w:tc>
      </w:tr>
      <w:tr w:rsidR="00976A03" w14:paraId="66080CC2" w14:textId="77777777" w:rsidTr="00980119"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BB58F6" w14:textId="188650B4" w:rsidR="00976A03" w:rsidRPr="00B6084D" w:rsidRDefault="00065831" w:rsidP="00B6084D">
            <w:pPr>
              <w:spacing w:before="120" w:after="120"/>
              <w:jc w:val="center"/>
              <w:rPr>
                <w:b/>
                <w:bCs/>
              </w:rPr>
            </w:pPr>
            <w:r w:rsidRPr="00B6084D">
              <w:rPr>
                <w:b/>
                <w:bCs/>
              </w:rPr>
              <w:t>2</w:t>
            </w:r>
          </w:p>
        </w:tc>
        <w:tc>
          <w:tcPr>
            <w:tcW w:w="4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99B0A3B" w14:textId="507F5DBA" w:rsidR="00976A03" w:rsidRDefault="00976A03" w:rsidP="00C432A9">
            <w:pPr>
              <w:spacing w:before="120" w:after="120"/>
            </w:pPr>
            <w:r>
              <w:t>Locate</w:t>
            </w:r>
            <w:r w:rsidR="00065831">
              <w:t xml:space="preserve"> the override in the </w:t>
            </w:r>
            <w:r w:rsidR="00065831">
              <w:rPr>
                <w:b/>
                <w:bCs/>
              </w:rPr>
              <w:t>Override/PA History</w:t>
            </w:r>
            <w:r w:rsidR="00065831">
              <w:t xml:space="preserve"> </w:t>
            </w:r>
            <w:r w:rsidR="00A665F9">
              <w:t>screen and</w:t>
            </w:r>
            <w:r>
              <w:t xml:space="preserve"> click the override </w:t>
            </w:r>
            <w:r>
              <w:rPr>
                <w:b/>
                <w:bCs/>
              </w:rPr>
              <w:t>ID</w:t>
            </w:r>
            <w:r>
              <w:t xml:space="preserve"> </w:t>
            </w:r>
            <w:r w:rsidR="00065831">
              <w:t>to edit the details.</w:t>
            </w:r>
          </w:p>
          <w:p w14:paraId="0EACFDA2" w14:textId="77777777" w:rsidR="001A213B" w:rsidRDefault="001A213B" w:rsidP="003543D3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0BE44DA8" w14:textId="6C057203" w:rsidR="00976A03" w:rsidRDefault="00976A03" w:rsidP="003543D3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2050E906" wp14:editId="189A218A">
                  <wp:extent cx="9334500" cy="2228850"/>
                  <wp:effectExtent l="19050" t="19050" r="19050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0" cy="22288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75F123C" w14:textId="77777777" w:rsidR="001A213B" w:rsidRDefault="001A213B" w:rsidP="003543D3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</w:p>
          <w:p w14:paraId="6E2D9708" w14:textId="5A7123CE" w:rsidR="00976A03" w:rsidRDefault="00976A03" w:rsidP="00C432A9">
            <w:pPr>
              <w:spacing w:before="120" w:after="120"/>
            </w:pPr>
            <w:r>
              <w:rPr>
                <w:b/>
                <w:bCs/>
              </w:rPr>
              <w:t>Result</w:t>
            </w:r>
            <w:r w:rsidR="008B4E84">
              <w:rPr>
                <w:b/>
                <w:bCs/>
              </w:rPr>
              <w:t xml:space="preserve">: </w:t>
            </w:r>
            <w:r w:rsidR="001A213B">
              <w:t xml:space="preserve">The </w:t>
            </w:r>
            <w:r>
              <w:t>Override Details screen displays.</w:t>
            </w:r>
          </w:p>
        </w:tc>
      </w:tr>
      <w:tr w:rsidR="00976A03" w14:paraId="41EC6006" w14:textId="77777777" w:rsidTr="00980119">
        <w:trPr>
          <w:trHeight w:val="4467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DE5C3F" w14:textId="269E9E6F" w:rsidR="00976A03" w:rsidRPr="00B6084D" w:rsidRDefault="00A665F9" w:rsidP="00B6084D">
            <w:pPr>
              <w:spacing w:before="120" w:after="120"/>
              <w:jc w:val="center"/>
              <w:rPr>
                <w:b/>
                <w:bCs/>
              </w:rPr>
            </w:pPr>
            <w:r w:rsidRPr="00B6084D">
              <w:rPr>
                <w:b/>
                <w:bCs/>
              </w:rPr>
              <w:t>3</w:t>
            </w:r>
          </w:p>
        </w:tc>
        <w:tc>
          <w:tcPr>
            <w:tcW w:w="4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3582863" w14:textId="501A3699" w:rsidR="00976A03" w:rsidRDefault="00976A03" w:rsidP="00C432A9">
            <w:pPr>
              <w:spacing w:before="120" w:after="120"/>
            </w:pPr>
            <w:r>
              <w:t xml:space="preserve">Navigate to the </w:t>
            </w:r>
            <w:r>
              <w:rPr>
                <w:b/>
                <w:bCs/>
              </w:rPr>
              <w:t>Requires Special Handling</w:t>
            </w:r>
            <w:r>
              <w:t xml:space="preserve"> section and click the </w:t>
            </w:r>
            <w:r>
              <w:rPr>
                <w:b/>
                <w:bCs/>
              </w:rPr>
              <w:t>Range Data</w:t>
            </w:r>
            <w:r>
              <w:t xml:space="preserve"> tab.</w:t>
            </w:r>
          </w:p>
          <w:p w14:paraId="593222F6" w14:textId="77777777" w:rsidR="001A213B" w:rsidRDefault="001A213B" w:rsidP="003543D3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134C9267" w14:textId="77777777" w:rsidR="00976A03" w:rsidRDefault="00976A03" w:rsidP="001A213B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5B0842DA" wp14:editId="038897F1">
                  <wp:extent cx="9633250" cy="2505075"/>
                  <wp:effectExtent l="19050" t="19050" r="2540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5225" cy="250558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F790CC9" w14:textId="67A3D5C3" w:rsidR="00DA6EEA" w:rsidRDefault="00DA6EEA" w:rsidP="00DA6EEA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</w:tc>
      </w:tr>
      <w:tr w:rsidR="009201EE" w14:paraId="7DC4DCC4" w14:textId="77777777" w:rsidTr="00980119"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7B6CDF5" w14:textId="045657FF" w:rsidR="009201EE" w:rsidRPr="00B6084D" w:rsidRDefault="009201EE" w:rsidP="00B6084D">
            <w:pPr>
              <w:spacing w:before="120" w:after="120"/>
              <w:jc w:val="center"/>
              <w:rPr>
                <w:b/>
                <w:bCs/>
              </w:rPr>
            </w:pPr>
            <w:r w:rsidRPr="00B6084D">
              <w:rPr>
                <w:b/>
                <w:bCs/>
              </w:rPr>
              <w:t>4</w:t>
            </w:r>
          </w:p>
        </w:tc>
        <w:tc>
          <w:tcPr>
            <w:tcW w:w="4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BA56E68" w14:textId="77777777" w:rsidR="009201EE" w:rsidRDefault="009201EE" w:rsidP="00C432A9">
            <w:pPr>
              <w:spacing w:before="120" w:after="120"/>
            </w:pPr>
            <w:r>
              <w:t>Enter the Drug Quantity that the member is currently trying to fill on the </w:t>
            </w:r>
            <w:r>
              <w:rPr>
                <w:b/>
                <w:bCs/>
              </w:rPr>
              <w:t>Maximum</w:t>
            </w:r>
            <w:r>
              <w:t> line.</w:t>
            </w:r>
          </w:p>
          <w:p w14:paraId="581C5186" w14:textId="08B60B65" w:rsidR="006C12CD" w:rsidRDefault="006C12CD" w:rsidP="00C432A9">
            <w:pPr>
              <w:pStyle w:val="NormalWeb"/>
              <w:spacing w:before="120" w:beforeAutospacing="0" w:after="120" w:afterAutospacing="0" w:line="252" w:lineRule="auto"/>
              <w:ind w:left="720" w:right="312"/>
              <w:rPr>
                <w:color w:val="000000"/>
              </w:rPr>
            </w:pPr>
          </w:p>
          <w:p w14:paraId="1A4B489A" w14:textId="77777777" w:rsidR="009C3617" w:rsidRDefault="009C3617" w:rsidP="006C12CD">
            <w:pPr>
              <w:pStyle w:val="NormalWeb"/>
              <w:spacing w:before="120" w:beforeAutospacing="0" w:after="120" w:afterAutospacing="0" w:line="252" w:lineRule="auto"/>
              <w:ind w:right="312"/>
              <w:rPr>
                <w:color w:val="000000"/>
              </w:rPr>
            </w:pPr>
          </w:p>
          <w:p w14:paraId="3EE0AE66" w14:textId="36BDCC18" w:rsidR="009201EE" w:rsidRDefault="000C1944" w:rsidP="003543D3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2A4B8FD5" wp14:editId="01018BCC">
                  <wp:extent cx="9761905" cy="2457143"/>
                  <wp:effectExtent l="19050" t="19050" r="10795" b="196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1905" cy="24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08056B" w14:textId="77777777" w:rsidR="009201EE" w:rsidRDefault="009201EE" w:rsidP="003543D3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</w:tc>
      </w:tr>
      <w:tr w:rsidR="00976A03" w14:paraId="6F80DEF5" w14:textId="77777777" w:rsidTr="00980119"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42C9A54" w14:textId="00F50F49" w:rsidR="00976A03" w:rsidRPr="00B6084D" w:rsidRDefault="00574C53" w:rsidP="00B6084D">
            <w:pPr>
              <w:spacing w:before="120" w:after="120"/>
              <w:jc w:val="center"/>
              <w:rPr>
                <w:b/>
                <w:bCs/>
              </w:rPr>
            </w:pPr>
            <w:r w:rsidRPr="00B6084D">
              <w:rPr>
                <w:b/>
                <w:bCs/>
              </w:rPr>
              <w:t>5</w:t>
            </w:r>
          </w:p>
        </w:tc>
        <w:tc>
          <w:tcPr>
            <w:tcW w:w="4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8D67F7B" w14:textId="20C171F7" w:rsidR="00574C53" w:rsidRDefault="00574C53" w:rsidP="00423778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52" w:lineRule="auto"/>
              <w:ind w:right="312"/>
            </w:pPr>
            <w:r>
              <w:t xml:space="preserve">Click the </w:t>
            </w:r>
            <w:r>
              <w:rPr>
                <w:b/>
                <w:bCs/>
              </w:rPr>
              <w:t>Drug Limitations</w:t>
            </w:r>
            <w:r>
              <w:t xml:space="preserve"> tab.</w:t>
            </w:r>
            <w:r>
              <w:br/>
            </w:r>
            <w:r>
              <w:rPr>
                <w:b/>
                <w:bCs/>
              </w:rPr>
              <w:t>Result</w:t>
            </w:r>
            <w:r w:rsidR="008B4E84">
              <w:rPr>
                <w:b/>
                <w:bCs/>
              </w:rPr>
              <w:t xml:space="preserve">: </w:t>
            </w:r>
            <w:r w:rsidR="00696A70">
              <w:t xml:space="preserve">The </w:t>
            </w:r>
            <w:r>
              <w:t>Drug Limitations screen displays.</w:t>
            </w:r>
          </w:p>
          <w:p w14:paraId="2EAECF0F" w14:textId="77777777" w:rsidR="00060292" w:rsidRDefault="00060292" w:rsidP="003543D3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135DF107" w14:textId="47EF55D4" w:rsidR="00060292" w:rsidRDefault="00976A03" w:rsidP="00060292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52" w:lineRule="auto"/>
              <w:ind w:right="312"/>
            </w:pPr>
            <w:r>
              <w:t>In the Drug Limitations screen</w:t>
            </w:r>
            <w:r w:rsidR="005B0105">
              <w:t>,</w:t>
            </w:r>
            <w:r>
              <w:t xml:space="preserve"> complete the following information in the quantity field</w:t>
            </w:r>
            <w:r w:rsidR="00060292">
              <w:t>:</w:t>
            </w:r>
          </w:p>
          <w:p w14:paraId="755ACF62" w14:textId="23D2CA06" w:rsidR="00060292" w:rsidRDefault="00976A03" w:rsidP="00060292">
            <w:pPr>
              <w:pStyle w:val="NormalWeb"/>
              <w:numPr>
                <w:ilvl w:val="1"/>
                <w:numId w:val="6"/>
              </w:numPr>
              <w:spacing w:before="120" w:beforeAutospacing="0" w:after="120" w:afterAutospacing="0" w:line="252" w:lineRule="auto"/>
              <w:ind w:right="312"/>
            </w:pPr>
            <w:r w:rsidRPr="00060292">
              <w:rPr>
                <w:b/>
                <w:bCs/>
              </w:rPr>
              <w:t>Type</w:t>
            </w:r>
            <w:r w:rsidR="008B4E84">
              <w:rPr>
                <w:b/>
                <w:bCs/>
              </w:rPr>
              <w:t xml:space="preserve">: </w:t>
            </w:r>
            <w:r>
              <w:t>Select D-Specified Days</w:t>
            </w:r>
            <w:r w:rsidR="00C047C1">
              <w:t>.</w:t>
            </w:r>
          </w:p>
          <w:p w14:paraId="2A39E8BF" w14:textId="4ADFE50D" w:rsidR="00976A03" w:rsidRPr="00423778" w:rsidRDefault="00976A03" w:rsidP="00060292">
            <w:pPr>
              <w:pStyle w:val="NormalWeb"/>
              <w:numPr>
                <w:ilvl w:val="1"/>
                <w:numId w:val="6"/>
              </w:numPr>
              <w:spacing w:before="120" w:beforeAutospacing="0" w:after="120" w:afterAutospacing="0" w:line="252" w:lineRule="auto"/>
              <w:ind w:right="312"/>
            </w:pPr>
            <w:r w:rsidRPr="00060292">
              <w:rPr>
                <w:b/>
                <w:bCs/>
              </w:rPr>
              <w:t>Days</w:t>
            </w:r>
            <w:r w:rsidR="008B4E84">
              <w:rPr>
                <w:b/>
                <w:bCs/>
              </w:rPr>
              <w:t xml:space="preserve">: </w:t>
            </w:r>
            <w:r w:rsidRPr="00060292">
              <w:rPr>
                <w:color w:val="000000"/>
              </w:rPr>
              <w:t xml:space="preserve">Number of days that the plan looks back for utilization. This is usually 25 or 75 days and can </w:t>
            </w:r>
            <w:proofErr w:type="gramStart"/>
            <w:r w:rsidRPr="00060292">
              <w:rPr>
                <w:color w:val="000000"/>
              </w:rPr>
              <w:t>be verified</w:t>
            </w:r>
            <w:proofErr w:type="gramEnd"/>
            <w:r w:rsidRPr="00060292">
              <w:rPr>
                <w:color w:val="000000"/>
              </w:rPr>
              <w:t xml:space="preserve"> by the Rejection Settlement description.</w:t>
            </w:r>
          </w:p>
          <w:p w14:paraId="5FEEF9D5" w14:textId="77777777" w:rsidR="00C047C1" w:rsidRDefault="006E40FF" w:rsidP="00060292">
            <w:pPr>
              <w:pStyle w:val="NormalWeb"/>
              <w:numPr>
                <w:ilvl w:val="1"/>
                <w:numId w:val="6"/>
              </w:numPr>
              <w:spacing w:before="120" w:beforeAutospacing="0" w:after="120" w:afterAutospacing="0" w:line="252" w:lineRule="auto"/>
              <w:ind w:right="312"/>
            </w:pPr>
            <w:r>
              <w:rPr>
                <w:b/>
                <w:bCs/>
              </w:rPr>
              <w:t xml:space="preserve"> </w:t>
            </w:r>
            <w:r w:rsidR="003A0DA2">
              <w:rPr>
                <w:b/>
                <w:bCs/>
              </w:rPr>
              <w:t>Maximum</w:t>
            </w:r>
            <w:r w:rsidR="008B4E84">
              <w:rPr>
                <w:b/>
                <w:bCs/>
              </w:rPr>
              <w:t xml:space="preserve">: </w:t>
            </w:r>
            <w:r w:rsidR="00684AD4" w:rsidRPr="00684AD4">
              <w:t xml:space="preserve">Quantity that the member is filling today </w:t>
            </w:r>
            <w:r w:rsidR="00684AD4" w:rsidRPr="00684AD4">
              <w:rPr>
                <w:b/>
                <w:bCs/>
              </w:rPr>
              <w:t>plus</w:t>
            </w:r>
            <w:r w:rsidR="00684AD4" w:rsidRPr="00684AD4">
              <w:t xml:space="preserve"> the quantity that the member has filled during the look back period.</w:t>
            </w:r>
          </w:p>
          <w:p w14:paraId="7C014958" w14:textId="00AF4B78" w:rsidR="00684AD4" w:rsidRPr="00C432A9" w:rsidRDefault="00684AD4" w:rsidP="00C432A9">
            <w:pPr>
              <w:pStyle w:val="NormalWeb"/>
              <w:spacing w:before="120" w:beforeAutospacing="0" w:after="120" w:afterAutospacing="0" w:line="252" w:lineRule="auto"/>
              <w:ind w:left="1440" w:right="312"/>
              <w:rPr>
                <w:rStyle w:val="Hyperlink"/>
                <w:color w:val="auto"/>
                <w:u w:val="none"/>
              </w:rPr>
            </w:pPr>
            <w:r w:rsidRPr="00684AD4">
              <w:br/>
            </w:r>
            <w:r w:rsidR="006E40FF">
              <w:t xml:space="preserve"> </w:t>
            </w:r>
            <w:r w:rsidRPr="00684AD4">
              <w:rPr>
                <w:b/>
                <w:bCs/>
              </w:rPr>
              <w:t>Example</w:t>
            </w:r>
            <w:r w:rsidR="008B4E84">
              <w:rPr>
                <w:b/>
                <w:bCs/>
              </w:rPr>
              <w:t xml:space="preserve">: </w:t>
            </w:r>
            <w:r w:rsidRPr="00684AD4">
              <w:t xml:space="preserve">Plan allows 18 tablets every 75 </w:t>
            </w:r>
            <w:proofErr w:type="gramStart"/>
            <w:r w:rsidRPr="00684AD4">
              <w:t>days,</w:t>
            </w:r>
            <w:proofErr w:type="gramEnd"/>
            <w:r w:rsidRPr="00684AD4">
              <w:t xml:space="preserve"> </w:t>
            </w:r>
            <w:proofErr w:type="gramStart"/>
            <w:r w:rsidRPr="00684AD4">
              <w:t>member has</w:t>
            </w:r>
            <w:proofErr w:type="gramEnd"/>
            <w:r w:rsidRPr="00684AD4">
              <w:t xml:space="preserve"> already received 12 tablets in the current 75-day period. Enter 30 (18+12= 30).</w:t>
            </w:r>
            <w:r>
              <w:t xml:space="preserve"> </w:t>
            </w:r>
            <w:r w:rsidR="00C075CB">
              <w:rPr>
                <w:color w:val="000000"/>
              </w:rPr>
              <w:t xml:space="preserve">If the member needs more, refer to </w:t>
            </w:r>
            <w:hyperlink r:id="rId18" w:anchor="!/view?docid=657ddfe3-27d1-4a21-8f51-8cbd3961001c" w:tgtFrame="_blank" w:history="1">
              <w:r w:rsidR="00C075CB">
                <w:rPr>
                  <w:rStyle w:val="Hyperlink"/>
                </w:rPr>
                <w:t>Prior Authorization, Exceptions, App</w:t>
              </w:r>
              <w:r w:rsidR="00C075CB">
                <w:rPr>
                  <w:rStyle w:val="Hyperlink"/>
                </w:rPr>
                <w:t>e</w:t>
              </w:r>
              <w:r w:rsidR="00C075CB">
                <w:rPr>
                  <w:rStyle w:val="Hyperlink"/>
                </w:rPr>
                <w:t>als Guide (063978)</w:t>
              </w:r>
            </w:hyperlink>
            <w:r w:rsidR="00894D38">
              <w:rPr>
                <w:rStyle w:val="Hyperlink"/>
              </w:rPr>
              <w:t xml:space="preserve">. </w:t>
            </w:r>
          </w:p>
          <w:p w14:paraId="7C3888B5" w14:textId="3C31DF98" w:rsidR="00980119" w:rsidRDefault="00914FCD" w:rsidP="00C432A9">
            <w:pPr>
              <w:pStyle w:val="NormalWeb"/>
              <w:numPr>
                <w:ilvl w:val="2"/>
                <w:numId w:val="6"/>
              </w:numPr>
              <w:spacing w:before="120" w:beforeAutospacing="0" w:after="120" w:afterAutospacing="0" w:line="252" w:lineRule="auto"/>
              <w:ind w:left="1440" w:right="312"/>
            </w:pPr>
            <w:r>
              <w:rPr>
                <w:noProof/>
              </w:rPr>
              <w:drawing>
                <wp:inline distT="0" distB="0" distL="0" distR="0" wp14:anchorId="605BA94D" wp14:editId="235E1617">
                  <wp:extent cx="304762" cy="304762"/>
                  <wp:effectExtent l="0" t="0" r="635" b="635"/>
                  <wp:docPr id="89808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08097" name="Picture 8980809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0119" w:rsidRPr="00980119">
              <w:t>For assistance on calculating QVT date ranges, you can also use the MS Windows Calculator app. Refer to </w:t>
            </w:r>
            <w:hyperlink r:id="rId20" w:anchor="!/view?docid=88d0ab80-9987-4daa-a124-bb82a8d5b933" w:tgtFrame="_blank" w:history="1">
              <w:r w:rsidR="00980119" w:rsidRPr="00980119">
                <w:rPr>
                  <w:rStyle w:val="Hyperlink"/>
                </w:rPr>
                <w:t>QVT Calc</w:t>
              </w:r>
              <w:r w:rsidR="00980119" w:rsidRPr="00980119">
                <w:rPr>
                  <w:rStyle w:val="Hyperlink"/>
                </w:rPr>
                <w:t>u</w:t>
              </w:r>
              <w:r w:rsidR="00980119" w:rsidRPr="00980119">
                <w:rPr>
                  <w:rStyle w:val="Hyperlink"/>
                </w:rPr>
                <w:t>lator (002979)</w:t>
              </w:r>
            </w:hyperlink>
            <w:r w:rsidR="00980119" w:rsidRPr="00980119">
              <w:t>.</w:t>
            </w:r>
          </w:p>
          <w:p w14:paraId="198F967D" w14:textId="77777777" w:rsidR="00060292" w:rsidRPr="00060292" w:rsidRDefault="00060292" w:rsidP="00423778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564866EF" w14:textId="6FD9088A" w:rsidR="00976A03" w:rsidRDefault="00466AC3" w:rsidP="003543D3">
            <w:pPr>
              <w:pStyle w:val="NormalWeb"/>
              <w:spacing w:before="120" w:beforeAutospacing="0" w:after="120" w:afterAutospacing="0" w:line="252" w:lineRule="auto"/>
              <w:ind w:left="1440" w:right="312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4299A9A" wp14:editId="02FD6B8A">
                  <wp:extent cx="9742857" cy="2904762"/>
                  <wp:effectExtent l="19050" t="19050" r="10795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2857" cy="290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8F3F6D" w14:textId="5978CA73" w:rsidR="00976A03" w:rsidRDefault="007507BD" w:rsidP="003543D3">
            <w:pPr>
              <w:pStyle w:val="NormalWeb"/>
              <w:spacing w:before="120" w:beforeAutospacing="0" w:after="120" w:afterAutospacing="0" w:line="252" w:lineRule="auto"/>
              <w:ind w:right="312"/>
              <w:rPr>
                <w:b/>
                <w:bCs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976A03" w14:paraId="181F92B1" w14:textId="77777777" w:rsidTr="00980119"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F65D35" w14:textId="42F5F517" w:rsidR="00976A03" w:rsidRPr="00B6084D" w:rsidRDefault="00F87147" w:rsidP="00B6084D">
            <w:pPr>
              <w:spacing w:before="120" w:after="120"/>
              <w:jc w:val="center"/>
              <w:rPr>
                <w:b/>
                <w:bCs/>
              </w:rPr>
            </w:pPr>
            <w:r w:rsidRPr="00B6084D">
              <w:rPr>
                <w:b/>
                <w:bCs/>
              </w:rPr>
              <w:t>6</w:t>
            </w:r>
          </w:p>
        </w:tc>
        <w:tc>
          <w:tcPr>
            <w:tcW w:w="4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62978A" w14:textId="77777777" w:rsidR="00976A03" w:rsidRDefault="00976A03" w:rsidP="00C432A9">
            <w:pPr>
              <w:spacing w:before="120" w:after="120"/>
            </w:pPr>
            <w:r>
              <w:t xml:space="preserve">Click </w:t>
            </w:r>
            <w:r>
              <w:rPr>
                <w:b/>
                <w:bCs/>
              </w:rPr>
              <w:t>Save Changes</w:t>
            </w:r>
            <w:r>
              <w:t xml:space="preserve"> at the top of the Override Details screen.</w:t>
            </w:r>
          </w:p>
          <w:p w14:paraId="745C6870" w14:textId="04520596" w:rsidR="00976A03" w:rsidRDefault="00976A03" w:rsidP="00C432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  <w:r w:rsidR="008B4E84">
              <w:rPr>
                <w:b/>
                <w:bCs/>
              </w:rPr>
              <w:t xml:space="preserve">: </w:t>
            </w:r>
            <w:r>
              <w:t>Reason for Editing pop up appears.</w:t>
            </w:r>
          </w:p>
        </w:tc>
      </w:tr>
      <w:tr w:rsidR="00976A03" w14:paraId="1645D5FA" w14:textId="77777777" w:rsidTr="00980119"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E4B4979" w14:textId="4FC1FA47" w:rsidR="00976A03" w:rsidRPr="00B6084D" w:rsidRDefault="00F87147" w:rsidP="00B6084D">
            <w:pPr>
              <w:spacing w:before="120" w:after="120"/>
              <w:jc w:val="center"/>
              <w:rPr>
                <w:b/>
                <w:bCs/>
              </w:rPr>
            </w:pPr>
            <w:r w:rsidRPr="00B6084D">
              <w:rPr>
                <w:b/>
                <w:bCs/>
              </w:rPr>
              <w:t>7</w:t>
            </w:r>
          </w:p>
        </w:tc>
        <w:tc>
          <w:tcPr>
            <w:tcW w:w="4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4E7122" w14:textId="0DB1FC0C" w:rsidR="00976A03" w:rsidRDefault="006F504F" w:rsidP="00E42C4C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 w:line="252" w:lineRule="auto"/>
              <w:ind w:right="312"/>
            </w:pPr>
            <w:r>
              <w:t>S</w:t>
            </w:r>
            <w:r w:rsidR="00976A03">
              <w:t>elect the appropriate reason for editing</w:t>
            </w:r>
            <w:r>
              <w:t xml:space="preserve"> in the </w:t>
            </w:r>
            <w:r>
              <w:rPr>
                <w:b/>
                <w:bCs/>
              </w:rPr>
              <w:t>Select a reason for editing the override</w:t>
            </w:r>
            <w:r>
              <w:t xml:space="preserve"> dropdown.</w:t>
            </w:r>
          </w:p>
          <w:p w14:paraId="43BE0E54" w14:textId="77777777" w:rsidR="00976A03" w:rsidRDefault="00976A03" w:rsidP="00E42C4C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 w:line="252" w:lineRule="auto"/>
              <w:ind w:right="312"/>
            </w:pPr>
            <w:r>
              <w:t xml:space="preserve">Click </w:t>
            </w:r>
            <w:r>
              <w:rPr>
                <w:b/>
                <w:bCs/>
              </w:rPr>
              <w:t>Save Change</w:t>
            </w:r>
            <w:r>
              <w:t>.</w:t>
            </w:r>
          </w:p>
          <w:p w14:paraId="7E7ABC75" w14:textId="5B2BD3DF" w:rsidR="00254DED" w:rsidRDefault="00254DED" w:rsidP="00C432A9">
            <w:pPr>
              <w:spacing w:before="120" w:after="120"/>
            </w:pPr>
            <w:r>
              <w:rPr>
                <w:b/>
                <w:bCs/>
              </w:rPr>
              <w:t>Result</w:t>
            </w:r>
            <w:r w:rsidR="008B4E84">
              <w:rPr>
                <w:b/>
                <w:bCs/>
              </w:rPr>
              <w:t xml:space="preserve">: </w:t>
            </w:r>
            <w:r>
              <w:t>Message appears update was successfully applied.</w:t>
            </w:r>
          </w:p>
          <w:p w14:paraId="51571ECF" w14:textId="3EB5139C" w:rsidR="00254DED" w:rsidRDefault="00254DED" w:rsidP="00254DED">
            <w:pPr>
              <w:pStyle w:val="NormalWeb"/>
              <w:spacing w:before="120" w:beforeAutospacing="0" w:after="120" w:afterAutospacing="0" w:line="252" w:lineRule="auto"/>
              <w:ind w:left="346" w:right="312"/>
            </w:pPr>
          </w:p>
        </w:tc>
      </w:tr>
      <w:tr w:rsidR="00976A03" w14:paraId="06A8FE07" w14:textId="77777777" w:rsidTr="00980119"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02E8515" w14:textId="4ADE42BB" w:rsidR="00976A03" w:rsidRPr="00B6084D" w:rsidRDefault="00F87147" w:rsidP="00B6084D">
            <w:pPr>
              <w:spacing w:before="120" w:after="120"/>
              <w:jc w:val="center"/>
              <w:rPr>
                <w:b/>
                <w:bCs/>
              </w:rPr>
            </w:pPr>
            <w:r w:rsidRPr="00B6084D">
              <w:rPr>
                <w:b/>
                <w:bCs/>
              </w:rPr>
              <w:t>8</w:t>
            </w:r>
          </w:p>
        </w:tc>
        <w:tc>
          <w:tcPr>
            <w:tcW w:w="47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016B2A0" w14:textId="2FDEF33B" w:rsidR="00976A03" w:rsidRDefault="00254DED" w:rsidP="003543D3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rPr>
                <w:noProof/>
              </w:rPr>
              <w:drawing>
                <wp:inline distT="0" distB="0" distL="0" distR="0" wp14:anchorId="1725E77E" wp14:editId="7ACD978B">
                  <wp:extent cx="238095" cy="209524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976A03" w:rsidRPr="00C432A9">
              <w:t>After completing the override, always run a test claim to determine that the claim will pay.</w:t>
            </w:r>
            <w:r w:rsidR="00976A03">
              <w:rPr>
                <w:color w:val="000000"/>
              </w:rPr>
              <w:t> </w:t>
            </w:r>
          </w:p>
          <w:p w14:paraId="51CF5341" w14:textId="329022A2" w:rsidR="00976A03" w:rsidRDefault="00F97FAA" w:rsidP="00423778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 w:line="252" w:lineRule="auto"/>
              <w:ind w:right="312"/>
            </w:pPr>
            <w:r>
              <w:t xml:space="preserve"> </w:t>
            </w:r>
            <w:r w:rsidR="00976A03">
              <w:t xml:space="preserve">If </w:t>
            </w:r>
            <w:proofErr w:type="gramStart"/>
            <w:r w:rsidR="00976A03">
              <w:t>test</w:t>
            </w:r>
            <w:proofErr w:type="gramEnd"/>
            <w:r w:rsidR="00976A03">
              <w:t xml:space="preserve"> claim pays correctly, advise the claim needs to </w:t>
            </w:r>
            <w:proofErr w:type="gramStart"/>
            <w:r w:rsidR="00976A03">
              <w:t>be reprocessed</w:t>
            </w:r>
            <w:proofErr w:type="gramEnd"/>
            <w:r w:rsidR="00976A03">
              <w:t>.</w:t>
            </w:r>
          </w:p>
          <w:p w14:paraId="19B9C81F" w14:textId="366C1A0F" w:rsidR="00976A03" w:rsidRDefault="00976A03" w:rsidP="00423778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 w:line="252" w:lineRule="auto"/>
              <w:ind w:right="312"/>
            </w:pPr>
            <w:r>
              <w:t>If test claim does not pay</w:t>
            </w:r>
            <w:r w:rsidR="008B4E84">
              <w:t xml:space="preserve">: </w:t>
            </w:r>
          </w:p>
          <w:p w14:paraId="073F0922" w14:textId="77777777" w:rsidR="00976A03" w:rsidRDefault="00976A03" w:rsidP="00423778">
            <w:pPr>
              <w:pStyle w:val="NormalWeb"/>
              <w:numPr>
                <w:ilvl w:val="1"/>
                <w:numId w:val="7"/>
              </w:numPr>
              <w:spacing w:before="120" w:beforeAutospacing="0" w:after="120" w:afterAutospacing="0" w:line="252" w:lineRule="auto"/>
              <w:ind w:right="312"/>
            </w:pPr>
            <w:r>
              <w:t>Confirm t</w:t>
            </w:r>
            <w:r>
              <w:rPr>
                <w:color w:val="000000"/>
              </w:rPr>
              <w:t>hat previous edits were input correctly, and you are running the test claim with the correct quantity and days’ supply.</w:t>
            </w:r>
          </w:p>
          <w:p w14:paraId="184E15DA" w14:textId="443F1EBA" w:rsidR="00976A03" w:rsidRDefault="00976A03" w:rsidP="00423778">
            <w:pPr>
              <w:pStyle w:val="NormalWeb"/>
              <w:numPr>
                <w:ilvl w:val="1"/>
                <w:numId w:val="7"/>
              </w:numPr>
              <w:spacing w:before="120" w:beforeAutospacing="0" w:after="120" w:afterAutospacing="0" w:line="252" w:lineRule="auto"/>
              <w:ind w:right="312"/>
            </w:pPr>
            <w:r>
              <w:rPr>
                <w:color w:val="000000"/>
              </w:rPr>
              <w:t>Run another test claim</w:t>
            </w:r>
            <w:r w:rsidR="00254DED">
              <w:rPr>
                <w:color w:val="000000"/>
              </w:rPr>
              <w:t>. I</w:t>
            </w:r>
            <w:r>
              <w:rPr>
                <w:color w:val="000000"/>
              </w:rPr>
              <w:t>f override continues not to work,</w:t>
            </w:r>
            <w:r>
              <w:t xml:space="preserve"> contact </w:t>
            </w:r>
            <w:hyperlink r:id="rId23" w:anchor="!/view?docid=7653e7c2-1a97-42a0-8a81-6267c72e1ca9" w:history="1">
              <w:r w:rsidR="006500CE">
                <w:rPr>
                  <w:rStyle w:val="Hyperlink"/>
                </w:rPr>
                <w:t>Senior Tea</w:t>
              </w:r>
              <w:r w:rsidR="006500CE">
                <w:rPr>
                  <w:rStyle w:val="Hyperlink"/>
                </w:rPr>
                <w:t>m</w:t>
              </w:r>
              <w:r w:rsidR="006500CE">
                <w:rPr>
                  <w:rStyle w:val="Hyperlink"/>
                </w:rPr>
                <w:t xml:space="preserve"> (057524)</w:t>
              </w:r>
            </w:hyperlink>
            <w:r>
              <w:t>.</w:t>
            </w:r>
          </w:p>
        </w:tc>
      </w:tr>
    </w:tbl>
    <w:p w14:paraId="1C25FE01" w14:textId="77777777" w:rsidR="00976A03" w:rsidRDefault="00976A03" w:rsidP="006C0312">
      <w:pPr>
        <w:spacing w:before="120" w:after="120"/>
      </w:pPr>
    </w:p>
    <w:bookmarkStart w:id="5" w:name="OLE_LINK10"/>
    <w:p w14:paraId="5352B5C9" w14:textId="06613E60" w:rsidR="007E3259" w:rsidRDefault="007D5707" w:rsidP="007E3259">
      <w:pPr>
        <w:jc w:val="right"/>
      </w:pPr>
      <w:r>
        <w:fldChar w:fldCharType="begin"/>
      </w:r>
      <w:r w:rsidR="00423778">
        <w:instrText>HYPERLINK  \l "_top"</w:instrText>
      </w:r>
      <w:r>
        <w:fldChar w:fldCharType="separate"/>
      </w:r>
      <w:r w:rsidR="007E3259" w:rsidRPr="007D5707">
        <w:rPr>
          <w:rStyle w:val="Hyperlink"/>
        </w:rPr>
        <w:t>Top of the</w:t>
      </w:r>
      <w:r w:rsidR="007E3259" w:rsidRPr="007D5707">
        <w:rPr>
          <w:rStyle w:val="Hyperlink"/>
        </w:rPr>
        <w:t xml:space="preserve"> </w:t>
      </w:r>
      <w:r w:rsidR="007E3259" w:rsidRPr="007D5707">
        <w:rPr>
          <w:rStyle w:val="Hyperlink"/>
        </w:rPr>
        <w:t>Document</w:t>
      </w:r>
      <w:r>
        <w:fldChar w:fldCharType="end"/>
      </w:r>
    </w:p>
    <w:tbl>
      <w:tblPr>
        <w:tblStyle w:val="TableGrid"/>
        <w:tblW w:w="5000" w:type="pct"/>
        <w:tblInd w:w="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7E3259" w14:paraId="616D1B9E" w14:textId="77777777" w:rsidTr="007E32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14BB95" w14:textId="77777777" w:rsidR="007E3259" w:rsidRDefault="007E3259">
            <w:pPr>
              <w:pStyle w:val="Heading2"/>
              <w:spacing w:before="120" w:after="120"/>
            </w:pPr>
            <w:bookmarkStart w:id="6" w:name="_Toc149058505"/>
            <w:bookmarkStart w:id="7" w:name="_Toc171665868"/>
            <w:bookmarkStart w:id="8" w:name="OLE_LINK8"/>
            <w:bookmarkStart w:id="9" w:name="OLE_LINK37"/>
            <w:r>
              <w:t>Related Documents</w:t>
            </w:r>
            <w:bookmarkEnd w:id="6"/>
            <w:bookmarkEnd w:id="7"/>
          </w:p>
        </w:tc>
      </w:tr>
    </w:tbl>
    <w:p w14:paraId="2591F433" w14:textId="77777777" w:rsidR="006D4EB4" w:rsidRDefault="006D4EB4" w:rsidP="00C432A9">
      <w:pPr>
        <w:spacing w:before="120" w:after="120"/>
      </w:pPr>
      <w:bookmarkStart w:id="10" w:name="OLE_LINK6"/>
    </w:p>
    <w:p w14:paraId="31C96A18" w14:textId="23EF11FE" w:rsidR="007E3259" w:rsidRDefault="006500CE" w:rsidP="00C432A9">
      <w:pPr>
        <w:spacing w:before="120" w:after="120"/>
      </w:pPr>
      <w:hyperlink r:id="rId24" w:anchor="!/view?docid=c1f1028b-e42c-4b4f-a4cf-cc0b42c91606" w:tgtFrame="_blank" w:history="1">
        <w:r>
          <w:rPr>
            <w:rStyle w:val="Hyperlink"/>
          </w:rPr>
          <w:t>Customer Care Abbreviations, Definitions and Terms Index (01</w:t>
        </w:r>
        <w:r>
          <w:rPr>
            <w:rStyle w:val="Hyperlink"/>
          </w:rPr>
          <w:t>7</w:t>
        </w:r>
        <w:r>
          <w:rPr>
            <w:rStyle w:val="Hyperlink"/>
          </w:rPr>
          <w:t>4</w:t>
        </w:r>
        <w:r>
          <w:rPr>
            <w:rStyle w:val="Hyperlink"/>
          </w:rPr>
          <w:t>28)</w:t>
        </w:r>
      </w:hyperlink>
    </w:p>
    <w:bookmarkStart w:id="11" w:name="OLE_LINK15"/>
    <w:p w14:paraId="16F7F190" w14:textId="0D33FDF6" w:rsidR="007E3259" w:rsidRDefault="00D75E4A" w:rsidP="00C432A9">
      <w:pPr>
        <w:spacing w:before="120" w:after="120"/>
      </w:pPr>
      <w:r w:rsidRPr="00D75E4A">
        <w:fldChar w:fldCharType="begin"/>
      </w:r>
      <w:r w:rsidR="006500CE">
        <w:instrText>HYPERLINK "https://thesource.cvshealth.com/nuxeo/thesource/" \l "!/view?docid=44418b02-7e70-41cc-bb2e-bb38164a951f"</w:instrText>
      </w:r>
      <w:r w:rsidRPr="00D75E4A">
        <w:fldChar w:fldCharType="separate"/>
      </w:r>
      <w:r w:rsidR="006500CE">
        <w:rPr>
          <w:rStyle w:val="Hyperlink"/>
        </w:rPr>
        <w:t>Compass – Plan Benefit Override (PBO) Guide (</w:t>
      </w:r>
      <w:r w:rsidR="006500CE">
        <w:rPr>
          <w:rStyle w:val="Hyperlink"/>
        </w:rPr>
        <w:t>0</w:t>
      </w:r>
      <w:r w:rsidR="006500CE">
        <w:rPr>
          <w:rStyle w:val="Hyperlink"/>
        </w:rPr>
        <w:t>6</w:t>
      </w:r>
      <w:r w:rsidR="006500CE">
        <w:rPr>
          <w:rStyle w:val="Hyperlink"/>
        </w:rPr>
        <w:t>1</w:t>
      </w:r>
      <w:r w:rsidR="006500CE">
        <w:rPr>
          <w:rStyle w:val="Hyperlink"/>
        </w:rPr>
        <w:t>708)</w:t>
      </w:r>
      <w:r w:rsidRPr="00D75E4A">
        <w:fldChar w:fldCharType="end"/>
      </w:r>
    </w:p>
    <w:p w14:paraId="3FBAA79F" w14:textId="3D0A1098" w:rsidR="00337250" w:rsidRDefault="00337250" w:rsidP="00C432A9">
      <w:pPr>
        <w:spacing w:before="120" w:after="120"/>
      </w:pPr>
      <w:hyperlink r:id="rId25" w:anchor="!/view?docid=48890281-24de-4328-8cf9-40a84eda864c" w:history="1">
        <w:r w:rsidRPr="006E40FF">
          <w:rPr>
            <w:rStyle w:val="Hyperlink"/>
          </w:rPr>
          <w:t xml:space="preserve">Compass - Dosage Calculator </w:t>
        </w:r>
        <w:r w:rsidRPr="006E40FF">
          <w:rPr>
            <w:rStyle w:val="Hyperlink"/>
          </w:rPr>
          <w:t>(</w:t>
        </w:r>
        <w:r w:rsidRPr="006E40FF">
          <w:rPr>
            <w:rStyle w:val="Hyperlink"/>
          </w:rPr>
          <w:t>0</w:t>
        </w:r>
        <w:r w:rsidRPr="006E40FF">
          <w:rPr>
            <w:rStyle w:val="Hyperlink"/>
          </w:rPr>
          <w:t>4</w:t>
        </w:r>
        <w:r w:rsidRPr="006E40FF">
          <w:rPr>
            <w:rStyle w:val="Hyperlink"/>
          </w:rPr>
          <w:t>9981)</w:t>
        </w:r>
      </w:hyperlink>
    </w:p>
    <w:bookmarkEnd w:id="11"/>
    <w:p w14:paraId="40FAE8CB" w14:textId="1A6589B3" w:rsidR="007E3259" w:rsidRDefault="007E3259" w:rsidP="00E42C4C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</w:rPr>
        <w:t>Parent Document</w:t>
      </w:r>
      <w:r w:rsidR="008B4E84">
        <w:rPr>
          <w:b/>
          <w:bCs/>
          <w:color w:val="000000"/>
        </w:rPr>
        <w:t xml:space="preserve">: </w:t>
      </w:r>
      <w:hyperlink r:id="rId26" w:tgtFrame="_blank" w:history="1">
        <w:r>
          <w:rPr>
            <w:rStyle w:val="Hyperlink"/>
          </w:rPr>
          <w:t>CALL 0049 Customer Care Internal and Exter</w:t>
        </w:r>
        <w:r>
          <w:rPr>
            <w:rStyle w:val="Hyperlink"/>
          </w:rPr>
          <w:t>n</w:t>
        </w:r>
        <w:r>
          <w:rPr>
            <w:rStyle w:val="Hyperlink"/>
          </w:rPr>
          <w:t>a</w:t>
        </w:r>
        <w:r>
          <w:rPr>
            <w:rStyle w:val="Hyperlink"/>
          </w:rPr>
          <w:t>l Call Handling</w:t>
        </w:r>
      </w:hyperlink>
    </w:p>
    <w:bookmarkEnd w:id="8"/>
    <w:bookmarkEnd w:id="10"/>
    <w:p w14:paraId="74C19886" w14:textId="77777777" w:rsidR="007E3259" w:rsidRDefault="007E3259" w:rsidP="007E3259">
      <w:pPr>
        <w:spacing w:before="120" w:after="120"/>
      </w:pPr>
    </w:p>
    <w:bookmarkStart w:id="12" w:name="OLE_LINK2"/>
    <w:p w14:paraId="42053248" w14:textId="10AF8843" w:rsidR="007E3259" w:rsidRDefault="007D5707" w:rsidP="007E3259">
      <w:pPr>
        <w:jc w:val="right"/>
      </w:pPr>
      <w:r>
        <w:fldChar w:fldCharType="begin"/>
      </w:r>
      <w:r w:rsidR="00423778">
        <w:instrText>HYPERLINK  \l "_top"</w:instrText>
      </w:r>
      <w:r>
        <w:fldChar w:fldCharType="separate"/>
      </w:r>
      <w:r w:rsidR="007E3259" w:rsidRPr="007D5707">
        <w:rPr>
          <w:rStyle w:val="Hyperlink"/>
        </w:rPr>
        <w:t>Top of the D</w:t>
      </w:r>
      <w:r w:rsidR="007E3259" w:rsidRPr="007D5707">
        <w:rPr>
          <w:rStyle w:val="Hyperlink"/>
        </w:rPr>
        <w:t>o</w:t>
      </w:r>
      <w:r w:rsidR="007E3259" w:rsidRPr="007D5707">
        <w:rPr>
          <w:rStyle w:val="Hyperlink"/>
        </w:rPr>
        <w:t>cument</w:t>
      </w:r>
      <w:r>
        <w:fldChar w:fldCharType="end"/>
      </w:r>
    </w:p>
    <w:p w14:paraId="5C66D9AF" w14:textId="77777777" w:rsidR="007E3259" w:rsidRDefault="007E3259" w:rsidP="007E3259">
      <w:pPr>
        <w:jc w:val="center"/>
        <w:rPr>
          <w:rFonts w:ascii="Times New Roman" w:hAnsi="Times New Roman"/>
          <w:color w:val="000000"/>
          <w:sz w:val="27"/>
          <w:szCs w:val="27"/>
        </w:rPr>
      </w:pPr>
      <w:bookmarkStart w:id="13" w:name="OLE_LINK5"/>
      <w:bookmarkEnd w:id="12"/>
      <w:r>
        <w:rPr>
          <w:color w:val="000000"/>
          <w:sz w:val="16"/>
          <w:szCs w:val="16"/>
        </w:rPr>
        <w:t>Not to Be Reproduced or Disclosed to Others without Prior Written Approval</w:t>
      </w:r>
    </w:p>
    <w:p w14:paraId="271CF5FB" w14:textId="086AE13D" w:rsidR="00BD1937" w:rsidRPr="00C444DE" w:rsidRDefault="007E3259" w:rsidP="00C444DE">
      <w:pPr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b/>
          <w:bCs/>
          <w:color w:val="000000"/>
          <w:sz w:val="16"/>
          <w:szCs w:val="16"/>
        </w:rPr>
        <w:t>ELECTRONIC DATA = OFFICIAL VERSION / PAPER COPY = INFORMATIONAL ONLY</w:t>
      </w:r>
      <w:bookmarkEnd w:id="5"/>
      <w:bookmarkEnd w:id="9"/>
      <w:bookmarkEnd w:id="13"/>
    </w:p>
    <w:sectPr w:rsidR="00BD1937" w:rsidRPr="00C4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11D80" w14:textId="77777777" w:rsidR="00D85CB6" w:rsidRDefault="00D85CB6" w:rsidP="00976A03">
      <w:r>
        <w:separator/>
      </w:r>
    </w:p>
  </w:endnote>
  <w:endnote w:type="continuationSeparator" w:id="0">
    <w:p w14:paraId="43F82C16" w14:textId="77777777" w:rsidR="00D85CB6" w:rsidRDefault="00D85CB6" w:rsidP="00976A03">
      <w:r>
        <w:continuationSeparator/>
      </w:r>
    </w:p>
  </w:endnote>
  <w:endnote w:type="continuationNotice" w:id="1">
    <w:p w14:paraId="3D665681" w14:textId="77777777" w:rsidR="00D85CB6" w:rsidRDefault="00D85C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2C1EE" w14:textId="77777777" w:rsidR="00D85CB6" w:rsidRDefault="00D85CB6" w:rsidP="00976A03">
      <w:r>
        <w:separator/>
      </w:r>
    </w:p>
  </w:footnote>
  <w:footnote w:type="continuationSeparator" w:id="0">
    <w:p w14:paraId="6DA2012E" w14:textId="77777777" w:rsidR="00D85CB6" w:rsidRDefault="00D85CB6" w:rsidP="00976A03">
      <w:r>
        <w:continuationSeparator/>
      </w:r>
    </w:p>
  </w:footnote>
  <w:footnote w:type="continuationNotice" w:id="1">
    <w:p w14:paraId="5100F8E6" w14:textId="77777777" w:rsidR="00D85CB6" w:rsidRDefault="00D85C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9.5pt;height:16.5pt;visibility:visible;mso-wrap-style:square" o:bullet="t">
        <v:imagedata r:id="rId1" o:title=""/>
      </v:shape>
    </w:pict>
  </w:numPicBullet>
  <w:abstractNum w:abstractNumId="0" w15:restartNumberingAfterBreak="0">
    <w:nsid w:val="03074E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FD6A96"/>
    <w:multiLevelType w:val="hybridMultilevel"/>
    <w:tmpl w:val="6CA2FCE0"/>
    <w:lvl w:ilvl="0" w:tplc="B7409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D9E272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2752A"/>
    <w:multiLevelType w:val="hybridMultilevel"/>
    <w:tmpl w:val="2486B1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D022DD"/>
    <w:multiLevelType w:val="hybridMultilevel"/>
    <w:tmpl w:val="9BCC763C"/>
    <w:lvl w:ilvl="0" w:tplc="70B8C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9CC242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4CF23E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327BB"/>
    <w:multiLevelType w:val="hybridMultilevel"/>
    <w:tmpl w:val="CD7815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151A6"/>
    <w:multiLevelType w:val="hybridMultilevel"/>
    <w:tmpl w:val="4CBE7EE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3752B"/>
    <w:multiLevelType w:val="hybridMultilevel"/>
    <w:tmpl w:val="D56ABA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D1E8E"/>
    <w:multiLevelType w:val="hybridMultilevel"/>
    <w:tmpl w:val="C17AF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278C7"/>
    <w:multiLevelType w:val="hybridMultilevel"/>
    <w:tmpl w:val="A93A9E24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E3254"/>
    <w:multiLevelType w:val="hybridMultilevel"/>
    <w:tmpl w:val="8F8EB172"/>
    <w:lvl w:ilvl="0" w:tplc="CCA45A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817184">
    <w:abstractNumId w:val="8"/>
  </w:num>
  <w:num w:numId="2" w16cid:durableId="282462309">
    <w:abstractNumId w:val="2"/>
  </w:num>
  <w:num w:numId="3" w16cid:durableId="1911503775">
    <w:abstractNumId w:val="5"/>
  </w:num>
  <w:num w:numId="4" w16cid:durableId="446000886">
    <w:abstractNumId w:val="4"/>
  </w:num>
  <w:num w:numId="5" w16cid:durableId="446311863">
    <w:abstractNumId w:val="2"/>
  </w:num>
  <w:num w:numId="6" w16cid:durableId="204218087">
    <w:abstractNumId w:val="3"/>
  </w:num>
  <w:num w:numId="7" w16cid:durableId="1340086282">
    <w:abstractNumId w:val="1"/>
  </w:num>
  <w:num w:numId="8" w16cid:durableId="41641743">
    <w:abstractNumId w:val="0"/>
  </w:num>
  <w:num w:numId="9" w16cid:durableId="421878952">
    <w:abstractNumId w:val="9"/>
  </w:num>
  <w:num w:numId="10" w16cid:durableId="606350791">
    <w:abstractNumId w:val="6"/>
  </w:num>
  <w:num w:numId="11" w16cid:durableId="843130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03"/>
    <w:rsid w:val="0000544A"/>
    <w:rsid w:val="00017E08"/>
    <w:rsid w:val="00060292"/>
    <w:rsid w:val="00065831"/>
    <w:rsid w:val="000A6986"/>
    <w:rsid w:val="000C1944"/>
    <w:rsid w:val="000D1C3A"/>
    <w:rsid w:val="000D55D6"/>
    <w:rsid w:val="000E209C"/>
    <w:rsid w:val="000E5ECE"/>
    <w:rsid w:val="001031BC"/>
    <w:rsid w:val="0011661C"/>
    <w:rsid w:val="00136400"/>
    <w:rsid w:val="00156B85"/>
    <w:rsid w:val="001A213B"/>
    <w:rsid w:val="001A30B2"/>
    <w:rsid w:val="001B2BC6"/>
    <w:rsid w:val="001C07E1"/>
    <w:rsid w:val="001C30AE"/>
    <w:rsid w:val="001E3CE0"/>
    <w:rsid w:val="00217236"/>
    <w:rsid w:val="00232ADA"/>
    <w:rsid w:val="00254DED"/>
    <w:rsid w:val="00260A9D"/>
    <w:rsid w:val="00262CEA"/>
    <w:rsid w:val="002A7CC9"/>
    <w:rsid w:val="002D7636"/>
    <w:rsid w:val="002E3465"/>
    <w:rsid w:val="002F73A1"/>
    <w:rsid w:val="00324469"/>
    <w:rsid w:val="00334E7B"/>
    <w:rsid w:val="00337250"/>
    <w:rsid w:val="003543D3"/>
    <w:rsid w:val="00373B19"/>
    <w:rsid w:val="00374F8C"/>
    <w:rsid w:val="00384DF9"/>
    <w:rsid w:val="003A0DA2"/>
    <w:rsid w:val="003A1B12"/>
    <w:rsid w:val="003F0E4A"/>
    <w:rsid w:val="0040061F"/>
    <w:rsid w:val="0040098F"/>
    <w:rsid w:val="00404ECB"/>
    <w:rsid w:val="00421C6B"/>
    <w:rsid w:val="00423778"/>
    <w:rsid w:val="00424F32"/>
    <w:rsid w:val="004348AC"/>
    <w:rsid w:val="00466AC3"/>
    <w:rsid w:val="004A7489"/>
    <w:rsid w:val="004B0AA7"/>
    <w:rsid w:val="004B2563"/>
    <w:rsid w:val="004D0A29"/>
    <w:rsid w:val="004E13C4"/>
    <w:rsid w:val="004E1D36"/>
    <w:rsid w:val="004F11E5"/>
    <w:rsid w:val="004F6778"/>
    <w:rsid w:val="00515F06"/>
    <w:rsid w:val="0053483A"/>
    <w:rsid w:val="00565CF1"/>
    <w:rsid w:val="0056721A"/>
    <w:rsid w:val="00574C53"/>
    <w:rsid w:val="005968FD"/>
    <w:rsid w:val="005A7C80"/>
    <w:rsid w:val="005B0105"/>
    <w:rsid w:val="005D7A5F"/>
    <w:rsid w:val="006053E9"/>
    <w:rsid w:val="00621784"/>
    <w:rsid w:val="006240F3"/>
    <w:rsid w:val="006262FD"/>
    <w:rsid w:val="00630660"/>
    <w:rsid w:val="006500CE"/>
    <w:rsid w:val="00684AD4"/>
    <w:rsid w:val="00696A70"/>
    <w:rsid w:val="006C0312"/>
    <w:rsid w:val="006C12CD"/>
    <w:rsid w:val="006D4EB4"/>
    <w:rsid w:val="006E40FF"/>
    <w:rsid w:val="006F504F"/>
    <w:rsid w:val="006F7E04"/>
    <w:rsid w:val="00726A73"/>
    <w:rsid w:val="007507BD"/>
    <w:rsid w:val="00790747"/>
    <w:rsid w:val="007A0697"/>
    <w:rsid w:val="007C3447"/>
    <w:rsid w:val="007C5232"/>
    <w:rsid w:val="007D5707"/>
    <w:rsid w:val="007D65B3"/>
    <w:rsid w:val="007E3259"/>
    <w:rsid w:val="00807FCD"/>
    <w:rsid w:val="00857396"/>
    <w:rsid w:val="008573D2"/>
    <w:rsid w:val="008600F0"/>
    <w:rsid w:val="0087664A"/>
    <w:rsid w:val="00876845"/>
    <w:rsid w:val="00884868"/>
    <w:rsid w:val="008937B9"/>
    <w:rsid w:val="00894D38"/>
    <w:rsid w:val="008B22FA"/>
    <w:rsid w:val="008B4E84"/>
    <w:rsid w:val="008B6290"/>
    <w:rsid w:val="00910C94"/>
    <w:rsid w:val="00914FCD"/>
    <w:rsid w:val="009201EE"/>
    <w:rsid w:val="009203B9"/>
    <w:rsid w:val="009513D4"/>
    <w:rsid w:val="00956491"/>
    <w:rsid w:val="00963114"/>
    <w:rsid w:val="00976A03"/>
    <w:rsid w:val="00980119"/>
    <w:rsid w:val="009B0217"/>
    <w:rsid w:val="009C3617"/>
    <w:rsid w:val="009E4C5D"/>
    <w:rsid w:val="009F021D"/>
    <w:rsid w:val="009F376F"/>
    <w:rsid w:val="00A05820"/>
    <w:rsid w:val="00A215B8"/>
    <w:rsid w:val="00A34195"/>
    <w:rsid w:val="00A42649"/>
    <w:rsid w:val="00A63C24"/>
    <w:rsid w:val="00A66052"/>
    <w:rsid w:val="00A665F9"/>
    <w:rsid w:val="00AB6B47"/>
    <w:rsid w:val="00AF0FCE"/>
    <w:rsid w:val="00B07F61"/>
    <w:rsid w:val="00B22B42"/>
    <w:rsid w:val="00B22C5F"/>
    <w:rsid w:val="00B22FEB"/>
    <w:rsid w:val="00B234F8"/>
    <w:rsid w:val="00B35EEE"/>
    <w:rsid w:val="00B6084D"/>
    <w:rsid w:val="00B64367"/>
    <w:rsid w:val="00B6595F"/>
    <w:rsid w:val="00B724DD"/>
    <w:rsid w:val="00B725CD"/>
    <w:rsid w:val="00B83A4B"/>
    <w:rsid w:val="00BD1937"/>
    <w:rsid w:val="00C047C1"/>
    <w:rsid w:val="00C075CB"/>
    <w:rsid w:val="00C12357"/>
    <w:rsid w:val="00C210E6"/>
    <w:rsid w:val="00C432A9"/>
    <w:rsid w:val="00C444DE"/>
    <w:rsid w:val="00C75347"/>
    <w:rsid w:val="00C810B1"/>
    <w:rsid w:val="00C90365"/>
    <w:rsid w:val="00C93B21"/>
    <w:rsid w:val="00CB22E6"/>
    <w:rsid w:val="00CE6537"/>
    <w:rsid w:val="00D04FE0"/>
    <w:rsid w:val="00D2422F"/>
    <w:rsid w:val="00D25227"/>
    <w:rsid w:val="00D2579F"/>
    <w:rsid w:val="00D2634B"/>
    <w:rsid w:val="00D722DC"/>
    <w:rsid w:val="00D75E4A"/>
    <w:rsid w:val="00D85CB6"/>
    <w:rsid w:val="00DA00A2"/>
    <w:rsid w:val="00DA6EEA"/>
    <w:rsid w:val="00DB4716"/>
    <w:rsid w:val="00DE1E0C"/>
    <w:rsid w:val="00DE5407"/>
    <w:rsid w:val="00DF1729"/>
    <w:rsid w:val="00DF2497"/>
    <w:rsid w:val="00DF3D1D"/>
    <w:rsid w:val="00E317B6"/>
    <w:rsid w:val="00E33566"/>
    <w:rsid w:val="00E35345"/>
    <w:rsid w:val="00E41BA6"/>
    <w:rsid w:val="00E42C4C"/>
    <w:rsid w:val="00E55B78"/>
    <w:rsid w:val="00E7508E"/>
    <w:rsid w:val="00E752B4"/>
    <w:rsid w:val="00E86014"/>
    <w:rsid w:val="00E91D4C"/>
    <w:rsid w:val="00EC2305"/>
    <w:rsid w:val="00ED3DB2"/>
    <w:rsid w:val="00EE0CEA"/>
    <w:rsid w:val="00EE7042"/>
    <w:rsid w:val="00EF714A"/>
    <w:rsid w:val="00F7213A"/>
    <w:rsid w:val="00F73DAA"/>
    <w:rsid w:val="00F87147"/>
    <w:rsid w:val="00F96BED"/>
    <w:rsid w:val="00F97FAA"/>
    <w:rsid w:val="00FA0110"/>
    <w:rsid w:val="00FA6050"/>
    <w:rsid w:val="00FB54F8"/>
    <w:rsid w:val="00FD6B84"/>
    <w:rsid w:val="00FE19CB"/>
    <w:rsid w:val="00FF1412"/>
    <w:rsid w:val="00FF2BAB"/>
    <w:rsid w:val="16E1414A"/>
    <w:rsid w:val="1B871AB7"/>
    <w:rsid w:val="532BC8FB"/>
    <w:rsid w:val="755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92755"/>
  <w15:chartTrackingRefBased/>
  <w15:docId w15:val="{AEE1C6C5-30CF-4331-A0CB-456410B9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3D3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3D3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543D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543D3"/>
    <w:rPr>
      <w:rFonts w:ascii="Verdana" w:eastAsia="Times New Roman" w:hAnsi="Verdana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76A03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76A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A03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976A03"/>
    <w:rPr>
      <w:sz w:val="16"/>
      <w:szCs w:val="16"/>
    </w:rPr>
  </w:style>
  <w:style w:type="table" w:styleId="TableGrid">
    <w:name w:val="Table Grid"/>
    <w:basedOn w:val="TableNormal"/>
    <w:uiPriority w:val="39"/>
    <w:rsid w:val="000D55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43D3"/>
    <w:rPr>
      <w:rFonts w:ascii="Verdana" w:eastAsiaTheme="majorEastAsia" w:hAnsi="Verdana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5D7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6E40FF"/>
    <w:rPr>
      <w:rFonts w:ascii="Verdana" w:hAnsi="Verdana"/>
      <w:color w:val="0000FF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4F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444DE"/>
    <w:pPr>
      <w:spacing w:after="100"/>
      <w:ind w:left="240"/>
    </w:pPr>
  </w:style>
  <w:style w:type="paragraph" w:styleId="Revision">
    <w:name w:val="Revision"/>
    <w:hidden/>
    <w:uiPriority w:val="99"/>
    <w:semiHidden/>
    <w:rsid w:val="00515F06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4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4DF9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84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4DF9"/>
    <w:rPr>
      <w:rFonts w:ascii="Verdana" w:eastAsia="Times New Roman" w:hAnsi="Verdan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6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Clinical and Overrides</BPO>
    <ProjectAnalyst xmlns="d19e0082-693e-45ae-8f74-da0dd659fa03">Lindsey</ProjectAnalyst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Props1.xml><?xml version="1.0" encoding="utf-8"?>
<ds:datastoreItem xmlns:ds="http://schemas.openxmlformats.org/officeDocument/2006/customXml" ds:itemID="{B4F46BC1-3B73-4F64-BEEB-A214E17EE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00D6B-AA65-4074-9A1D-805913A4B0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01148D-A587-4030-AAF2-B7B7549DE1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51A13A-393A-4FA7-A602-077F4B9EEF26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Salas, Daniela M</cp:lastModifiedBy>
  <cp:revision>3</cp:revision>
  <dcterms:created xsi:type="dcterms:W3CDTF">2025-08-29T15:01:00Z</dcterms:created>
  <dcterms:modified xsi:type="dcterms:W3CDTF">2025-08-29T15:02:00Z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2023-09-27T23:33:10Z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5acabbf4-2c5c-473e-9ddd-67f0f9066a44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