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51154" w14:textId="550E17FE" w:rsidR="00A135D9" w:rsidRDefault="007120CE" w:rsidP="007120CE">
      <w:pPr>
        <w:pStyle w:val="Heading1"/>
        <w:spacing w:before="120" w:after="120"/>
      </w:pPr>
      <w:bookmarkStart w:id="0" w:name="_top"/>
      <w:bookmarkEnd w:id="0"/>
      <w:r>
        <w:t>Compass – SCC Override at Retail</w:t>
      </w:r>
    </w:p>
    <w:p w14:paraId="0836BC93" w14:textId="29226579" w:rsidR="001F0B9C" w:rsidRDefault="004801C0">
      <w:pPr>
        <w:pStyle w:val="TOC2"/>
        <w:tabs>
          <w:tab w:val="right" w:leader="dot" w:pos="9350"/>
        </w:tabs>
        <w:rPr>
          <w:rFonts w:asciiTheme="minorHAnsi" w:eastAsiaTheme="minorEastAsia" w:hAnsiTheme="minorHAnsi"/>
          <w:noProof/>
          <w:kern w:val="2"/>
          <w:szCs w:val="24"/>
          <w14:ligatures w14:val="standardContextual"/>
        </w:rPr>
      </w:pPr>
      <w:r>
        <w:fldChar w:fldCharType="begin"/>
      </w:r>
      <w:r>
        <w:instrText xml:space="preserve"> TOC \o "2-2" \n \p " " \h \z \u </w:instrText>
      </w:r>
      <w:r>
        <w:fldChar w:fldCharType="separate"/>
      </w:r>
      <w:hyperlink w:anchor="_Toc195695371" w:history="1">
        <w:r w:rsidR="001F0B9C" w:rsidRPr="00391D88">
          <w:rPr>
            <w:rStyle w:val="Hyperlink"/>
            <w:noProof/>
          </w:rPr>
          <w:t>SCC Overrides</w:t>
        </w:r>
      </w:hyperlink>
    </w:p>
    <w:p w14:paraId="36ECF8A5" w14:textId="171C03FF" w:rsidR="001F0B9C" w:rsidRDefault="001F0B9C">
      <w:pPr>
        <w:pStyle w:val="TOC2"/>
        <w:tabs>
          <w:tab w:val="right" w:leader="dot" w:pos="9350"/>
        </w:tabs>
        <w:rPr>
          <w:rFonts w:asciiTheme="minorHAnsi" w:eastAsiaTheme="minorEastAsia" w:hAnsiTheme="minorHAnsi"/>
          <w:noProof/>
          <w:kern w:val="2"/>
          <w:szCs w:val="24"/>
          <w14:ligatures w14:val="standardContextual"/>
        </w:rPr>
      </w:pPr>
      <w:hyperlink w:anchor="_Toc195695372" w:history="1">
        <w:r w:rsidRPr="00391D88">
          <w:rPr>
            <w:rStyle w:val="Hyperlink"/>
            <w:noProof/>
          </w:rPr>
          <w:t>SCC Overrides Scenario Guide</w:t>
        </w:r>
      </w:hyperlink>
    </w:p>
    <w:p w14:paraId="3C0B8FFC" w14:textId="1BE342D0" w:rsidR="001F0B9C" w:rsidRDefault="001F0B9C">
      <w:pPr>
        <w:pStyle w:val="TOC2"/>
        <w:tabs>
          <w:tab w:val="right" w:leader="dot" w:pos="9350"/>
        </w:tabs>
        <w:rPr>
          <w:rFonts w:asciiTheme="minorHAnsi" w:eastAsiaTheme="minorEastAsia" w:hAnsiTheme="minorHAnsi"/>
          <w:noProof/>
          <w:kern w:val="2"/>
          <w:szCs w:val="24"/>
          <w14:ligatures w14:val="standardContextual"/>
        </w:rPr>
      </w:pPr>
      <w:hyperlink w:anchor="_Toc195695373" w:history="1">
        <w:r w:rsidRPr="00391D88">
          <w:rPr>
            <w:rStyle w:val="Hyperlink"/>
            <w:noProof/>
          </w:rPr>
          <w:t>Related Documents</w:t>
        </w:r>
      </w:hyperlink>
    </w:p>
    <w:p w14:paraId="1FE3FEE3" w14:textId="229F794F" w:rsidR="004801C0" w:rsidRDefault="004801C0" w:rsidP="007120CE">
      <w:pPr>
        <w:spacing w:before="120" w:after="120"/>
      </w:pPr>
      <w:r>
        <w:fldChar w:fldCharType="end"/>
      </w:r>
    </w:p>
    <w:p w14:paraId="51358BB1" w14:textId="31D3C74D" w:rsidR="006C67CE" w:rsidRDefault="006C67CE" w:rsidP="007120CE">
      <w:pPr>
        <w:spacing w:before="120" w:after="120"/>
        <w:rPr>
          <w:szCs w:val="24"/>
        </w:rPr>
      </w:pPr>
      <w:r>
        <w:rPr>
          <w:b/>
          <w:bCs/>
          <w:szCs w:val="24"/>
        </w:rPr>
        <w:t>Description:</w:t>
      </w:r>
      <w:r w:rsidR="00B8668C">
        <w:rPr>
          <w:b/>
          <w:bCs/>
          <w:szCs w:val="24"/>
        </w:rPr>
        <w:t xml:space="preserve"> </w:t>
      </w:r>
      <w:bookmarkStart w:id="1" w:name="OLE_LINK14"/>
      <w:r w:rsidR="00BF6B1F">
        <w:rPr>
          <w:szCs w:val="24"/>
        </w:rPr>
        <w:t>Steps</w:t>
      </w:r>
      <w:r>
        <w:rPr>
          <w:szCs w:val="24"/>
        </w:rPr>
        <w:t xml:space="preserve"> to </w:t>
      </w:r>
      <w:r w:rsidR="00B8668C">
        <w:rPr>
          <w:szCs w:val="24"/>
        </w:rPr>
        <w:t>d</w:t>
      </w:r>
      <w:r>
        <w:rPr>
          <w:szCs w:val="24"/>
        </w:rPr>
        <w:t>etermine if a SCC code may be used at the pharmacy. SCC codes should be attempted first</w:t>
      </w:r>
      <w:r w:rsidR="003A56EC">
        <w:rPr>
          <w:szCs w:val="24"/>
        </w:rPr>
        <w:t xml:space="preserve">, </w:t>
      </w:r>
      <w:r>
        <w:rPr>
          <w:szCs w:val="24"/>
        </w:rPr>
        <w:t>if available</w:t>
      </w:r>
      <w:r w:rsidR="003A56EC">
        <w:rPr>
          <w:szCs w:val="24"/>
        </w:rPr>
        <w:t>,</w:t>
      </w:r>
      <w:r>
        <w:rPr>
          <w:szCs w:val="24"/>
        </w:rPr>
        <w:t xml:space="preserve"> before entering an </w:t>
      </w:r>
      <w:r w:rsidR="003A56EC">
        <w:rPr>
          <w:szCs w:val="24"/>
        </w:rPr>
        <w:t>o</w:t>
      </w:r>
      <w:r>
        <w:rPr>
          <w:szCs w:val="24"/>
        </w:rPr>
        <w:t xml:space="preserve">verride for a </w:t>
      </w:r>
      <w:r w:rsidR="003A56EC">
        <w:rPr>
          <w:szCs w:val="24"/>
        </w:rPr>
        <w:t>r</w:t>
      </w:r>
      <w:r>
        <w:rPr>
          <w:szCs w:val="24"/>
        </w:rPr>
        <w:t>etail prescription.</w:t>
      </w:r>
      <w:bookmarkEnd w:id="1"/>
    </w:p>
    <w:p w14:paraId="15A6128A" w14:textId="77777777" w:rsidR="002D0EA3" w:rsidRDefault="002D0EA3" w:rsidP="007120CE">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1E0" w:firstRow="1" w:lastRow="1" w:firstColumn="1" w:lastColumn="1" w:noHBand="0" w:noVBand="0"/>
      </w:tblPr>
      <w:tblGrid>
        <w:gridCol w:w="9350"/>
      </w:tblGrid>
      <w:tr w:rsidR="007233E2" w14:paraId="1B65651C" w14:textId="77777777" w:rsidTr="008F6434">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5042752" w14:textId="549BA340" w:rsidR="007233E2" w:rsidRDefault="001D5DC3" w:rsidP="00C6295D">
            <w:pPr>
              <w:pStyle w:val="Heading2"/>
              <w:spacing w:before="120" w:after="120" w:line="252" w:lineRule="auto"/>
              <w:ind w:right="312"/>
              <w:rPr>
                <w:i/>
                <w:iCs w:val="0"/>
              </w:rPr>
            </w:pPr>
            <w:bookmarkStart w:id="2" w:name="_Toc195695371"/>
            <w:r>
              <w:rPr>
                <w:iCs w:val="0"/>
              </w:rPr>
              <w:t>SCC Overrides</w:t>
            </w:r>
            <w:bookmarkEnd w:id="2"/>
          </w:p>
        </w:tc>
      </w:tr>
    </w:tbl>
    <w:p w14:paraId="00987CE4" w14:textId="77777777" w:rsidR="007233E2" w:rsidRDefault="007233E2" w:rsidP="000F1B1C">
      <w:pPr>
        <w:spacing w:before="120" w:after="120"/>
        <w:rPr>
          <w:b/>
          <w:bCs/>
          <w:szCs w:val="24"/>
        </w:rPr>
      </w:pPr>
      <w:r w:rsidRPr="007233E2">
        <w:rPr>
          <w:b/>
          <w:bCs/>
          <w:szCs w:val="24"/>
        </w:rPr>
        <w:t xml:space="preserve">Notes: </w:t>
      </w:r>
    </w:p>
    <w:p w14:paraId="65B89D70" w14:textId="77777777" w:rsidR="0014239E" w:rsidRPr="0014239E" w:rsidRDefault="004C0204" w:rsidP="0014239E">
      <w:pPr>
        <w:pStyle w:val="ListParagraph"/>
        <w:numPr>
          <w:ilvl w:val="0"/>
          <w:numId w:val="12"/>
        </w:numPr>
      </w:pPr>
      <w:r w:rsidRPr="0014239E">
        <w:t>SCC Overrides are only appropriate for Retail claims.</w:t>
      </w:r>
    </w:p>
    <w:p w14:paraId="5D46DBE2" w14:textId="77777777" w:rsidR="0014239E" w:rsidRPr="0014239E" w:rsidRDefault="007233E2" w:rsidP="0014239E">
      <w:pPr>
        <w:pStyle w:val="ListParagraph"/>
        <w:numPr>
          <w:ilvl w:val="0"/>
          <w:numId w:val="12"/>
        </w:numPr>
      </w:pPr>
      <w:r w:rsidRPr="0014239E">
        <w:t xml:space="preserve">SCC Overrides are the preferred option for plans that allow them. </w:t>
      </w:r>
    </w:p>
    <w:p w14:paraId="0BDA2276" w14:textId="77777777" w:rsidR="0014239E" w:rsidRPr="0014239E" w:rsidRDefault="00FF5804" w:rsidP="0014239E">
      <w:pPr>
        <w:pStyle w:val="ListParagraph"/>
        <w:numPr>
          <w:ilvl w:val="0"/>
          <w:numId w:val="12"/>
        </w:numPr>
      </w:pPr>
      <w:r w:rsidRPr="0014239E">
        <w:t xml:space="preserve">SCC Overrides are only available for the following </w:t>
      </w:r>
      <w:r w:rsidR="000F1B1C" w:rsidRPr="0014239E">
        <w:t>o</w:t>
      </w:r>
      <w:r w:rsidRPr="0014239E">
        <w:t>verrides (</w:t>
      </w:r>
      <w:r w:rsidR="0014239E" w:rsidRPr="0014239E">
        <w:t>A</w:t>
      </w:r>
      <w:r w:rsidRPr="0014239E">
        <w:t xml:space="preserve">ll </w:t>
      </w:r>
      <w:r w:rsidR="004C0204" w:rsidRPr="0014239E">
        <w:t>options may not be available on all plans</w:t>
      </w:r>
      <w:r w:rsidR="0014239E" w:rsidRPr="0014239E">
        <w:t>. Refer to the CIF.</w:t>
      </w:r>
      <w:r w:rsidR="004C0204" w:rsidRPr="0014239E">
        <w:t>)</w:t>
      </w:r>
      <w:r w:rsidR="0014239E" w:rsidRPr="0014239E">
        <w:t>:</w:t>
      </w:r>
    </w:p>
    <w:p w14:paraId="41EDB681" w14:textId="77777777" w:rsidR="0014239E" w:rsidRPr="0014239E" w:rsidRDefault="0051443C" w:rsidP="002D0EA3">
      <w:pPr>
        <w:pStyle w:val="ListParagraph"/>
        <w:numPr>
          <w:ilvl w:val="1"/>
          <w:numId w:val="12"/>
        </w:numPr>
        <w:ind w:left="1080"/>
      </w:pPr>
      <w:r w:rsidRPr="0014239E">
        <w:t>Vacation</w:t>
      </w:r>
    </w:p>
    <w:p w14:paraId="1E0DC475" w14:textId="77777777" w:rsidR="0014239E" w:rsidRPr="0014239E" w:rsidRDefault="0051443C" w:rsidP="002D0EA3">
      <w:pPr>
        <w:pStyle w:val="ListParagraph"/>
        <w:numPr>
          <w:ilvl w:val="1"/>
          <w:numId w:val="12"/>
        </w:numPr>
        <w:ind w:left="1080"/>
      </w:pPr>
      <w:r w:rsidRPr="0014239E">
        <w:t>Lost/Stolen/Damaged</w:t>
      </w:r>
    </w:p>
    <w:p w14:paraId="34D1C473" w14:textId="77777777" w:rsidR="0014239E" w:rsidRPr="0014239E" w:rsidRDefault="0051443C" w:rsidP="002D0EA3">
      <w:pPr>
        <w:pStyle w:val="ListParagraph"/>
        <w:numPr>
          <w:ilvl w:val="1"/>
          <w:numId w:val="12"/>
        </w:numPr>
        <w:ind w:left="1080"/>
      </w:pPr>
      <w:r w:rsidRPr="0014239E">
        <w:t>Dosage Change</w:t>
      </w:r>
    </w:p>
    <w:p w14:paraId="3D372453" w14:textId="66EA460C" w:rsidR="0051443C" w:rsidRDefault="0051443C" w:rsidP="002D0EA3">
      <w:pPr>
        <w:pStyle w:val="ListParagraph"/>
        <w:numPr>
          <w:ilvl w:val="1"/>
          <w:numId w:val="12"/>
        </w:numPr>
        <w:ind w:left="1080"/>
      </w:pPr>
      <w:bookmarkStart w:id="3" w:name="OLE_LINK7"/>
      <w:r w:rsidRPr="0014239E">
        <w:t>Disaster/Emergency (</w:t>
      </w:r>
      <w:r w:rsidR="000D5806" w:rsidRPr="0014239E">
        <w:t>due to a government issued state of emergency</w:t>
      </w:r>
      <w:r w:rsidR="00562DA4" w:rsidRPr="0014239E">
        <w:t>)</w:t>
      </w:r>
      <w:r w:rsidR="003725B0">
        <w:br/>
      </w:r>
      <w:bookmarkStart w:id="4" w:name="OLE_LINK9"/>
      <w:r w:rsidR="003725B0">
        <w:rPr>
          <w:b/>
          <w:bCs/>
        </w:rPr>
        <w:t xml:space="preserve">Note: </w:t>
      </w:r>
      <w:r w:rsidR="003725B0">
        <w:t>Disaster</w:t>
      </w:r>
      <w:r w:rsidR="00E128DF">
        <w:t>/</w:t>
      </w:r>
      <w:r w:rsidR="003725B0">
        <w:t xml:space="preserve">Emergency SCC Codes </w:t>
      </w:r>
      <w:r w:rsidR="004A211A">
        <w:t>do</w:t>
      </w:r>
      <w:r w:rsidR="003725B0">
        <w:t xml:space="preserve"> not display in the SCC Code link. These are plan specific, refer to the CIF.</w:t>
      </w:r>
    </w:p>
    <w:bookmarkEnd w:id="3"/>
    <w:bookmarkEnd w:id="4"/>
    <w:p w14:paraId="0752C4D6" w14:textId="7D0F3B1C" w:rsidR="006950ED" w:rsidRPr="009434DE" w:rsidRDefault="009434DE" w:rsidP="009434DE">
      <w:r>
        <w:rPr>
          <w:noProof/>
        </w:rPr>
        <w:drawing>
          <wp:inline distT="0" distB="0" distL="0" distR="0" wp14:anchorId="488EEC0A" wp14:editId="325EE1F5">
            <wp:extent cx="238095" cy="20952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w:t>
      </w:r>
      <w:r w:rsidRPr="009434DE">
        <w:t>Ensure</w:t>
      </w:r>
      <w:r w:rsidR="006950ED" w:rsidRPr="009434DE">
        <w:t xml:space="preserve"> the correct member profile</w:t>
      </w:r>
      <w:r w:rsidRPr="009434DE">
        <w:t xml:space="preserve"> is</w:t>
      </w:r>
      <w:r w:rsidR="006950ED" w:rsidRPr="009434DE">
        <w:t xml:space="preserve"> selected in the </w:t>
      </w:r>
      <w:r w:rsidR="006950ED" w:rsidRPr="009434DE">
        <w:rPr>
          <w:b/>
          <w:bCs/>
        </w:rPr>
        <w:t>Member Details</w:t>
      </w:r>
      <w:r w:rsidR="006950ED" w:rsidRPr="009434DE">
        <w:t xml:space="preserve"> panel before entering the override. </w:t>
      </w:r>
    </w:p>
    <w:p w14:paraId="432A4F9D" w14:textId="77777777" w:rsidR="006458A6" w:rsidRDefault="006458A6" w:rsidP="006458A6"/>
    <w:p w14:paraId="181894EF" w14:textId="5CBC4798" w:rsidR="0014239E" w:rsidRPr="00C6295D" w:rsidRDefault="006458A6">
      <w:r>
        <w:t>Complete the steps below:</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6"/>
        <w:gridCol w:w="2875"/>
        <w:gridCol w:w="5869"/>
      </w:tblGrid>
      <w:tr w:rsidR="006458A6" w14:paraId="69931DFA" w14:textId="77777777" w:rsidTr="008F6434">
        <w:trPr>
          <w:trHeight w:val="125"/>
        </w:trPr>
        <w:tc>
          <w:tcPr>
            <w:tcW w:w="243" w:type="pct"/>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15C509" w14:textId="03ED11C8" w:rsidR="006458A6" w:rsidRPr="006458A6" w:rsidRDefault="006458A6" w:rsidP="006458A6">
            <w:pPr>
              <w:spacing w:before="120" w:after="120"/>
              <w:jc w:val="center"/>
              <w:rPr>
                <w:b/>
                <w:bCs/>
              </w:rPr>
            </w:pPr>
            <w:r>
              <w:rPr>
                <w:b/>
                <w:bCs/>
              </w:rPr>
              <w:t>Step</w:t>
            </w:r>
          </w:p>
        </w:tc>
        <w:tc>
          <w:tcPr>
            <w:tcW w:w="4757" w:type="pct"/>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34D318" w14:textId="1F6B254B" w:rsidR="006458A6" w:rsidRPr="00BB1FFD" w:rsidRDefault="006458A6" w:rsidP="006458A6">
            <w:pPr>
              <w:spacing w:before="120" w:after="120" w:line="252" w:lineRule="auto"/>
              <w:ind w:right="312"/>
              <w:jc w:val="center"/>
              <w:rPr>
                <w:szCs w:val="24"/>
              </w:rPr>
            </w:pPr>
            <w:r w:rsidRPr="006458A6">
              <w:rPr>
                <w:b/>
                <w:bCs/>
                <w:szCs w:val="24"/>
              </w:rPr>
              <w:t>Action</w:t>
            </w:r>
          </w:p>
        </w:tc>
      </w:tr>
      <w:tr w:rsidR="000E3B4B" w14:paraId="6D647F27" w14:textId="77777777" w:rsidTr="008F6434">
        <w:trPr>
          <w:trHeight w:val="1538"/>
        </w:trPr>
        <w:tc>
          <w:tcPr>
            <w:tcW w:w="243" w:type="pct"/>
            <w:tcBorders>
              <w:top w:val="single" w:sz="4" w:space="0" w:color="auto"/>
              <w:left w:val="single" w:sz="4" w:space="0" w:color="auto"/>
              <w:bottom w:val="single" w:sz="4" w:space="0" w:color="auto"/>
              <w:right w:val="single" w:sz="4" w:space="0" w:color="auto"/>
            </w:tcBorders>
            <w:hideMark/>
          </w:tcPr>
          <w:p w14:paraId="468FFF9F" w14:textId="7786D351" w:rsidR="000E3B4B" w:rsidRPr="006458A6" w:rsidRDefault="001910A6" w:rsidP="006458A6">
            <w:pPr>
              <w:spacing w:before="120" w:after="120"/>
              <w:jc w:val="center"/>
              <w:rPr>
                <w:b/>
                <w:bCs/>
              </w:rPr>
            </w:pPr>
            <w:r w:rsidRPr="006458A6">
              <w:rPr>
                <w:b/>
                <w:bCs/>
              </w:rPr>
              <w:t>1</w:t>
            </w:r>
          </w:p>
        </w:tc>
        <w:tc>
          <w:tcPr>
            <w:tcW w:w="4757" w:type="pct"/>
            <w:gridSpan w:val="2"/>
            <w:tcBorders>
              <w:top w:val="single" w:sz="4" w:space="0" w:color="auto"/>
              <w:left w:val="single" w:sz="4" w:space="0" w:color="auto"/>
              <w:bottom w:val="single" w:sz="4" w:space="0" w:color="auto"/>
              <w:right w:val="single" w:sz="4" w:space="0" w:color="auto"/>
            </w:tcBorders>
          </w:tcPr>
          <w:p w14:paraId="7F2F47D1" w14:textId="57120E2F" w:rsidR="001910A6" w:rsidRPr="00C1473D" w:rsidRDefault="001910A6" w:rsidP="006458A6">
            <w:pPr>
              <w:spacing w:before="120" w:after="120" w:line="252" w:lineRule="auto"/>
              <w:ind w:right="312"/>
              <w:rPr>
                <w:szCs w:val="24"/>
              </w:rPr>
            </w:pPr>
            <w:r w:rsidRPr="00BB1FFD">
              <w:rPr>
                <w:szCs w:val="24"/>
              </w:rPr>
              <w:t xml:space="preserve">Navigate to the Claims Landing Page, </w:t>
            </w:r>
            <w:r w:rsidR="00AD78BC">
              <w:rPr>
                <w:b/>
                <w:bCs/>
                <w:szCs w:val="24"/>
              </w:rPr>
              <w:t xml:space="preserve">Quick Actions </w:t>
            </w:r>
            <w:r w:rsidR="00AD78BC">
              <w:rPr>
                <w:szCs w:val="24"/>
              </w:rPr>
              <w:t xml:space="preserve">menu and </w:t>
            </w:r>
            <w:r w:rsidR="00C1473D">
              <w:rPr>
                <w:szCs w:val="24"/>
              </w:rPr>
              <w:t xml:space="preserve">select the </w:t>
            </w:r>
            <w:r w:rsidR="00C1473D">
              <w:rPr>
                <w:b/>
                <w:bCs/>
                <w:szCs w:val="24"/>
              </w:rPr>
              <w:t xml:space="preserve">SCC Overrides </w:t>
            </w:r>
            <w:r w:rsidR="00C1473D">
              <w:rPr>
                <w:szCs w:val="24"/>
              </w:rPr>
              <w:t>link.</w:t>
            </w:r>
          </w:p>
          <w:p w14:paraId="3198378D" w14:textId="77777777" w:rsidR="000E3B4B" w:rsidRPr="00BB1FFD" w:rsidRDefault="000E3B4B" w:rsidP="006458A6">
            <w:pPr>
              <w:pStyle w:val="ListParagraph"/>
              <w:spacing w:line="252" w:lineRule="auto"/>
              <w:ind w:left="1440" w:right="312"/>
            </w:pPr>
            <w:bookmarkStart w:id="5" w:name="OLE_LINK51"/>
            <w:bookmarkEnd w:id="5"/>
          </w:p>
          <w:p w14:paraId="3797F384" w14:textId="47D71FC5" w:rsidR="000E3B4B" w:rsidRDefault="000E3B4B" w:rsidP="006458A6">
            <w:pPr>
              <w:spacing w:before="120" w:after="120" w:line="252" w:lineRule="auto"/>
              <w:ind w:right="312"/>
              <w:jc w:val="center"/>
            </w:pPr>
            <w:r w:rsidRPr="00BB1FFD">
              <w:rPr>
                <w:noProof/>
              </w:rPr>
              <w:drawing>
                <wp:inline distT="0" distB="0" distL="0" distR="0" wp14:anchorId="323F8111" wp14:editId="0F5AAA68">
                  <wp:extent cx="8086725" cy="95250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b="65753"/>
                          <a:stretch/>
                        </pic:blipFill>
                        <pic:spPr bwMode="auto">
                          <a:xfrm>
                            <a:off x="0" y="0"/>
                            <a:ext cx="8086725" cy="952500"/>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165069CA" w14:textId="77777777" w:rsidR="000060DA" w:rsidRDefault="000060DA" w:rsidP="006458A6">
            <w:pPr>
              <w:spacing w:before="120" w:after="120" w:line="252" w:lineRule="auto"/>
              <w:ind w:right="312"/>
              <w:jc w:val="center"/>
            </w:pPr>
          </w:p>
          <w:p w14:paraId="2486973C" w14:textId="31181DB9" w:rsidR="00F54451" w:rsidRDefault="00F54451" w:rsidP="006458A6">
            <w:pPr>
              <w:spacing w:before="120" w:after="120" w:line="252" w:lineRule="auto"/>
              <w:ind w:right="312"/>
              <w:rPr>
                <w:szCs w:val="24"/>
              </w:rPr>
            </w:pPr>
            <w:r w:rsidRPr="00F54451">
              <w:rPr>
                <w:b/>
                <w:bCs/>
                <w:szCs w:val="24"/>
              </w:rPr>
              <w:t xml:space="preserve">Result: </w:t>
            </w:r>
            <w:r w:rsidRPr="00F54451">
              <w:rPr>
                <w:szCs w:val="24"/>
              </w:rPr>
              <w:t>SCC Overrides screen displays.</w:t>
            </w:r>
          </w:p>
          <w:p w14:paraId="175D8EC6" w14:textId="77777777" w:rsidR="000060DA" w:rsidRPr="00F54451" w:rsidRDefault="000060DA" w:rsidP="006458A6">
            <w:pPr>
              <w:spacing w:before="120" w:after="120" w:line="252" w:lineRule="auto"/>
              <w:ind w:right="312"/>
              <w:rPr>
                <w:szCs w:val="24"/>
              </w:rPr>
            </w:pPr>
          </w:p>
          <w:p w14:paraId="01A03C99" w14:textId="77777777" w:rsidR="000E3B4B" w:rsidRDefault="00F54451" w:rsidP="006458A6">
            <w:pPr>
              <w:spacing w:before="120" w:after="120" w:line="252" w:lineRule="auto"/>
              <w:ind w:right="312"/>
              <w:jc w:val="center"/>
              <w:rPr>
                <w:szCs w:val="24"/>
              </w:rPr>
            </w:pPr>
            <w:r>
              <w:rPr>
                <w:noProof/>
              </w:rPr>
              <w:drawing>
                <wp:inline distT="0" distB="0" distL="0" distR="0" wp14:anchorId="106E2365" wp14:editId="6C50A5F7">
                  <wp:extent cx="8134350" cy="14192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134350" cy="1419225"/>
                          </a:xfrm>
                          <a:prstGeom prst="rect">
                            <a:avLst/>
                          </a:prstGeom>
                          <a:noFill/>
                          <a:ln w="9525" cmpd="sng">
                            <a:solidFill>
                              <a:srgbClr val="000000"/>
                            </a:solidFill>
                            <a:miter lim="800000"/>
                            <a:headEnd/>
                            <a:tailEnd/>
                          </a:ln>
                          <a:effectLst/>
                        </pic:spPr>
                      </pic:pic>
                    </a:graphicData>
                  </a:graphic>
                </wp:inline>
              </w:drawing>
            </w:r>
          </w:p>
          <w:p w14:paraId="7E17511A" w14:textId="77777777" w:rsidR="000060DA" w:rsidRDefault="000060DA" w:rsidP="008F2B08">
            <w:pPr>
              <w:spacing w:before="120" w:after="120" w:line="252" w:lineRule="auto"/>
              <w:ind w:right="312"/>
              <w:rPr>
                <w:szCs w:val="24"/>
              </w:rPr>
            </w:pPr>
          </w:p>
          <w:p w14:paraId="24CCA553" w14:textId="05392138" w:rsidR="008F2B08" w:rsidRDefault="008F2B08" w:rsidP="008F2B08">
            <w:pPr>
              <w:spacing w:before="120" w:after="120" w:line="252" w:lineRule="auto"/>
              <w:ind w:right="312"/>
              <w:rPr>
                <w:szCs w:val="24"/>
              </w:rPr>
            </w:pPr>
            <w:r>
              <w:rPr>
                <w:b/>
                <w:bCs/>
                <w:szCs w:val="24"/>
              </w:rPr>
              <w:t>Notes:</w:t>
            </w:r>
            <w:r>
              <w:rPr>
                <w:szCs w:val="24"/>
              </w:rPr>
              <w:t xml:space="preserve"> </w:t>
            </w:r>
          </w:p>
          <w:p w14:paraId="58CEF4F3" w14:textId="5E19A316" w:rsidR="008F2B08" w:rsidRDefault="008F2B08" w:rsidP="008F2B08">
            <w:pPr>
              <w:pStyle w:val="ListParagraph"/>
              <w:numPr>
                <w:ilvl w:val="0"/>
                <w:numId w:val="13"/>
              </w:numPr>
              <w:spacing w:line="252" w:lineRule="auto"/>
              <w:ind w:right="312"/>
            </w:pPr>
            <w:r w:rsidRPr="00EF03E4">
              <w:t xml:space="preserve">For additional ways to view SCC Override information and view other pop-ups that may display depending on the Client, refer to the SCC Overrides </w:t>
            </w:r>
            <w:hyperlink w:anchor="_SCC_Overrides_Scenario" w:history="1">
              <w:r w:rsidRPr="00EF03E4">
                <w:rPr>
                  <w:rStyle w:val="Hyperlink"/>
                </w:rPr>
                <w:t>Scenario Guide</w:t>
              </w:r>
            </w:hyperlink>
            <w:r w:rsidRPr="00EF03E4">
              <w:t xml:space="preserve">. </w:t>
            </w:r>
          </w:p>
          <w:p w14:paraId="5B65D9E1" w14:textId="52443D3B" w:rsidR="008F2B08" w:rsidRPr="007563C5" w:rsidRDefault="008F2B08" w:rsidP="00EF03E4">
            <w:pPr>
              <w:pStyle w:val="ListParagraph"/>
              <w:numPr>
                <w:ilvl w:val="0"/>
                <w:numId w:val="13"/>
              </w:numPr>
              <w:spacing w:line="252" w:lineRule="auto"/>
              <w:ind w:right="312"/>
            </w:pPr>
            <w:r>
              <w:t xml:space="preserve">The SCC overrides pop-up that displays is determined by how the client is set up for SCC codes. If the pop-up advises to check availability via reject claim or states that “SCC not available for this client”, refer to the SCC Overrides </w:t>
            </w:r>
            <w:hyperlink w:anchor="_SCC_Overrides_Scenario" w:history="1">
              <w:r w:rsidRPr="0078556A">
                <w:rPr>
                  <w:rStyle w:val="Hyperlink"/>
                </w:rPr>
                <w:t>Scenario Guide</w:t>
              </w:r>
            </w:hyperlink>
            <w:r>
              <w:t>.</w:t>
            </w:r>
          </w:p>
        </w:tc>
      </w:tr>
      <w:tr w:rsidR="000E3B4B" w14:paraId="6D699071" w14:textId="77777777" w:rsidTr="008F6434">
        <w:tc>
          <w:tcPr>
            <w:tcW w:w="243" w:type="pct"/>
            <w:vMerge w:val="restart"/>
            <w:tcBorders>
              <w:top w:val="single" w:sz="4" w:space="0" w:color="auto"/>
              <w:left w:val="single" w:sz="4" w:space="0" w:color="auto"/>
              <w:bottom w:val="single" w:sz="4" w:space="0" w:color="auto"/>
              <w:right w:val="single" w:sz="4" w:space="0" w:color="auto"/>
            </w:tcBorders>
            <w:hideMark/>
          </w:tcPr>
          <w:p w14:paraId="436EE305" w14:textId="3BD49AE0" w:rsidR="000E3B4B" w:rsidRPr="006458A6" w:rsidRDefault="00C1473D" w:rsidP="006458A6">
            <w:pPr>
              <w:spacing w:before="120" w:after="120"/>
              <w:jc w:val="center"/>
              <w:rPr>
                <w:b/>
                <w:bCs/>
              </w:rPr>
            </w:pPr>
            <w:r w:rsidRPr="006458A6">
              <w:rPr>
                <w:b/>
                <w:bCs/>
              </w:rPr>
              <w:t>2</w:t>
            </w:r>
          </w:p>
        </w:tc>
        <w:tc>
          <w:tcPr>
            <w:tcW w:w="4757" w:type="pct"/>
            <w:gridSpan w:val="2"/>
            <w:tcBorders>
              <w:top w:val="single" w:sz="4" w:space="0" w:color="auto"/>
              <w:left w:val="single" w:sz="4" w:space="0" w:color="auto"/>
              <w:bottom w:val="single" w:sz="4" w:space="0" w:color="auto"/>
              <w:right w:val="single" w:sz="4" w:space="0" w:color="auto"/>
            </w:tcBorders>
          </w:tcPr>
          <w:p w14:paraId="2ECB1E2F" w14:textId="076D1100" w:rsidR="00045135" w:rsidRPr="00312FA2" w:rsidRDefault="00045135" w:rsidP="006458A6">
            <w:pPr>
              <w:spacing w:before="120" w:after="120" w:line="252" w:lineRule="auto"/>
              <w:ind w:right="312"/>
              <w:rPr>
                <w:noProof/>
                <w:szCs w:val="24"/>
              </w:rPr>
            </w:pPr>
            <w:r w:rsidRPr="00312FA2">
              <w:rPr>
                <w:noProof/>
                <w:szCs w:val="24"/>
              </w:rPr>
              <w:t xml:space="preserve">Review the </w:t>
            </w:r>
            <w:r w:rsidRPr="00312FA2">
              <w:rPr>
                <w:b/>
                <w:bCs/>
                <w:noProof/>
                <w:szCs w:val="24"/>
              </w:rPr>
              <w:t xml:space="preserve">SCC Overrides </w:t>
            </w:r>
            <w:r w:rsidRPr="00312FA2">
              <w:rPr>
                <w:noProof/>
                <w:szCs w:val="24"/>
              </w:rPr>
              <w:t>screen</w:t>
            </w:r>
            <w:r w:rsidR="00312FA2" w:rsidRPr="00312FA2">
              <w:rPr>
                <w:noProof/>
                <w:szCs w:val="24"/>
              </w:rPr>
              <w:t>.</w:t>
            </w:r>
          </w:p>
          <w:p w14:paraId="156ABA17" w14:textId="4BB9571C" w:rsidR="00045135" w:rsidRPr="000060DA" w:rsidRDefault="00045135" w:rsidP="006458A6">
            <w:pPr>
              <w:spacing w:before="120" w:after="120" w:line="252" w:lineRule="auto"/>
              <w:ind w:right="312"/>
              <w:rPr>
                <w:b/>
                <w:bCs/>
                <w:noProof/>
                <w:szCs w:val="24"/>
              </w:rPr>
            </w:pPr>
            <w:r w:rsidRPr="000060DA">
              <w:rPr>
                <w:b/>
                <w:bCs/>
                <w:noProof/>
                <w:szCs w:val="24"/>
              </w:rPr>
              <w:t>Notes:</w:t>
            </w:r>
            <w:r w:rsidR="008C5DFF">
              <w:rPr>
                <w:b/>
                <w:bCs/>
                <w:noProof/>
                <w:szCs w:val="24"/>
              </w:rPr>
              <w:t xml:space="preserve"> </w:t>
            </w:r>
          </w:p>
          <w:p w14:paraId="09B65837" w14:textId="2DBCC5D3" w:rsidR="000E3B4B" w:rsidRPr="00312FA2" w:rsidRDefault="000E3B4B" w:rsidP="006458A6">
            <w:pPr>
              <w:pStyle w:val="ListParagraph"/>
              <w:numPr>
                <w:ilvl w:val="0"/>
                <w:numId w:val="1"/>
              </w:numPr>
              <w:spacing w:line="252" w:lineRule="auto"/>
              <w:ind w:right="312"/>
              <w:rPr>
                <w:noProof/>
              </w:rPr>
            </w:pPr>
            <w:r w:rsidRPr="00312FA2">
              <w:rPr>
                <w:noProof/>
              </w:rPr>
              <w:t xml:space="preserve">The </w:t>
            </w:r>
            <w:r w:rsidRPr="00312FA2">
              <w:rPr>
                <w:b/>
                <w:bCs/>
                <w:noProof/>
              </w:rPr>
              <w:t>View</w:t>
            </w:r>
            <w:r w:rsidRPr="00312FA2">
              <w:rPr>
                <w:noProof/>
              </w:rPr>
              <w:t xml:space="preserve"> hyperlink located in the Claim(s) column will display claims adjudicate with a specific SCC Override in a separate pop-up. </w:t>
            </w:r>
          </w:p>
          <w:p w14:paraId="5F08BDE3" w14:textId="278FF0BA" w:rsidR="000E3B4B" w:rsidRPr="00071C23" w:rsidRDefault="000E3B4B" w:rsidP="006458A6">
            <w:pPr>
              <w:pStyle w:val="ListParagraph"/>
              <w:numPr>
                <w:ilvl w:val="0"/>
                <w:numId w:val="1"/>
              </w:numPr>
              <w:spacing w:line="252" w:lineRule="auto"/>
              <w:ind w:right="312"/>
              <w:rPr>
                <w:noProof/>
              </w:rPr>
            </w:pPr>
            <w:r w:rsidRPr="00312FA2">
              <w:rPr>
                <w:color w:val="000000"/>
              </w:rPr>
              <w:t>If one of these codes are input but the system has previously used all allowed occurrences, the claim will reject. </w:t>
            </w:r>
          </w:p>
        </w:tc>
      </w:tr>
      <w:tr w:rsidR="000E3B4B" w14:paraId="7252CA64" w14:textId="77777777" w:rsidTr="008F6434">
        <w:tc>
          <w:tcPr>
            <w:tcW w:w="0" w:type="auto"/>
            <w:vMerge/>
            <w:vAlign w:val="center"/>
            <w:hideMark/>
          </w:tcPr>
          <w:p w14:paraId="05D73D3C" w14:textId="77777777" w:rsidR="000E3B4B" w:rsidRPr="006458A6" w:rsidRDefault="000E3B4B" w:rsidP="006458A6">
            <w:pPr>
              <w:spacing w:before="120" w:after="120"/>
              <w:jc w:val="center"/>
              <w:rPr>
                <w:rFonts w:eastAsia="Times New Roman" w:cs="Times New Roman"/>
                <w:b/>
                <w:bCs/>
                <w:szCs w:val="24"/>
              </w:rPr>
            </w:pPr>
          </w:p>
        </w:tc>
        <w:tc>
          <w:tcPr>
            <w:tcW w:w="154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54D5C7" w14:textId="77777777" w:rsidR="000E3B4B" w:rsidRPr="00312FA2" w:rsidRDefault="000E3B4B" w:rsidP="006458A6">
            <w:pPr>
              <w:spacing w:before="120" w:after="120" w:line="252" w:lineRule="auto"/>
              <w:ind w:right="312"/>
              <w:jc w:val="center"/>
              <w:rPr>
                <w:b/>
                <w:bCs/>
                <w:szCs w:val="24"/>
              </w:rPr>
            </w:pPr>
            <w:r w:rsidRPr="00312FA2">
              <w:rPr>
                <w:b/>
                <w:bCs/>
                <w:szCs w:val="24"/>
              </w:rPr>
              <w:t>If the SCC Override Screen indicates…</w:t>
            </w:r>
          </w:p>
        </w:tc>
        <w:tc>
          <w:tcPr>
            <w:tcW w:w="3208"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9A08DD" w14:textId="77777777" w:rsidR="000E3B4B" w:rsidRPr="00312FA2" w:rsidRDefault="000E3B4B" w:rsidP="006458A6">
            <w:pPr>
              <w:spacing w:before="120" w:after="120" w:line="252" w:lineRule="auto"/>
              <w:ind w:right="312"/>
              <w:jc w:val="center"/>
              <w:rPr>
                <w:b/>
                <w:bCs/>
                <w:szCs w:val="24"/>
              </w:rPr>
            </w:pPr>
            <w:r w:rsidRPr="00312FA2">
              <w:rPr>
                <w:b/>
                <w:bCs/>
                <w:szCs w:val="24"/>
              </w:rPr>
              <w:t>Then…</w:t>
            </w:r>
          </w:p>
        </w:tc>
      </w:tr>
      <w:tr w:rsidR="000E3B4B" w14:paraId="6B1FE2BC" w14:textId="77777777" w:rsidTr="008F6434">
        <w:tc>
          <w:tcPr>
            <w:tcW w:w="0" w:type="auto"/>
            <w:vMerge/>
            <w:vAlign w:val="center"/>
            <w:hideMark/>
          </w:tcPr>
          <w:p w14:paraId="6D2B62CD" w14:textId="77777777" w:rsidR="000E3B4B" w:rsidRPr="006458A6" w:rsidRDefault="000E3B4B" w:rsidP="006458A6">
            <w:pPr>
              <w:spacing w:before="120" w:after="120"/>
              <w:jc w:val="center"/>
              <w:rPr>
                <w:rFonts w:eastAsia="Times New Roman" w:cs="Times New Roman"/>
                <w:b/>
                <w:bCs/>
                <w:szCs w:val="24"/>
              </w:rPr>
            </w:pPr>
          </w:p>
        </w:tc>
        <w:tc>
          <w:tcPr>
            <w:tcW w:w="1549" w:type="pct"/>
            <w:tcBorders>
              <w:top w:val="single" w:sz="4" w:space="0" w:color="auto"/>
              <w:left w:val="single" w:sz="4" w:space="0" w:color="auto"/>
              <w:bottom w:val="single" w:sz="4" w:space="0" w:color="auto"/>
              <w:right w:val="single" w:sz="4" w:space="0" w:color="auto"/>
            </w:tcBorders>
            <w:hideMark/>
          </w:tcPr>
          <w:p w14:paraId="347A31B5" w14:textId="77777777" w:rsidR="000E3B4B" w:rsidRPr="00312FA2" w:rsidRDefault="000E3B4B" w:rsidP="006458A6">
            <w:pPr>
              <w:spacing w:before="120" w:after="120" w:line="252" w:lineRule="auto"/>
              <w:ind w:right="312"/>
              <w:rPr>
                <w:szCs w:val="24"/>
              </w:rPr>
            </w:pPr>
            <w:bookmarkStart w:id="6" w:name="OLE_LINK11"/>
            <w:r w:rsidRPr="00312FA2">
              <w:rPr>
                <w:szCs w:val="24"/>
              </w:rPr>
              <w:t xml:space="preserve">There are no remaining </w:t>
            </w:r>
            <w:bookmarkEnd w:id="6"/>
            <w:r w:rsidRPr="00312FA2">
              <w:rPr>
                <w:szCs w:val="24"/>
              </w:rPr>
              <w:t xml:space="preserve">SCC Overrides in the </w:t>
            </w:r>
            <w:r w:rsidRPr="00312FA2">
              <w:rPr>
                <w:b/>
                <w:bCs/>
                <w:szCs w:val="24"/>
              </w:rPr>
              <w:t>Remaining</w:t>
            </w:r>
            <w:r w:rsidRPr="00312FA2">
              <w:rPr>
                <w:szCs w:val="24"/>
              </w:rPr>
              <w:t xml:space="preserve"> column</w:t>
            </w:r>
          </w:p>
        </w:tc>
        <w:tc>
          <w:tcPr>
            <w:tcW w:w="3208" w:type="pct"/>
            <w:tcBorders>
              <w:top w:val="single" w:sz="4" w:space="0" w:color="auto"/>
              <w:left w:val="single" w:sz="4" w:space="0" w:color="auto"/>
              <w:bottom w:val="single" w:sz="4" w:space="0" w:color="auto"/>
              <w:right w:val="single" w:sz="4" w:space="0" w:color="auto"/>
            </w:tcBorders>
          </w:tcPr>
          <w:p w14:paraId="4ED1C17F" w14:textId="77777777" w:rsidR="000E3B4B" w:rsidRPr="00312FA2" w:rsidRDefault="000E3B4B" w:rsidP="006458A6">
            <w:pPr>
              <w:spacing w:before="120" w:after="120" w:line="252" w:lineRule="auto"/>
              <w:ind w:right="312"/>
              <w:rPr>
                <w:szCs w:val="24"/>
              </w:rPr>
            </w:pPr>
            <w:r w:rsidRPr="00312FA2">
              <w:rPr>
                <w:szCs w:val="24"/>
              </w:rPr>
              <w:t xml:space="preserve">Check the </w:t>
            </w:r>
            <w:bookmarkStart w:id="7" w:name="OLE_LINK3"/>
            <w:r w:rsidRPr="00312FA2">
              <w:rPr>
                <w:b/>
                <w:bCs/>
                <w:szCs w:val="24"/>
              </w:rPr>
              <w:t>CIF</w:t>
            </w:r>
            <w:r w:rsidRPr="00312FA2">
              <w:rPr>
                <w:szCs w:val="24"/>
              </w:rPr>
              <w:t xml:space="preserve"> for any additional overrides available. </w:t>
            </w:r>
          </w:p>
          <w:p w14:paraId="70DB91A6" w14:textId="5590A817" w:rsidR="000E3B4B" w:rsidRPr="00312FA2" w:rsidRDefault="000E3B4B" w:rsidP="009434DE">
            <w:pPr>
              <w:pStyle w:val="ListParagraph"/>
              <w:numPr>
                <w:ilvl w:val="0"/>
                <w:numId w:val="2"/>
              </w:numPr>
              <w:spacing w:line="252" w:lineRule="auto"/>
              <w:ind w:left="436" w:right="312"/>
            </w:pPr>
            <w:bookmarkStart w:id="8" w:name="OLE_LINK10"/>
            <w:r w:rsidRPr="00312FA2">
              <w:t xml:space="preserve">If available, enter the appropriate override per the </w:t>
            </w:r>
            <w:r w:rsidRPr="00312FA2">
              <w:rPr>
                <w:b/>
                <w:bCs/>
              </w:rPr>
              <w:t>CIF</w:t>
            </w:r>
            <w:r w:rsidRPr="00312FA2">
              <w:t xml:space="preserve">. </w:t>
            </w:r>
            <w:r w:rsidR="00514D71">
              <w:t xml:space="preserve">Refer to </w:t>
            </w:r>
            <w:hyperlink r:id="rId13" w:anchor="!/view?docid=c603121d-bba5-4ec2-97ab-5b047f1c3ab1" w:history="1">
              <w:r w:rsidR="0009440A">
                <w:rPr>
                  <w:rStyle w:val="Hyperlink"/>
                </w:rPr>
                <w:t>Compass – Plan Benefit Override (PBO) at Retail (061703)</w:t>
              </w:r>
            </w:hyperlink>
            <w:r w:rsidR="00514D71">
              <w:t>.</w:t>
            </w:r>
            <w:r w:rsidRPr="00312FA2">
              <w:t xml:space="preserve"> </w:t>
            </w:r>
          </w:p>
          <w:p w14:paraId="3B8EAA16" w14:textId="728CC423" w:rsidR="000E3B4B" w:rsidRPr="00841645" w:rsidRDefault="000E3B4B" w:rsidP="009434DE">
            <w:pPr>
              <w:pStyle w:val="ListParagraph"/>
              <w:numPr>
                <w:ilvl w:val="0"/>
                <w:numId w:val="2"/>
              </w:numPr>
              <w:spacing w:line="252" w:lineRule="auto"/>
              <w:ind w:left="436" w:right="312"/>
            </w:pPr>
            <w:r w:rsidRPr="00312FA2">
              <w:t xml:space="preserve">If not available, </w:t>
            </w:r>
            <w:r w:rsidR="00841645">
              <w:t>inform</w:t>
            </w:r>
            <w:r w:rsidRPr="00312FA2">
              <w:t xml:space="preserve"> the </w:t>
            </w:r>
            <w:r w:rsidR="003706C2">
              <w:t>caller</w:t>
            </w:r>
            <w:r w:rsidRPr="00312FA2">
              <w:t xml:space="preserve"> that the override is not available. </w:t>
            </w:r>
            <w:bookmarkEnd w:id="7"/>
            <w:bookmarkEnd w:id="8"/>
          </w:p>
        </w:tc>
      </w:tr>
      <w:tr w:rsidR="008F27B3" w14:paraId="2D537A6A" w14:textId="77777777" w:rsidTr="008F6434">
        <w:tc>
          <w:tcPr>
            <w:tcW w:w="0" w:type="auto"/>
            <w:vMerge/>
            <w:vAlign w:val="center"/>
          </w:tcPr>
          <w:p w14:paraId="2E16FF76" w14:textId="77777777" w:rsidR="008F27B3" w:rsidRPr="006458A6" w:rsidRDefault="008F27B3" w:rsidP="006458A6">
            <w:pPr>
              <w:spacing w:before="120" w:after="120"/>
              <w:jc w:val="center"/>
              <w:rPr>
                <w:rFonts w:eastAsia="Times New Roman" w:cs="Times New Roman"/>
                <w:b/>
                <w:bCs/>
                <w:szCs w:val="24"/>
              </w:rPr>
            </w:pPr>
          </w:p>
        </w:tc>
        <w:tc>
          <w:tcPr>
            <w:tcW w:w="1549" w:type="pct"/>
            <w:tcBorders>
              <w:top w:val="single" w:sz="4" w:space="0" w:color="auto"/>
              <w:left w:val="single" w:sz="4" w:space="0" w:color="auto"/>
              <w:bottom w:val="single" w:sz="4" w:space="0" w:color="auto"/>
              <w:right w:val="single" w:sz="4" w:space="0" w:color="auto"/>
            </w:tcBorders>
          </w:tcPr>
          <w:p w14:paraId="59F10640" w14:textId="5A3794EB" w:rsidR="00692F41" w:rsidRPr="00312FA2" w:rsidRDefault="009E612B" w:rsidP="00692F41">
            <w:pPr>
              <w:spacing w:before="120" w:after="120" w:line="252" w:lineRule="auto"/>
              <w:ind w:right="312"/>
              <w:rPr>
                <w:szCs w:val="24"/>
              </w:rPr>
            </w:pPr>
            <w:r>
              <w:rPr>
                <w:szCs w:val="24"/>
              </w:rPr>
              <w:t xml:space="preserve"> </w:t>
            </w:r>
            <w:r w:rsidR="00692F41" w:rsidRPr="00312FA2">
              <w:rPr>
                <w:szCs w:val="24"/>
              </w:rPr>
              <w:t xml:space="preserve">SCC overrides are </w:t>
            </w:r>
            <w:r w:rsidR="00692F41" w:rsidRPr="00312FA2">
              <w:rPr>
                <w:b/>
                <w:bCs/>
                <w:szCs w:val="24"/>
              </w:rPr>
              <w:t>Allowed</w:t>
            </w:r>
            <w:r w:rsidR="00692F41" w:rsidRPr="00312FA2">
              <w:rPr>
                <w:szCs w:val="24"/>
              </w:rPr>
              <w:t xml:space="preserve"> in the </w:t>
            </w:r>
            <w:r w:rsidR="00692F41" w:rsidRPr="00312FA2">
              <w:rPr>
                <w:b/>
                <w:bCs/>
                <w:szCs w:val="24"/>
              </w:rPr>
              <w:t>Allowed</w:t>
            </w:r>
            <w:r w:rsidR="00692F41" w:rsidRPr="00312FA2">
              <w:rPr>
                <w:szCs w:val="24"/>
              </w:rPr>
              <w:t xml:space="preserve"> column</w:t>
            </w:r>
          </w:p>
          <w:p w14:paraId="1327DB00" w14:textId="76E96604" w:rsidR="00D44DB2" w:rsidRDefault="00D44DB2" w:rsidP="00D44DB2">
            <w:pPr>
              <w:pStyle w:val="ListParagraph"/>
              <w:numPr>
                <w:ilvl w:val="0"/>
                <w:numId w:val="21"/>
              </w:numPr>
              <w:spacing w:line="252" w:lineRule="auto"/>
              <w:ind w:right="312"/>
            </w:pPr>
            <w:r w:rsidRPr="00D4743A">
              <w:t>If the member is calling</w:t>
            </w:r>
            <w:r w:rsidR="00AC1BD5">
              <w:t xml:space="preserve"> and they are</w:t>
            </w:r>
            <w:r w:rsidRPr="00D4743A">
              <w:t xml:space="preserve"> </w:t>
            </w:r>
            <w:r w:rsidRPr="0000351D">
              <w:t>not at the pharmacy,</w:t>
            </w:r>
            <w:r w:rsidRPr="00D4743A">
              <w:t xml:space="preserve"> ask to place them on hold while you call the pharmacy.</w:t>
            </w:r>
            <w:r>
              <w:t xml:space="preserve"> </w:t>
            </w:r>
          </w:p>
          <w:p w14:paraId="74FA7C77" w14:textId="77777777" w:rsidR="00D44DB2" w:rsidRDefault="00D44DB2" w:rsidP="00CF28FD">
            <w:pPr>
              <w:pStyle w:val="ListParagraph"/>
              <w:spacing w:line="252" w:lineRule="auto"/>
              <w:ind w:right="312"/>
            </w:pPr>
          </w:p>
          <w:p w14:paraId="4353136E" w14:textId="2F021575" w:rsidR="0089050A" w:rsidRPr="007806AF" w:rsidRDefault="008F6434" w:rsidP="00411B9F">
            <w:pPr>
              <w:pStyle w:val="ListParagraph"/>
              <w:numPr>
                <w:ilvl w:val="0"/>
                <w:numId w:val="21"/>
              </w:numPr>
              <w:spacing w:line="252" w:lineRule="auto"/>
              <w:ind w:right="312"/>
            </w:pPr>
            <w:r>
              <w:rPr>
                <w:noProof/>
              </w:rPr>
              <w:drawing>
                <wp:inline distT="0" distB="0" distL="0" distR="0" wp14:anchorId="6B3FA486" wp14:editId="03979A5A">
                  <wp:extent cx="304762" cy="304762"/>
                  <wp:effectExtent l="0" t="0" r="635" b="635"/>
                  <wp:docPr id="94209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95967" name="Picture 942095967"/>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92F41" w:rsidRPr="00CF28FD">
              <w:t xml:space="preserve">If the member is at the pharmacy and can </w:t>
            </w:r>
            <w:r w:rsidR="00FB1634">
              <w:t xml:space="preserve">provide </w:t>
            </w:r>
            <w:r w:rsidR="00573C4B">
              <w:t>the</w:t>
            </w:r>
            <w:r w:rsidR="00692F41" w:rsidRPr="00CF28FD">
              <w:t xml:space="preserve"> information to </w:t>
            </w:r>
            <w:r w:rsidR="002F0984">
              <w:t>them</w:t>
            </w:r>
            <w:r w:rsidR="00692F41" w:rsidRPr="00CF28FD">
              <w:t>, explain the steps that should be taken</w:t>
            </w:r>
            <w:r w:rsidR="00E97596">
              <w:t xml:space="preserve"> by the pharmacy</w:t>
            </w:r>
          </w:p>
        </w:tc>
        <w:tc>
          <w:tcPr>
            <w:tcW w:w="3208" w:type="pct"/>
            <w:tcBorders>
              <w:top w:val="single" w:sz="4" w:space="0" w:color="auto"/>
              <w:left w:val="single" w:sz="4" w:space="0" w:color="auto"/>
              <w:bottom w:val="single" w:sz="4" w:space="0" w:color="auto"/>
              <w:right w:val="single" w:sz="4" w:space="0" w:color="auto"/>
            </w:tcBorders>
          </w:tcPr>
          <w:p w14:paraId="608F55FE" w14:textId="15CCF003" w:rsidR="00CF28FD" w:rsidRPr="00974DDE" w:rsidRDefault="008E5124" w:rsidP="00CF28FD">
            <w:pPr>
              <w:pStyle w:val="ListParagraph"/>
              <w:numPr>
                <w:ilvl w:val="0"/>
                <w:numId w:val="21"/>
              </w:numPr>
              <w:spacing w:line="360" w:lineRule="auto"/>
            </w:pPr>
            <w:r w:rsidRPr="00974DDE">
              <w:t xml:space="preserve">Provide the SCC to the pharmacy and advise them to resubmit the claim. </w:t>
            </w:r>
          </w:p>
          <w:p w14:paraId="50FF9DC3" w14:textId="44CE358F" w:rsidR="008E5124" w:rsidRDefault="008E5124" w:rsidP="00CF28FD">
            <w:pPr>
              <w:pStyle w:val="ListParagraph"/>
              <w:numPr>
                <w:ilvl w:val="0"/>
                <w:numId w:val="21"/>
              </w:numPr>
              <w:spacing w:line="360" w:lineRule="auto"/>
            </w:pPr>
            <w:r w:rsidRPr="145B9184">
              <w:t>Stay on the line until the claim pays. Refresh Claims Tab to verify paid claim is showing on our side.</w:t>
            </w:r>
          </w:p>
          <w:p w14:paraId="0CCC31A8" w14:textId="7BE4D56C" w:rsidR="00B97A44" w:rsidRDefault="00B97A44" w:rsidP="00CF28FD">
            <w:pPr>
              <w:pStyle w:val="ListParagraph"/>
              <w:numPr>
                <w:ilvl w:val="1"/>
                <w:numId w:val="16"/>
              </w:numPr>
              <w:spacing w:line="360" w:lineRule="auto"/>
            </w:pPr>
            <w:r>
              <w:t xml:space="preserve">If a paid claim is received </w:t>
            </w:r>
            <w:r w:rsidR="0091357B">
              <w:t>continue with</w:t>
            </w:r>
            <w:r w:rsidR="00C32590">
              <w:t xml:space="preserve"> the call flow and</w:t>
            </w:r>
            <w:r w:rsidR="0091357B">
              <w:t xml:space="preserve"> any </w:t>
            </w:r>
            <w:r w:rsidR="00A41784">
              <w:t>additional</w:t>
            </w:r>
            <w:r w:rsidR="0091357B">
              <w:t xml:space="preserve"> </w:t>
            </w:r>
            <w:r w:rsidR="00C32590">
              <w:t>concerns</w:t>
            </w:r>
            <w:r w:rsidR="00A41784">
              <w:t xml:space="preserve"> the member may have.</w:t>
            </w:r>
          </w:p>
          <w:p w14:paraId="4BC2150F" w14:textId="468DB15D" w:rsidR="00A41784" w:rsidRPr="00974DDE" w:rsidRDefault="00A41784" w:rsidP="00CF28FD">
            <w:pPr>
              <w:pStyle w:val="ListParagraph"/>
              <w:numPr>
                <w:ilvl w:val="1"/>
                <w:numId w:val="16"/>
              </w:numPr>
              <w:spacing w:line="360" w:lineRule="auto"/>
            </w:pPr>
            <w:r>
              <w:t>If a rejected claim is received</w:t>
            </w:r>
            <w:r w:rsidR="004207E3">
              <w:t>,</w:t>
            </w:r>
            <w:r>
              <w:t xml:space="preserve"> continue to</w:t>
            </w:r>
            <w:r w:rsidR="004207E3">
              <w:t xml:space="preserve"> </w:t>
            </w:r>
            <w:hyperlink w:anchor="RejectedClaimReceivedSCCCodeUsed" w:history="1">
              <w:r w:rsidR="00411B9F" w:rsidRPr="00411B9F">
                <w:rPr>
                  <w:rStyle w:val="Hyperlink"/>
                </w:rPr>
                <w:t>A</w:t>
              </w:r>
              <w:r w:rsidRPr="00411B9F">
                <w:rPr>
                  <w:rStyle w:val="Hyperlink"/>
                </w:rPr>
                <w:t xml:space="preserve"> Rejected Claim is received when an SCC code used</w:t>
              </w:r>
            </w:hyperlink>
            <w:r w:rsidRPr="004207E3">
              <w:t>.</w:t>
            </w:r>
          </w:p>
          <w:p w14:paraId="651D3A53" w14:textId="77777777" w:rsidR="008F27B3" w:rsidRPr="00312FA2" w:rsidRDefault="008F27B3" w:rsidP="006458A6">
            <w:pPr>
              <w:spacing w:before="120" w:after="120" w:line="252" w:lineRule="auto"/>
              <w:ind w:right="312"/>
              <w:rPr>
                <w:szCs w:val="24"/>
              </w:rPr>
            </w:pPr>
          </w:p>
        </w:tc>
      </w:tr>
      <w:tr w:rsidR="00692F41" w14:paraId="66846E9C" w14:textId="77777777" w:rsidTr="008F6434">
        <w:tc>
          <w:tcPr>
            <w:tcW w:w="0" w:type="auto"/>
            <w:vMerge/>
            <w:vAlign w:val="center"/>
          </w:tcPr>
          <w:p w14:paraId="651CECCD" w14:textId="77777777" w:rsidR="00692F41" w:rsidRPr="006458A6" w:rsidRDefault="00692F41" w:rsidP="006458A6">
            <w:pPr>
              <w:spacing w:before="120" w:after="120"/>
              <w:jc w:val="center"/>
              <w:rPr>
                <w:rFonts w:eastAsia="Times New Roman" w:cs="Times New Roman"/>
                <w:b/>
                <w:bCs/>
                <w:szCs w:val="24"/>
              </w:rPr>
            </w:pPr>
          </w:p>
        </w:tc>
        <w:tc>
          <w:tcPr>
            <w:tcW w:w="1549" w:type="pct"/>
            <w:tcBorders>
              <w:top w:val="single" w:sz="4" w:space="0" w:color="auto"/>
              <w:left w:val="single" w:sz="4" w:space="0" w:color="auto"/>
              <w:bottom w:val="single" w:sz="4" w:space="0" w:color="auto"/>
              <w:right w:val="single" w:sz="4" w:space="0" w:color="auto"/>
            </w:tcBorders>
          </w:tcPr>
          <w:p w14:paraId="087A2130" w14:textId="53732DAE" w:rsidR="008E5124" w:rsidRPr="008E5124" w:rsidRDefault="00576799" w:rsidP="00CF28FD">
            <w:pPr>
              <w:spacing w:before="120" w:after="120"/>
            </w:pPr>
            <w:bookmarkStart w:id="9" w:name="RejectedClaimReceivedSCCCodeUsed"/>
            <w:r>
              <w:t>A</w:t>
            </w:r>
            <w:r w:rsidR="008E5124" w:rsidRPr="008E5124">
              <w:t xml:space="preserve"> Rejected Claim is received when an SCC code used</w:t>
            </w:r>
            <w:bookmarkEnd w:id="9"/>
          </w:p>
          <w:p w14:paraId="21B55488" w14:textId="77777777" w:rsidR="00692F41" w:rsidRPr="00312FA2" w:rsidRDefault="00692F41" w:rsidP="006458A6">
            <w:pPr>
              <w:spacing w:before="120" w:after="120" w:line="252" w:lineRule="auto"/>
              <w:ind w:right="312"/>
              <w:rPr>
                <w:szCs w:val="24"/>
              </w:rPr>
            </w:pPr>
          </w:p>
        </w:tc>
        <w:tc>
          <w:tcPr>
            <w:tcW w:w="3208" w:type="pct"/>
            <w:tcBorders>
              <w:top w:val="single" w:sz="4" w:space="0" w:color="auto"/>
              <w:left w:val="single" w:sz="4" w:space="0" w:color="auto"/>
              <w:bottom w:val="single" w:sz="4" w:space="0" w:color="auto"/>
              <w:right w:val="single" w:sz="4" w:space="0" w:color="auto"/>
            </w:tcBorders>
          </w:tcPr>
          <w:p w14:paraId="739E6CC6" w14:textId="77777777" w:rsidR="008E5124" w:rsidRPr="00974DDE" w:rsidRDefault="008E5124" w:rsidP="00CF28FD">
            <w:pPr>
              <w:pStyle w:val="ListParagraph"/>
              <w:numPr>
                <w:ilvl w:val="1"/>
                <w:numId w:val="3"/>
              </w:numPr>
              <w:spacing w:line="360" w:lineRule="auto"/>
              <w:ind w:left="796"/>
            </w:pPr>
            <w:r w:rsidRPr="00974DDE">
              <w:t>Verify if member override limit exceeded (Allowed = Used).</w:t>
            </w:r>
          </w:p>
          <w:p w14:paraId="1FBFCA76" w14:textId="77777777" w:rsidR="008E5124" w:rsidRPr="00974DDE" w:rsidRDefault="008E5124" w:rsidP="00CF28FD">
            <w:pPr>
              <w:pStyle w:val="ListParagraph"/>
              <w:numPr>
                <w:ilvl w:val="1"/>
                <w:numId w:val="3"/>
              </w:numPr>
              <w:spacing w:line="360" w:lineRule="auto"/>
              <w:ind w:left="796"/>
            </w:pPr>
            <w:r w:rsidRPr="00974DDE">
              <w:t>Verify if Client does not support SCC codes (Reject 8R).</w:t>
            </w:r>
          </w:p>
          <w:p w14:paraId="1BC6E550" w14:textId="77777777" w:rsidR="008E5124" w:rsidRDefault="008E5124" w:rsidP="00CF28FD">
            <w:pPr>
              <w:pStyle w:val="ListParagraph"/>
              <w:numPr>
                <w:ilvl w:val="1"/>
                <w:numId w:val="3"/>
              </w:numPr>
              <w:spacing w:line="360" w:lineRule="auto"/>
              <w:ind w:left="796"/>
            </w:pPr>
            <w:r w:rsidRPr="00974DDE">
              <w:t xml:space="preserve">Verify if SCC Code used and resulted in an additional reject code: </w:t>
            </w:r>
          </w:p>
          <w:p w14:paraId="3857FCBD" w14:textId="77777777" w:rsidR="008E5124" w:rsidRPr="0097225F" w:rsidRDefault="008E5124" w:rsidP="00CF28FD">
            <w:pPr>
              <w:pStyle w:val="ListParagraph"/>
              <w:numPr>
                <w:ilvl w:val="0"/>
                <w:numId w:val="18"/>
              </w:numPr>
              <w:spacing w:line="360" w:lineRule="auto"/>
            </w:pPr>
            <w:r w:rsidRPr="0097225F">
              <w:t xml:space="preserve">7X – Max Day supply – Refer to </w:t>
            </w:r>
            <w:hyperlink r:id="rId15" w:anchor="!/view?docid=fea6203a-ff9d-4030-9a2f-5f009243fbb2" w:tgtFrame="_blank" w:history="1">
              <w:r w:rsidRPr="0097225F">
                <w:rPr>
                  <w:rStyle w:val="Hyperlink"/>
                </w:rPr>
                <w:t>Compass – 7x Rejection (061707)</w:t>
              </w:r>
            </w:hyperlink>
            <w:r w:rsidRPr="0097225F">
              <w:t>.</w:t>
            </w:r>
          </w:p>
          <w:p w14:paraId="2287ADDD" w14:textId="77777777" w:rsidR="008E5124" w:rsidRPr="0097225F" w:rsidRDefault="008E5124" w:rsidP="00CF28FD">
            <w:pPr>
              <w:pStyle w:val="ListParagraph"/>
              <w:numPr>
                <w:ilvl w:val="0"/>
                <w:numId w:val="18"/>
              </w:numPr>
              <w:spacing w:line="360" w:lineRule="auto"/>
            </w:pPr>
            <w:r w:rsidRPr="0097225F">
              <w:t>78 – Review process for drug cost maximum.</w:t>
            </w:r>
          </w:p>
          <w:p w14:paraId="4A25AA89" w14:textId="77777777" w:rsidR="008E5124" w:rsidRPr="00974DDE" w:rsidRDefault="008E5124" w:rsidP="00CF28FD">
            <w:pPr>
              <w:pStyle w:val="ListParagraph"/>
              <w:spacing w:line="360" w:lineRule="auto"/>
              <w:ind w:left="1440"/>
            </w:pPr>
            <w:r w:rsidRPr="001C45F5">
              <w:rPr>
                <w:b/>
                <w:bCs/>
              </w:rPr>
              <w:t>Note:</w:t>
            </w:r>
            <w:r>
              <w:t xml:space="preserve"> </w:t>
            </w:r>
            <w:r w:rsidRPr="00974DDE">
              <w:t>Code used on other reject code (76, 19, 70) not eligible. Follow current process based on reject message.</w:t>
            </w:r>
          </w:p>
          <w:p w14:paraId="220C2CE7" w14:textId="77777777" w:rsidR="008E5124" w:rsidRDefault="008E5124" w:rsidP="00CF28FD">
            <w:pPr>
              <w:pStyle w:val="ListParagraph"/>
              <w:numPr>
                <w:ilvl w:val="1"/>
                <w:numId w:val="3"/>
              </w:numPr>
              <w:spacing w:line="360" w:lineRule="auto"/>
              <w:ind w:left="796"/>
            </w:pPr>
            <w:r w:rsidRPr="00974DDE">
              <w:t>Verify if Incorrect SCC code used based on override request (</w:t>
            </w:r>
            <w:r w:rsidRPr="001F0B9C">
              <w:rPr>
                <w:b/>
                <w:bCs/>
              </w:rPr>
              <w:t>Example:</w:t>
            </w:r>
            <w:r>
              <w:t xml:space="preserve"> </w:t>
            </w:r>
            <w:r w:rsidRPr="00974DDE">
              <w:t>05 used for VA) Provide valid code and resubmit.</w:t>
            </w:r>
          </w:p>
          <w:p w14:paraId="4823594F" w14:textId="77777777" w:rsidR="008E5124" w:rsidRPr="008610D6" w:rsidRDefault="008E5124" w:rsidP="00CF28FD">
            <w:pPr>
              <w:pStyle w:val="ListParagraph"/>
              <w:numPr>
                <w:ilvl w:val="0"/>
                <w:numId w:val="20"/>
              </w:numPr>
              <w:spacing w:line="360" w:lineRule="auto"/>
              <w:ind w:right="312"/>
              <w:rPr>
                <w:color w:val="000000" w:themeColor="text1"/>
              </w:rPr>
            </w:pPr>
            <w:r w:rsidRPr="008610D6">
              <w:t xml:space="preserve">If </w:t>
            </w:r>
            <w:r w:rsidRPr="008610D6">
              <w:rPr>
                <w:color w:val="000000" w:themeColor="text1"/>
              </w:rPr>
              <w:t>the SCC code is allowed, has been entered correctly, and is not working properly, contact Senior Team.</w:t>
            </w:r>
          </w:p>
          <w:p w14:paraId="4478BA00" w14:textId="4C064335" w:rsidR="00692F41" w:rsidRPr="00312FA2" w:rsidRDefault="008E5124" w:rsidP="008E5124">
            <w:pPr>
              <w:spacing w:before="120" w:after="120" w:line="252" w:lineRule="auto"/>
              <w:ind w:right="312"/>
              <w:rPr>
                <w:szCs w:val="24"/>
              </w:rPr>
            </w:pPr>
            <w:r w:rsidRPr="0000351D">
              <w:rPr>
                <w:color w:val="000000" w:themeColor="text1"/>
              </w:rPr>
              <w:t>If the pharmacy is not answering their phone (refer to your supervisor for how long it is acceptable to hold), provide the Submission Clarification Code (SCC) to the member. Advise the member to have the pharmacy run their medication with that code. The pharmacy may call us directly for assistance inputting the code if needed.</w:t>
            </w:r>
          </w:p>
        </w:tc>
      </w:tr>
    </w:tbl>
    <w:p w14:paraId="5B3D9130" w14:textId="77777777" w:rsidR="000E3B4B" w:rsidRDefault="000E3B4B" w:rsidP="004801C0">
      <w:pPr>
        <w:spacing w:before="120" w:after="120"/>
      </w:pPr>
    </w:p>
    <w:p w14:paraId="7A84B87E" w14:textId="7EC28CA9" w:rsidR="008F2B08" w:rsidRPr="00A6553C" w:rsidRDefault="00A6553C" w:rsidP="008F2B08">
      <w:pPr>
        <w:pStyle w:val="NormalWeb"/>
        <w:spacing w:before="0" w:beforeAutospacing="0" w:after="0" w:afterAutospacing="0"/>
        <w:jc w:val="right"/>
        <w:rPr>
          <w:color w:val="000000"/>
        </w:rPr>
      </w:pPr>
      <w:hyperlink w:anchor="_top" w:history="1">
        <w:r w:rsidRPr="004730A6">
          <w:rPr>
            <w:rStyle w:val="Hyperlink"/>
          </w:rPr>
          <w:t>Top of the Document</w:t>
        </w:r>
      </w:hyperlink>
    </w:p>
    <w:tbl>
      <w:tblPr>
        <w:tblW w:w="5000" w:type="pct"/>
        <w:tblCellMar>
          <w:left w:w="0" w:type="dxa"/>
          <w:right w:w="0" w:type="dxa"/>
        </w:tblCellMar>
        <w:tblLook w:val="04A0" w:firstRow="1" w:lastRow="0" w:firstColumn="1" w:lastColumn="0" w:noHBand="0" w:noVBand="1"/>
      </w:tblPr>
      <w:tblGrid>
        <w:gridCol w:w="9344"/>
      </w:tblGrid>
      <w:tr w:rsidR="008F2B08" w14:paraId="2670469F" w14:textId="77777777" w:rsidTr="00EF03E4">
        <w:tc>
          <w:tcPr>
            <w:tcW w:w="5000" w:type="pct"/>
            <w:tcBorders>
              <w:top w:val="single" w:sz="6" w:space="0" w:color="000000"/>
              <w:left w:val="single" w:sz="6" w:space="0" w:color="000000"/>
              <w:bottom w:val="single" w:sz="6" w:space="0" w:color="000000"/>
              <w:right w:val="single" w:sz="6" w:space="0" w:color="000000"/>
            </w:tcBorders>
            <w:shd w:val="clear" w:color="auto" w:fill="BFBFBF"/>
            <w:tcMar>
              <w:top w:w="0" w:type="dxa"/>
              <w:left w:w="101" w:type="dxa"/>
              <w:bottom w:w="0" w:type="dxa"/>
              <w:right w:w="101" w:type="dxa"/>
            </w:tcMar>
            <w:hideMark/>
          </w:tcPr>
          <w:p w14:paraId="50A6B4BB" w14:textId="1D3C8679" w:rsidR="008F2B08" w:rsidRDefault="008F2B08" w:rsidP="008F2B08">
            <w:pPr>
              <w:pStyle w:val="Heading2"/>
              <w:spacing w:before="120" w:after="120"/>
              <w:rPr>
                <w:sz w:val="36"/>
                <w:szCs w:val="36"/>
              </w:rPr>
            </w:pPr>
            <w:bookmarkStart w:id="10" w:name="_SCC_Overrides_Scenario"/>
            <w:bookmarkStart w:id="11" w:name="_Toc148449881"/>
            <w:bookmarkStart w:id="12" w:name="_Toc195695372"/>
            <w:bookmarkEnd w:id="10"/>
            <w:bookmarkEnd w:id="11"/>
            <w:r>
              <w:t>SCC Overrides Scenario Guide</w:t>
            </w:r>
            <w:bookmarkEnd w:id="12"/>
          </w:p>
        </w:tc>
      </w:tr>
    </w:tbl>
    <w:p w14:paraId="3330A92E" w14:textId="77777777" w:rsidR="008F2B08" w:rsidRDefault="008F2B08" w:rsidP="00EF03E4">
      <w:pPr>
        <w:pStyle w:val="NormalWeb"/>
        <w:spacing w:before="120" w:beforeAutospacing="0" w:after="120" w:afterAutospacing="0"/>
        <w:rPr>
          <w:color w:val="000000"/>
          <w:sz w:val="27"/>
          <w:szCs w:val="27"/>
        </w:rPr>
      </w:pPr>
      <w:r>
        <w:rPr>
          <w:color w:val="000000"/>
        </w:rPr>
        <w:t>Refer to the following scenarios as needed:</w:t>
      </w:r>
    </w:p>
    <w:p w14:paraId="25D341B3" w14:textId="3D9F1361" w:rsidR="008F2B08" w:rsidRPr="00EF03E4" w:rsidRDefault="008F2B08" w:rsidP="008F2B08">
      <w:pPr>
        <w:pStyle w:val="ListParagraph"/>
        <w:numPr>
          <w:ilvl w:val="0"/>
          <w:numId w:val="15"/>
        </w:numPr>
        <w:rPr>
          <w:color w:val="000000"/>
        </w:rPr>
      </w:pPr>
      <w:hyperlink w:anchor="ClientSetupNDCorGPI" w:history="1">
        <w:r w:rsidRPr="007563C5">
          <w:rPr>
            <w:rStyle w:val="Hyperlink"/>
          </w:rPr>
          <w:t>The Client is set up for NDC or GPI SCC and the SCC Overrides hyperlink is clicked from the Quick Actions panel on the Claims Landing Page</w:t>
        </w:r>
      </w:hyperlink>
    </w:p>
    <w:p w14:paraId="5D2D8347" w14:textId="6FC744EF" w:rsidR="008F2B08" w:rsidRPr="00EF03E4" w:rsidRDefault="008F2B08" w:rsidP="008F2B08">
      <w:pPr>
        <w:pStyle w:val="ListParagraph"/>
        <w:numPr>
          <w:ilvl w:val="0"/>
          <w:numId w:val="15"/>
        </w:numPr>
        <w:rPr>
          <w:color w:val="000000"/>
        </w:rPr>
      </w:pPr>
      <w:hyperlink w:anchor="ClientNotSetupForSCC" w:history="1">
        <w:r w:rsidRPr="007563C5">
          <w:rPr>
            <w:rStyle w:val="Hyperlink"/>
          </w:rPr>
          <w:t>The Client is not set up for SCC Overrides and the SCC Overrides hyperlink is clicked from the Quick Actions panel on the Claims Landing Page</w:t>
        </w:r>
      </w:hyperlink>
    </w:p>
    <w:p w14:paraId="24097694" w14:textId="4664088E" w:rsidR="008F2B08" w:rsidRPr="00EF03E4" w:rsidRDefault="008F2B08" w:rsidP="008F2B08">
      <w:pPr>
        <w:pStyle w:val="ListParagraph"/>
        <w:numPr>
          <w:ilvl w:val="0"/>
          <w:numId w:val="15"/>
        </w:numPr>
        <w:rPr>
          <w:color w:val="000000"/>
        </w:rPr>
      </w:pPr>
      <w:hyperlink w:anchor="CheckClaimsTable" w:history="1">
        <w:r w:rsidRPr="007563C5">
          <w:rPr>
            <w:rStyle w:val="Hyperlink"/>
          </w:rPr>
          <w:t>Check SCC availability via rejected claim on the Claims table</w:t>
        </w:r>
      </w:hyperlink>
    </w:p>
    <w:p w14:paraId="66CFEC52" w14:textId="3B21942F" w:rsidR="008F2B08" w:rsidRPr="00EF03E4" w:rsidRDefault="008F2B08" w:rsidP="00EF03E4">
      <w:pPr>
        <w:pStyle w:val="ListParagraph"/>
        <w:numPr>
          <w:ilvl w:val="0"/>
          <w:numId w:val="15"/>
        </w:numPr>
        <w:rPr>
          <w:color w:val="000000"/>
        </w:rPr>
      </w:pPr>
      <w:hyperlink w:anchor="CheckClaimsTab" w:history="1">
        <w:r w:rsidRPr="00EF03E4">
          <w:rPr>
            <w:rStyle w:val="Hyperlink"/>
          </w:rPr>
          <w:t>Check SCC availability via rejected claim from the Claims tab</w:t>
        </w:r>
      </w:hyperlink>
    </w:p>
    <w:tbl>
      <w:tblPr>
        <w:tblW w:w="5000" w:type="pct"/>
        <w:tblCellMar>
          <w:left w:w="0" w:type="dxa"/>
          <w:right w:w="0" w:type="dxa"/>
        </w:tblCellMar>
        <w:tblLook w:val="04A0" w:firstRow="1" w:lastRow="0" w:firstColumn="1" w:lastColumn="0" w:noHBand="0" w:noVBand="1"/>
      </w:tblPr>
      <w:tblGrid>
        <w:gridCol w:w="1364"/>
        <w:gridCol w:w="7980"/>
      </w:tblGrid>
      <w:tr w:rsidR="007563C5" w14:paraId="462C741A" w14:textId="77777777" w:rsidTr="145B9184">
        <w:trPr>
          <w:trHeight w:val="300"/>
        </w:trPr>
        <w:tc>
          <w:tcPr>
            <w:tcW w:w="797"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51A9EB9E" w14:textId="77777777" w:rsidR="008F2B08" w:rsidRPr="001F0B9C" w:rsidRDefault="008F2B08" w:rsidP="001F0B9C">
            <w:pPr>
              <w:spacing w:before="120" w:after="120"/>
              <w:jc w:val="center"/>
              <w:rPr>
                <w:b/>
                <w:bCs/>
              </w:rPr>
            </w:pPr>
            <w:r w:rsidRPr="001F0B9C">
              <w:rPr>
                <w:b/>
                <w:bCs/>
              </w:rPr>
              <w:t>Scenario</w:t>
            </w:r>
          </w:p>
        </w:tc>
        <w:tc>
          <w:tcPr>
            <w:tcW w:w="4203" w:type="pct"/>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D9D9D9" w:themeFill="background1" w:themeFillShade="D9"/>
            <w:tcMar>
              <w:top w:w="0" w:type="dxa"/>
              <w:left w:w="101" w:type="dxa"/>
              <w:bottom w:w="0" w:type="dxa"/>
              <w:right w:w="101" w:type="dxa"/>
            </w:tcMar>
            <w:hideMark/>
          </w:tcPr>
          <w:p w14:paraId="7EC0E077" w14:textId="77777777" w:rsidR="008F2B08" w:rsidRPr="001F0B9C" w:rsidRDefault="008F2B08" w:rsidP="001F0B9C">
            <w:pPr>
              <w:spacing w:before="120" w:after="120"/>
              <w:jc w:val="center"/>
              <w:rPr>
                <w:b/>
                <w:bCs/>
              </w:rPr>
            </w:pPr>
            <w:r w:rsidRPr="001F0B9C">
              <w:rPr>
                <w:b/>
                <w:bCs/>
              </w:rPr>
              <w:t>Action</w:t>
            </w:r>
          </w:p>
        </w:tc>
      </w:tr>
      <w:tr w:rsidR="007563C5" w14:paraId="2B99C58B" w14:textId="77777777" w:rsidTr="145B9184">
        <w:trPr>
          <w:trHeight w:val="300"/>
        </w:trPr>
        <w:tc>
          <w:tcPr>
            <w:tcW w:w="79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12998244" w14:textId="2A2E8EB5" w:rsidR="008F2B08" w:rsidRPr="00EF03E4" w:rsidRDefault="008F2B08" w:rsidP="008F2B08">
            <w:pPr>
              <w:pStyle w:val="Heading3"/>
              <w:spacing w:before="120" w:after="120"/>
              <w:rPr>
                <w:color w:val="auto"/>
              </w:rPr>
            </w:pPr>
            <w:bookmarkStart w:id="13" w:name="_Toc147765746"/>
            <w:bookmarkStart w:id="14" w:name="ClientSetupNDCorGPI"/>
            <w:bookmarkEnd w:id="13"/>
            <w:r w:rsidRPr="00EF03E4">
              <w:rPr>
                <w:rFonts w:ascii="Verdana" w:hAnsi="Verdana"/>
                <w:color w:val="auto"/>
              </w:rPr>
              <w:t>The Client is set up for NDC or GPI SCC and the SCC Overrides hyperlink is clicked from the </w:t>
            </w:r>
            <w:r w:rsidRPr="00EF03E4">
              <w:rPr>
                <w:rFonts w:ascii="Verdana" w:hAnsi="Verdana"/>
                <w:b/>
                <w:bCs/>
                <w:color w:val="auto"/>
              </w:rPr>
              <w:t>Quick Actions</w:t>
            </w:r>
            <w:r w:rsidRPr="00EF03E4">
              <w:rPr>
                <w:rFonts w:ascii="Verdana" w:hAnsi="Verdana"/>
                <w:color w:val="auto"/>
              </w:rPr>
              <w:t> panel on the Claims Landing Page</w:t>
            </w:r>
            <w:bookmarkEnd w:id="14"/>
          </w:p>
        </w:tc>
        <w:tc>
          <w:tcPr>
            <w:tcW w:w="42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2627230D" w14:textId="13DA4730" w:rsidR="008F2B08" w:rsidRDefault="008F2B08" w:rsidP="008F2B08">
            <w:pPr>
              <w:pStyle w:val="NormalWeb"/>
              <w:spacing w:before="120" w:beforeAutospacing="0" w:after="120" w:afterAutospacing="0"/>
            </w:pPr>
            <w:r>
              <w:t>A popup display</w:t>
            </w:r>
            <w:r w:rsidR="004A211A">
              <w:t>s</w:t>
            </w:r>
            <w:r>
              <w:t xml:space="preserve"> the following message: “Check SCC availability via rejected claim.”</w:t>
            </w:r>
          </w:p>
          <w:p w14:paraId="467873FA" w14:textId="7E3CB60B" w:rsidR="008F2B08" w:rsidRDefault="008F2B08" w:rsidP="008F2B08">
            <w:pPr>
              <w:pStyle w:val="NormalWeb"/>
              <w:spacing w:before="120" w:beforeAutospacing="0" w:after="120" w:afterAutospacing="0"/>
            </w:pPr>
            <w:bookmarkStart w:id="15" w:name="CheckSCCClaimsTab"/>
            <w:bookmarkEnd w:id="15"/>
          </w:p>
          <w:p w14:paraId="160617E3" w14:textId="48C12104" w:rsidR="008F2B08" w:rsidRDefault="008F2B08" w:rsidP="008F2B08">
            <w:pPr>
              <w:pStyle w:val="NormalWeb"/>
              <w:spacing w:before="120" w:beforeAutospacing="0" w:after="120" w:afterAutospacing="0"/>
              <w:jc w:val="center"/>
            </w:pPr>
            <w:r>
              <w:rPr>
                <w:rFonts w:eastAsiaTheme="minorHAnsi" w:cstheme="minorBidi"/>
                <w:noProof/>
                <w:szCs w:val="22"/>
              </w:rPr>
              <w:drawing>
                <wp:inline distT="0" distB="0" distL="0" distR="0" wp14:anchorId="7A9FB47D" wp14:editId="623E4AC8">
                  <wp:extent cx="6162675" cy="1800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2675" cy="1800225"/>
                          </a:xfrm>
                          <a:prstGeom prst="rect">
                            <a:avLst/>
                          </a:prstGeom>
                          <a:noFill/>
                          <a:ln>
                            <a:noFill/>
                          </a:ln>
                        </pic:spPr>
                      </pic:pic>
                    </a:graphicData>
                  </a:graphic>
                </wp:inline>
              </w:drawing>
            </w:r>
          </w:p>
          <w:p w14:paraId="0015CD27" w14:textId="77777777" w:rsidR="007563C5" w:rsidRDefault="007563C5" w:rsidP="008F2B08">
            <w:pPr>
              <w:pStyle w:val="NormalWeb"/>
              <w:spacing w:before="120" w:beforeAutospacing="0" w:after="120" w:afterAutospacing="0"/>
              <w:jc w:val="center"/>
            </w:pPr>
          </w:p>
          <w:p w14:paraId="02CF1FAF" w14:textId="5B154F2C" w:rsidR="008F2B08" w:rsidRDefault="008F2B08" w:rsidP="008F2B08">
            <w:pPr>
              <w:pStyle w:val="NormalWeb"/>
              <w:spacing w:before="120" w:beforeAutospacing="0" w:after="120" w:afterAutospacing="0"/>
            </w:pPr>
          </w:p>
        </w:tc>
      </w:tr>
      <w:tr w:rsidR="007563C5" w14:paraId="6A55D2DB" w14:textId="77777777" w:rsidTr="145B9184">
        <w:trPr>
          <w:trHeight w:val="300"/>
        </w:trPr>
        <w:tc>
          <w:tcPr>
            <w:tcW w:w="79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7CF7AA82" w14:textId="1715C442" w:rsidR="008F2B08" w:rsidRPr="00EF03E4" w:rsidRDefault="008F2B08" w:rsidP="008F2B08">
            <w:pPr>
              <w:pStyle w:val="Heading3"/>
              <w:spacing w:before="120" w:after="120"/>
              <w:rPr>
                <w:color w:val="auto"/>
              </w:rPr>
            </w:pPr>
            <w:bookmarkStart w:id="16" w:name="_Toc147765747"/>
            <w:bookmarkStart w:id="17" w:name="ClientNotSetupForSCC"/>
            <w:bookmarkEnd w:id="16"/>
            <w:r w:rsidRPr="00EF03E4">
              <w:rPr>
                <w:rFonts w:ascii="Verdana" w:hAnsi="Verdana"/>
                <w:color w:val="auto"/>
              </w:rPr>
              <w:t>The Client is not set up for SCC Overrides and the SCC Overrides hyperlink is clicked from the </w:t>
            </w:r>
            <w:r w:rsidRPr="00EF03E4">
              <w:rPr>
                <w:rFonts w:ascii="Verdana" w:hAnsi="Verdana"/>
                <w:b/>
                <w:bCs/>
                <w:color w:val="auto"/>
              </w:rPr>
              <w:t>Quick Actions</w:t>
            </w:r>
            <w:r w:rsidRPr="00EF03E4">
              <w:rPr>
                <w:rFonts w:ascii="Verdana" w:hAnsi="Verdana"/>
                <w:color w:val="auto"/>
              </w:rPr>
              <w:t> panel on the Claims Landing Page</w:t>
            </w:r>
            <w:bookmarkEnd w:id="17"/>
          </w:p>
        </w:tc>
        <w:tc>
          <w:tcPr>
            <w:tcW w:w="42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4553BC8" w14:textId="05A37165" w:rsidR="008F2B08" w:rsidRDefault="008F2B08" w:rsidP="008F2B08">
            <w:pPr>
              <w:pStyle w:val="NormalWeb"/>
              <w:spacing w:before="120" w:beforeAutospacing="0" w:after="120" w:afterAutospacing="0"/>
            </w:pPr>
            <w:r>
              <w:t>A popup display</w:t>
            </w:r>
            <w:r w:rsidR="004A211A">
              <w:t>s</w:t>
            </w:r>
            <w:r>
              <w:t xml:space="preserve"> the following message:</w:t>
            </w:r>
            <w:r w:rsidR="00132AB4">
              <w:t xml:space="preserve"> </w:t>
            </w:r>
            <w:r>
              <w:t xml:space="preserve"> “SCC not available for this client.”</w:t>
            </w:r>
          </w:p>
          <w:p w14:paraId="14E3398E" w14:textId="77777777" w:rsidR="008F2B08" w:rsidRDefault="008F2B08" w:rsidP="008F2B08">
            <w:pPr>
              <w:pStyle w:val="NormalWeb"/>
              <w:spacing w:before="120" w:beforeAutospacing="0" w:after="120" w:afterAutospacing="0"/>
              <w:jc w:val="center"/>
            </w:pPr>
            <w:r>
              <w:t> </w:t>
            </w:r>
          </w:p>
          <w:p w14:paraId="6C23C484" w14:textId="632DD4DD" w:rsidR="008F2B08" w:rsidRDefault="008F2B08" w:rsidP="008F2B08">
            <w:pPr>
              <w:pStyle w:val="NormalWeb"/>
              <w:spacing w:before="120" w:beforeAutospacing="0" w:after="120" w:afterAutospacing="0"/>
              <w:jc w:val="center"/>
            </w:pPr>
            <w:r>
              <w:rPr>
                <w:rFonts w:eastAsiaTheme="minorHAnsi" w:cstheme="minorBidi"/>
                <w:noProof/>
                <w:szCs w:val="22"/>
              </w:rPr>
              <w:drawing>
                <wp:inline distT="0" distB="0" distL="0" distR="0" wp14:anchorId="5BDC0AC8" wp14:editId="21AFABEB">
                  <wp:extent cx="6162675" cy="1800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62675" cy="1800225"/>
                          </a:xfrm>
                          <a:prstGeom prst="rect">
                            <a:avLst/>
                          </a:prstGeom>
                          <a:noFill/>
                          <a:ln>
                            <a:noFill/>
                          </a:ln>
                        </pic:spPr>
                      </pic:pic>
                    </a:graphicData>
                  </a:graphic>
                </wp:inline>
              </w:drawing>
            </w:r>
          </w:p>
          <w:p w14:paraId="5AC40FD2" w14:textId="77777777" w:rsidR="007563C5" w:rsidRDefault="007563C5" w:rsidP="008F2B08">
            <w:pPr>
              <w:pStyle w:val="NormalWeb"/>
              <w:spacing w:before="120" w:beforeAutospacing="0" w:after="120" w:afterAutospacing="0"/>
              <w:jc w:val="center"/>
            </w:pPr>
          </w:p>
          <w:p w14:paraId="3336E42E" w14:textId="26E3F381" w:rsidR="008F2B08" w:rsidRDefault="008F2B08" w:rsidP="008F2B08">
            <w:pPr>
              <w:pStyle w:val="NormalWeb"/>
              <w:spacing w:before="120" w:beforeAutospacing="0" w:after="120" w:afterAutospacing="0"/>
            </w:pPr>
          </w:p>
        </w:tc>
      </w:tr>
      <w:tr w:rsidR="007563C5" w14:paraId="46207446" w14:textId="77777777" w:rsidTr="145B9184">
        <w:trPr>
          <w:trHeight w:val="300"/>
        </w:trPr>
        <w:tc>
          <w:tcPr>
            <w:tcW w:w="79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36009324" w14:textId="5F9D69A9" w:rsidR="008F2B08" w:rsidRPr="00EF03E4" w:rsidRDefault="008F2B08" w:rsidP="008F2B08">
            <w:pPr>
              <w:pStyle w:val="Heading3"/>
              <w:spacing w:before="120" w:after="120"/>
              <w:rPr>
                <w:color w:val="auto"/>
              </w:rPr>
            </w:pPr>
            <w:bookmarkStart w:id="18" w:name="_Toc147765748"/>
            <w:bookmarkStart w:id="19" w:name="CheckClaimsTable"/>
            <w:bookmarkEnd w:id="18"/>
            <w:r w:rsidRPr="00EF03E4">
              <w:rPr>
                <w:rFonts w:ascii="Verdana" w:hAnsi="Verdana"/>
                <w:color w:val="auto"/>
              </w:rPr>
              <w:t>Check SCC availability via rejected claim on the </w:t>
            </w:r>
            <w:r w:rsidRPr="000E1519">
              <w:rPr>
                <w:rFonts w:ascii="Verdana" w:hAnsi="Verdana"/>
                <w:color w:val="auto"/>
              </w:rPr>
              <w:t>Claims </w:t>
            </w:r>
            <w:r w:rsidRPr="00EF03E4">
              <w:rPr>
                <w:rFonts w:ascii="Verdana" w:hAnsi="Verdana"/>
                <w:color w:val="auto"/>
              </w:rPr>
              <w:t>table</w:t>
            </w:r>
            <w:bookmarkEnd w:id="19"/>
          </w:p>
        </w:tc>
        <w:tc>
          <w:tcPr>
            <w:tcW w:w="42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4F199163" w14:textId="77777777" w:rsidR="008F2B08" w:rsidRDefault="008F2B08" w:rsidP="008F2B08">
            <w:pPr>
              <w:pStyle w:val="NormalWeb"/>
              <w:spacing w:before="120" w:beforeAutospacing="0" w:after="120" w:afterAutospacing="0"/>
            </w:pPr>
            <w:r>
              <w:t>From the </w:t>
            </w:r>
            <w:r>
              <w:rPr>
                <w:b/>
                <w:bCs/>
              </w:rPr>
              <w:t>Claims</w:t>
            </w:r>
            <w:r>
              <w:t> tab on the Claims Landing Page, click the </w:t>
            </w:r>
            <w:r>
              <w:rPr>
                <w:b/>
                <w:bCs/>
              </w:rPr>
              <w:t>Row Level Action</w:t>
            </w:r>
            <w:r>
              <w:t> drop-down arrow for the rejected claim. Select </w:t>
            </w:r>
            <w:r>
              <w:rPr>
                <w:b/>
                <w:bCs/>
              </w:rPr>
              <w:t>View SCC Overrides</w:t>
            </w:r>
            <w:r>
              <w:t>.</w:t>
            </w:r>
          </w:p>
          <w:p w14:paraId="22EB5D7B" w14:textId="2E0351AC" w:rsidR="008F2B08" w:rsidRDefault="008F2B08" w:rsidP="008F2B08">
            <w:pPr>
              <w:pStyle w:val="NormalWeb"/>
              <w:spacing w:before="120" w:beforeAutospacing="0" w:after="120" w:afterAutospacing="0"/>
            </w:pPr>
          </w:p>
          <w:p w14:paraId="3A6DFB58" w14:textId="37E9A892" w:rsidR="008F2B08" w:rsidRDefault="008F2B08" w:rsidP="008F2B08">
            <w:pPr>
              <w:pStyle w:val="NormalWeb"/>
              <w:spacing w:before="120" w:beforeAutospacing="0" w:after="120" w:afterAutospacing="0"/>
            </w:pPr>
            <w:r>
              <w:rPr>
                <w:b/>
                <w:bCs/>
              </w:rPr>
              <w:t>Note:</w:t>
            </w:r>
            <w:r>
              <w:t xml:space="preserve"> The “View SCC Overrides” selection is enabled only for claims with reject code 79 and when the rejected claim is for the member in session.</w:t>
            </w:r>
          </w:p>
          <w:p w14:paraId="285039A2" w14:textId="76BE119C" w:rsidR="008F2B08" w:rsidRDefault="008F2B08" w:rsidP="008F2B08">
            <w:pPr>
              <w:pStyle w:val="NormalWeb"/>
              <w:spacing w:before="120" w:beforeAutospacing="0" w:after="120" w:afterAutospacing="0"/>
            </w:pPr>
          </w:p>
          <w:p w14:paraId="28BFCD73" w14:textId="439D1CEE" w:rsidR="008F2B08" w:rsidRDefault="008F2B08" w:rsidP="008F2B08">
            <w:pPr>
              <w:pStyle w:val="NormalWeb"/>
              <w:spacing w:before="120" w:beforeAutospacing="0" w:after="120" w:afterAutospacing="0"/>
              <w:jc w:val="center"/>
            </w:pPr>
            <w:r>
              <w:t> </w:t>
            </w:r>
            <w:r>
              <w:rPr>
                <w:rFonts w:eastAsiaTheme="minorHAnsi" w:cstheme="minorBidi"/>
                <w:noProof/>
                <w:szCs w:val="22"/>
              </w:rPr>
              <w:drawing>
                <wp:inline distT="0" distB="0" distL="0" distR="0" wp14:anchorId="23967FBD" wp14:editId="3E900738">
                  <wp:extent cx="822960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9600" cy="3905250"/>
                          </a:xfrm>
                          <a:prstGeom prst="rect">
                            <a:avLst/>
                          </a:prstGeom>
                          <a:noFill/>
                          <a:ln>
                            <a:noFill/>
                          </a:ln>
                        </pic:spPr>
                      </pic:pic>
                    </a:graphicData>
                  </a:graphic>
                </wp:inline>
              </w:drawing>
            </w:r>
          </w:p>
          <w:p w14:paraId="53C23A5D" w14:textId="77777777" w:rsidR="007563C5" w:rsidRDefault="007563C5" w:rsidP="008F2B08">
            <w:pPr>
              <w:pStyle w:val="NormalWeb"/>
              <w:spacing w:before="120" w:beforeAutospacing="0" w:after="120" w:afterAutospacing="0"/>
              <w:jc w:val="center"/>
            </w:pPr>
          </w:p>
          <w:p w14:paraId="61398732" w14:textId="558BF091" w:rsidR="008F2B08" w:rsidRDefault="008F2B08" w:rsidP="008F2B08">
            <w:pPr>
              <w:pStyle w:val="NormalWeb"/>
              <w:spacing w:before="120" w:beforeAutospacing="0" w:after="120" w:afterAutospacing="0"/>
            </w:pPr>
          </w:p>
        </w:tc>
      </w:tr>
      <w:tr w:rsidR="007563C5" w14:paraId="0C5C87F5" w14:textId="77777777" w:rsidTr="145B9184">
        <w:trPr>
          <w:trHeight w:val="300"/>
        </w:trPr>
        <w:tc>
          <w:tcPr>
            <w:tcW w:w="797"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2F739C2" w14:textId="77777777" w:rsidR="008F2B08" w:rsidRPr="00EF03E4" w:rsidRDefault="008F2B08" w:rsidP="008F2B08">
            <w:pPr>
              <w:pStyle w:val="Heading3"/>
              <w:spacing w:before="120" w:after="120"/>
              <w:rPr>
                <w:color w:val="auto"/>
              </w:rPr>
            </w:pPr>
            <w:bookmarkStart w:id="20" w:name="_Toc147765749"/>
            <w:bookmarkStart w:id="21" w:name="CheckClaimsTab"/>
            <w:bookmarkEnd w:id="20"/>
            <w:r w:rsidRPr="00EF03E4">
              <w:rPr>
                <w:rFonts w:ascii="Verdana" w:hAnsi="Verdana"/>
                <w:color w:val="auto"/>
              </w:rPr>
              <w:t>Check SCC availability via rejected claim from the </w:t>
            </w:r>
            <w:r w:rsidRPr="000E1519">
              <w:rPr>
                <w:rFonts w:ascii="Verdana" w:hAnsi="Verdana"/>
                <w:color w:val="auto"/>
              </w:rPr>
              <w:t>Claims</w:t>
            </w:r>
            <w:r w:rsidRPr="00EF03E4">
              <w:rPr>
                <w:rFonts w:ascii="Verdana" w:hAnsi="Verdana"/>
                <w:color w:val="auto"/>
              </w:rPr>
              <w:t> tab</w:t>
            </w:r>
          </w:p>
          <w:bookmarkEnd w:id="21"/>
          <w:p w14:paraId="0B45C5E8" w14:textId="1D1B0E52" w:rsidR="008F2B08" w:rsidRPr="00EF03E4" w:rsidRDefault="008F2B08" w:rsidP="008F2B08">
            <w:pPr>
              <w:pStyle w:val="Heading3"/>
              <w:spacing w:before="120" w:after="120"/>
              <w:rPr>
                <w:color w:val="auto"/>
              </w:rPr>
            </w:pPr>
          </w:p>
        </w:tc>
        <w:tc>
          <w:tcPr>
            <w:tcW w:w="4203" w:type="pct"/>
            <w:tcBorders>
              <w:top w:val="single" w:sz="6" w:space="0" w:color="000000" w:themeColor="text1"/>
              <w:left w:val="single" w:sz="6" w:space="0" w:color="000000" w:themeColor="text1"/>
              <w:bottom w:val="single" w:sz="6" w:space="0" w:color="000000" w:themeColor="text1"/>
              <w:right w:val="single" w:sz="6" w:space="0" w:color="000000" w:themeColor="text1"/>
            </w:tcBorders>
            <w:tcMar>
              <w:top w:w="0" w:type="dxa"/>
              <w:left w:w="101" w:type="dxa"/>
              <w:bottom w:w="0" w:type="dxa"/>
              <w:right w:w="101" w:type="dxa"/>
            </w:tcMar>
            <w:hideMark/>
          </w:tcPr>
          <w:p w14:paraId="0EC61054" w14:textId="77777777" w:rsidR="008F2B08" w:rsidRDefault="008F2B08" w:rsidP="008F2B08">
            <w:pPr>
              <w:pStyle w:val="NormalWeb"/>
              <w:spacing w:before="120" w:beforeAutospacing="0" w:after="120" w:afterAutospacing="0"/>
            </w:pPr>
            <w:r>
              <w:t>From the </w:t>
            </w:r>
            <w:r>
              <w:rPr>
                <w:b/>
                <w:bCs/>
              </w:rPr>
              <w:t>Claims</w:t>
            </w:r>
            <w:r>
              <w:t> tab on the Claims Landing Page, click the applicable </w:t>
            </w:r>
            <w:r>
              <w:rPr>
                <w:b/>
                <w:bCs/>
              </w:rPr>
              <w:t>Rx number</w:t>
            </w:r>
            <w:r>
              <w:t> hyperlink.</w:t>
            </w:r>
          </w:p>
          <w:p w14:paraId="5F6D1F16" w14:textId="7D798319" w:rsidR="008F2B08" w:rsidRDefault="008F2B08" w:rsidP="008F2B08">
            <w:pPr>
              <w:pStyle w:val="NormalWeb"/>
              <w:spacing w:before="120" w:beforeAutospacing="0" w:after="120" w:afterAutospacing="0"/>
            </w:pPr>
          </w:p>
          <w:p w14:paraId="784E6E26" w14:textId="19F4C25B" w:rsidR="008F2B08" w:rsidRDefault="008F2B08" w:rsidP="008F2B08">
            <w:pPr>
              <w:pStyle w:val="NormalWeb"/>
              <w:spacing w:before="120" w:beforeAutospacing="0" w:after="120" w:afterAutospacing="0"/>
            </w:pPr>
            <w:r>
              <w:rPr>
                <w:b/>
                <w:bCs/>
              </w:rPr>
              <w:t>Note: </w:t>
            </w:r>
            <w:r>
              <w:t>The </w:t>
            </w:r>
            <w:r w:rsidRPr="002D0EA3">
              <w:t>View SCC Overrides</w:t>
            </w:r>
            <w:r w:rsidRPr="004A211A">
              <w:t> </w:t>
            </w:r>
            <w:r>
              <w:t>button is enabled only for claims with reject code 79 and when the rejected claim is for the member in session.</w:t>
            </w:r>
          </w:p>
          <w:p w14:paraId="73E49BDE" w14:textId="77777777" w:rsidR="008F2B08" w:rsidRDefault="008F2B08" w:rsidP="008F2B08">
            <w:pPr>
              <w:pStyle w:val="NormalWeb"/>
              <w:spacing w:before="120" w:beforeAutospacing="0" w:after="120" w:afterAutospacing="0"/>
              <w:jc w:val="center"/>
            </w:pPr>
            <w:r>
              <w:t> </w:t>
            </w:r>
          </w:p>
          <w:p w14:paraId="243C7B6D" w14:textId="15958E75" w:rsidR="008F2B08" w:rsidRDefault="008F2B08" w:rsidP="008F2B08">
            <w:pPr>
              <w:pStyle w:val="NormalWeb"/>
              <w:spacing w:before="120" w:beforeAutospacing="0" w:after="120" w:afterAutospacing="0"/>
              <w:jc w:val="center"/>
            </w:pPr>
            <w:r>
              <w:t> </w:t>
            </w:r>
            <w:r w:rsidR="005563E9">
              <w:rPr>
                <w:noProof/>
              </w:rPr>
              <w:drawing>
                <wp:inline distT="0" distB="0" distL="0" distR="0" wp14:anchorId="2586EBD5" wp14:editId="44120F3D">
                  <wp:extent cx="8266667" cy="3247619"/>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266667" cy="3247619"/>
                          </a:xfrm>
                          <a:prstGeom prst="rect">
                            <a:avLst/>
                          </a:prstGeom>
                        </pic:spPr>
                      </pic:pic>
                    </a:graphicData>
                  </a:graphic>
                </wp:inline>
              </w:drawing>
            </w:r>
          </w:p>
          <w:p w14:paraId="3F57CE1A" w14:textId="0B78DB4F" w:rsidR="008F2B08" w:rsidRDefault="008F2B08" w:rsidP="008F2B08">
            <w:pPr>
              <w:pStyle w:val="NormalWeb"/>
              <w:spacing w:before="120" w:beforeAutospacing="0" w:after="120" w:afterAutospacing="0"/>
              <w:jc w:val="center"/>
            </w:pPr>
          </w:p>
          <w:p w14:paraId="268A9C8E" w14:textId="5DD0E450" w:rsidR="008F2B08" w:rsidRDefault="008F2B08" w:rsidP="008F2B08">
            <w:pPr>
              <w:pStyle w:val="NormalWeb"/>
              <w:spacing w:before="120" w:beforeAutospacing="0" w:after="120" w:afterAutospacing="0"/>
            </w:pPr>
            <w:r>
              <w:rPr>
                <w:b/>
                <w:bCs/>
              </w:rPr>
              <w:t>Result: </w:t>
            </w:r>
            <w:r>
              <w:t>The </w:t>
            </w:r>
            <w:r>
              <w:rPr>
                <w:b/>
                <w:bCs/>
              </w:rPr>
              <w:t>Claim Details </w:t>
            </w:r>
            <w:r>
              <w:t>tab display</w:t>
            </w:r>
            <w:r w:rsidR="004A211A">
              <w:t>s</w:t>
            </w:r>
            <w:r>
              <w:t>. Click the </w:t>
            </w:r>
            <w:r>
              <w:rPr>
                <w:b/>
                <w:bCs/>
              </w:rPr>
              <w:t>View SCC Overrides</w:t>
            </w:r>
            <w:r>
              <w:t> button. </w:t>
            </w:r>
          </w:p>
          <w:p w14:paraId="2EA4B6A6" w14:textId="4AB4383B" w:rsidR="008F2B08" w:rsidRDefault="008F2B08" w:rsidP="008F2B08">
            <w:pPr>
              <w:pStyle w:val="NormalWeb"/>
              <w:spacing w:before="120" w:beforeAutospacing="0" w:after="120" w:afterAutospacing="0"/>
            </w:pPr>
          </w:p>
          <w:p w14:paraId="7FFFC795" w14:textId="2735A807" w:rsidR="008F2B08" w:rsidRDefault="008F2B08" w:rsidP="008F2B08">
            <w:pPr>
              <w:pStyle w:val="NormalWeb"/>
              <w:spacing w:before="120" w:beforeAutospacing="0" w:after="120" w:afterAutospacing="0"/>
              <w:jc w:val="center"/>
            </w:pPr>
            <w:r>
              <w:t> </w:t>
            </w:r>
            <w:r>
              <w:rPr>
                <w:rFonts w:eastAsiaTheme="minorHAnsi" w:cstheme="minorBidi"/>
                <w:noProof/>
                <w:szCs w:val="22"/>
              </w:rPr>
              <w:drawing>
                <wp:inline distT="0" distB="0" distL="0" distR="0" wp14:anchorId="5DFAD330" wp14:editId="1D2B2244">
                  <wp:extent cx="8191500" cy="2800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191500" cy="2800350"/>
                          </a:xfrm>
                          <a:prstGeom prst="rect">
                            <a:avLst/>
                          </a:prstGeom>
                          <a:noFill/>
                          <a:ln>
                            <a:noFill/>
                          </a:ln>
                        </pic:spPr>
                      </pic:pic>
                    </a:graphicData>
                  </a:graphic>
                </wp:inline>
              </w:drawing>
            </w:r>
          </w:p>
          <w:p w14:paraId="01E33490" w14:textId="77777777" w:rsidR="007563C5" w:rsidRDefault="007563C5" w:rsidP="008F2B08">
            <w:pPr>
              <w:pStyle w:val="NormalWeb"/>
              <w:spacing w:before="120" w:beforeAutospacing="0" w:after="120" w:afterAutospacing="0"/>
              <w:jc w:val="center"/>
            </w:pPr>
          </w:p>
          <w:p w14:paraId="129891B3" w14:textId="4C26E43E" w:rsidR="007563C5" w:rsidRDefault="007563C5" w:rsidP="008F2B08">
            <w:pPr>
              <w:pStyle w:val="NormalWeb"/>
              <w:spacing w:before="120" w:beforeAutospacing="0" w:after="120" w:afterAutospacing="0"/>
            </w:pPr>
          </w:p>
        </w:tc>
      </w:tr>
    </w:tbl>
    <w:p w14:paraId="40A9FF62" w14:textId="238B909D" w:rsidR="008F2B08" w:rsidRDefault="008F2B08" w:rsidP="008F2B08">
      <w:pPr>
        <w:pStyle w:val="NormalWeb"/>
        <w:spacing w:before="0" w:beforeAutospacing="0" w:after="0" w:afterAutospacing="0"/>
        <w:rPr>
          <w:color w:val="000000"/>
          <w:sz w:val="27"/>
          <w:szCs w:val="27"/>
        </w:rPr>
      </w:pPr>
    </w:p>
    <w:p w14:paraId="4F3C8491" w14:textId="1692B0F7" w:rsidR="004801C0" w:rsidRDefault="00A6553C" w:rsidP="004801C0">
      <w:pPr>
        <w:spacing w:before="120" w:after="120"/>
        <w:jc w:val="right"/>
      </w:pPr>
      <w:hyperlink w:anchor="_top" w:history="1">
        <w:r w:rsidRPr="004730A6">
          <w:rPr>
            <w:rStyle w:val="Hyperlink"/>
          </w:rPr>
          <w:t>Top of the Document</w:t>
        </w:r>
      </w:hyperlink>
    </w:p>
    <w:tbl>
      <w:tblPr>
        <w:tblStyle w:val="TableGrid"/>
        <w:tblW w:w="5000" w:type="pct"/>
        <w:tblInd w:w="0" w:type="dxa"/>
        <w:shd w:val="clear" w:color="auto" w:fill="BFBFBF" w:themeFill="background1" w:themeFillShade="BF"/>
        <w:tblLook w:val="04A0" w:firstRow="1" w:lastRow="0" w:firstColumn="1" w:lastColumn="0" w:noHBand="0" w:noVBand="1"/>
      </w:tblPr>
      <w:tblGrid>
        <w:gridCol w:w="9350"/>
      </w:tblGrid>
      <w:tr w:rsidR="004801C0" w14:paraId="79551979" w14:textId="77777777" w:rsidTr="00C6295D">
        <w:tc>
          <w:tcPr>
            <w:tcW w:w="5000"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B68D3C" w14:textId="77777777" w:rsidR="004801C0" w:rsidRDefault="004801C0">
            <w:pPr>
              <w:pStyle w:val="Heading2"/>
              <w:spacing w:before="120" w:after="120"/>
            </w:pPr>
            <w:bookmarkStart w:id="22" w:name="_Toc149058505"/>
            <w:bookmarkStart w:id="23" w:name="_Toc195695373"/>
            <w:bookmarkStart w:id="24" w:name="OLE_LINK8"/>
            <w:r>
              <w:t>Related Documents</w:t>
            </w:r>
            <w:bookmarkEnd w:id="22"/>
            <w:bookmarkEnd w:id="23"/>
          </w:p>
        </w:tc>
      </w:tr>
    </w:tbl>
    <w:bookmarkStart w:id="25" w:name="OLE_LINK6"/>
    <w:p w14:paraId="50BF3FA0" w14:textId="27CC749D" w:rsidR="004801C0" w:rsidRDefault="004801C0" w:rsidP="004801C0">
      <w:pPr>
        <w:pStyle w:val="NormalWeb"/>
        <w:spacing w:before="120" w:beforeAutospacing="0" w:after="120" w:afterAutospacing="0"/>
      </w:pPr>
      <w:r>
        <w:fldChar w:fldCharType="begin"/>
      </w:r>
      <w:r w:rsidR="004A211A">
        <w:instrText>HYPERLINK "https://thesource.cvshealth.com/nuxeo/thesource/" \l "!/view?docid=c1f1028b-e42c-4b4f-a4cf-cc0b42c91606" \t "_blank"</w:instrText>
      </w:r>
      <w:r>
        <w:fldChar w:fldCharType="separate"/>
      </w:r>
      <w:r w:rsidR="004A211A">
        <w:rPr>
          <w:rStyle w:val="Hyperlink"/>
        </w:rPr>
        <w:t>Customer Care Abbreviations, Definitions and Terms Index (017428)</w:t>
      </w:r>
      <w:r>
        <w:fldChar w:fldCharType="end"/>
      </w:r>
    </w:p>
    <w:p w14:paraId="53F8C2F4" w14:textId="44A51477" w:rsidR="004801C0" w:rsidRPr="003B4982" w:rsidRDefault="003B4982" w:rsidP="004801C0">
      <w:hyperlink r:id="rId21" w:anchor="!/view?docid=44418b02-7e70-41cc-bb2e-bb38164a951f" w:history="1">
        <w:r w:rsidRPr="003B4982">
          <w:rPr>
            <w:rStyle w:val="Hyperlink"/>
          </w:rPr>
          <w:t>Compass – Plan Benefit Override (PBO) Guide (061708)</w:t>
        </w:r>
      </w:hyperlink>
    </w:p>
    <w:p w14:paraId="095BDEB7" w14:textId="69897AE4" w:rsidR="004801C0" w:rsidRDefault="004801C0" w:rsidP="004801C0">
      <w:pPr>
        <w:pStyle w:val="NormalWeb"/>
        <w:spacing w:before="120" w:beforeAutospacing="0" w:after="120" w:afterAutospacing="0"/>
        <w:rPr>
          <w:color w:val="000000"/>
          <w:sz w:val="27"/>
          <w:szCs w:val="27"/>
        </w:rPr>
      </w:pPr>
      <w:r>
        <w:rPr>
          <w:b/>
          <w:bCs/>
          <w:color w:val="000000"/>
        </w:rPr>
        <w:t>Parent Document:  </w:t>
      </w:r>
      <w:hyperlink r:id="rId22" w:tgtFrame="_blank" w:history="1">
        <w:r>
          <w:rPr>
            <w:rStyle w:val="Hyperlink"/>
          </w:rPr>
          <w:t>CALL 0049 Customer Care Internal and External Call Handling</w:t>
        </w:r>
      </w:hyperlink>
    </w:p>
    <w:bookmarkEnd w:id="24"/>
    <w:bookmarkEnd w:id="25"/>
    <w:p w14:paraId="247BBE51" w14:textId="77777777" w:rsidR="004801C0" w:rsidRDefault="004801C0" w:rsidP="004801C0">
      <w:pPr>
        <w:spacing w:before="120" w:after="120"/>
        <w:rPr>
          <w:szCs w:val="24"/>
        </w:rPr>
      </w:pPr>
    </w:p>
    <w:p w14:paraId="3A40E6DE" w14:textId="5D1AD3F8" w:rsidR="004801C0" w:rsidRDefault="00A6553C" w:rsidP="004801C0">
      <w:pPr>
        <w:jc w:val="right"/>
      </w:pPr>
      <w:hyperlink w:anchor="_top" w:history="1">
        <w:r w:rsidRPr="004730A6">
          <w:rPr>
            <w:rStyle w:val="Hyperlink"/>
          </w:rPr>
          <w:t>Top of the Document</w:t>
        </w:r>
      </w:hyperlink>
    </w:p>
    <w:p w14:paraId="66E5AA63" w14:textId="77777777" w:rsidR="004801C0" w:rsidRDefault="004801C0" w:rsidP="004801C0">
      <w:pPr>
        <w:spacing w:after="0"/>
        <w:jc w:val="center"/>
        <w:rPr>
          <w:rFonts w:ascii="Times New Roman" w:hAnsi="Times New Roman"/>
          <w:color w:val="000000"/>
          <w:sz w:val="27"/>
          <w:szCs w:val="27"/>
        </w:rPr>
      </w:pPr>
      <w:bookmarkStart w:id="26" w:name="OLE_LINK5"/>
      <w:r>
        <w:rPr>
          <w:color w:val="000000"/>
          <w:sz w:val="16"/>
          <w:szCs w:val="16"/>
        </w:rPr>
        <w:t>Not to Be Reproduced or Disclosed to Others without Prior Written Approval</w:t>
      </w:r>
    </w:p>
    <w:p w14:paraId="13C68CB5" w14:textId="77777777" w:rsidR="004801C0" w:rsidRDefault="004801C0" w:rsidP="004801C0">
      <w:pPr>
        <w:spacing w:after="0"/>
        <w:jc w:val="center"/>
        <w:rPr>
          <w:rFonts w:ascii="Times New Roman" w:hAnsi="Times New Roman"/>
          <w:color w:val="000000"/>
          <w:sz w:val="27"/>
          <w:szCs w:val="27"/>
        </w:rPr>
      </w:pPr>
      <w:r>
        <w:rPr>
          <w:b/>
          <w:bCs/>
          <w:color w:val="000000"/>
          <w:sz w:val="16"/>
          <w:szCs w:val="16"/>
        </w:rPr>
        <w:t>ELECTRONIC DATA = OFFICIAL VERSION / PAPER COPY = INFORMATIONAL ONLY</w:t>
      </w:r>
      <w:bookmarkEnd w:id="26"/>
    </w:p>
    <w:p w14:paraId="0331CAB2" w14:textId="77777777" w:rsidR="004801C0" w:rsidRDefault="004801C0" w:rsidP="004801C0">
      <w:pPr>
        <w:spacing w:before="120" w:after="120"/>
      </w:pPr>
    </w:p>
    <w:sectPr w:rsidR="004801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3F8752" w14:textId="77777777" w:rsidR="00865C8C" w:rsidRDefault="00865C8C" w:rsidP="000E3B4B">
      <w:pPr>
        <w:spacing w:after="0" w:line="240" w:lineRule="auto"/>
      </w:pPr>
      <w:r>
        <w:separator/>
      </w:r>
    </w:p>
  </w:endnote>
  <w:endnote w:type="continuationSeparator" w:id="0">
    <w:p w14:paraId="2D4130F5" w14:textId="77777777" w:rsidR="00865C8C" w:rsidRDefault="00865C8C" w:rsidP="000E3B4B">
      <w:pPr>
        <w:spacing w:after="0" w:line="240" w:lineRule="auto"/>
      </w:pPr>
      <w:r>
        <w:continuationSeparator/>
      </w:r>
    </w:p>
  </w:endnote>
  <w:endnote w:type="continuationNotice" w:id="1">
    <w:p w14:paraId="4C1C9EF5" w14:textId="77777777" w:rsidR="00865C8C" w:rsidRDefault="00865C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CS Corporate">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9D4DD" w14:textId="77777777" w:rsidR="00865C8C" w:rsidRDefault="00865C8C" w:rsidP="000E3B4B">
      <w:pPr>
        <w:spacing w:after="0" w:line="240" w:lineRule="auto"/>
      </w:pPr>
      <w:r>
        <w:separator/>
      </w:r>
    </w:p>
  </w:footnote>
  <w:footnote w:type="continuationSeparator" w:id="0">
    <w:p w14:paraId="0688677D" w14:textId="77777777" w:rsidR="00865C8C" w:rsidRDefault="00865C8C" w:rsidP="000E3B4B">
      <w:pPr>
        <w:spacing w:after="0" w:line="240" w:lineRule="auto"/>
      </w:pPr>
      <w:r>
        <w:continuationSeparator/>
      </w:r>
    </w:p>
  </w:footnote>
  <w:footnote w:type="continuationNotice" w:id="1">
    <w:p w14:paraId="50DA8B10" w14:textId="77777777" w:rsidR="00865C8C" w:rsidRDefault="00865C8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36CDF"/>
    <w:multiLevelType w:val="hybridMultilevel"/>
    <w:tmpl w:val="113475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05FF32C8"/>
    <w:multiLevelType w:val="hybridMultilevel"/>
    <w:tmpl w:val="9A321E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52590C"/>
    <w:multiLevelType w:val="hybridMultilevel"/>
    <w:tmpl w:val="E118D160"/>
    <w:lvl w:ilvl="0" w:tplc="04090003">
      <w:start w:val="1"/>
      <w:numFmt w:val="bullet"/>
      <w:lvlText w:val="o"/>
      <w:lvlJc w:val="left"/>
      <w:pPr>
        <w:ind w:left="1440" w:hanging="360"/>
      </w:pPr>
      <w:rPr>
        <w:rFonts w:ascii="Courier New" w:hAnsi="Courier New" w:cs="Courier New" w:hint="default"/>
      </w:rPr>
    </w:lvl>
    <w:lvl w:ilvl="1" w:tplc="35EE3B3C">
      <w:start w:val="1"/>
      <w:numFmt w:val="bullet"/>
      <w:lvlText w:val=""/>
      <w:lvlJc w:val="left"/>
      <w:pPr>
        <w:ind w:left="2160" w:hanging="360"/>
      </w:pPr>
      <w:rPr>
        <w:rFonts w:ascii="Symbol" w:hAnsi="Symbol" w:hint="default"/>
        <w:color w:val="auto"/>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0B254E4B"/>
    <w:multiLevelType w:val="hybridMultilevel"/>
    <w:tmpl w:val="948C5B3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72B02E0"/>
    <w:multiLevelType w:val="hybridMultilevel"/>
    <w:tmpl w:val="1812F434"/>
    <w:lvl w:ilvl="0" w:tplc="04090001">
      <w:start w:val="1"/>
      <w:numFmt w:val="bullet"/>
      <w:lvlText w:val=""/>
      <w:lvlJc w:val="left"/>
      <w:pPr>
        <w:ind w:left="1156" w:hanging="360"/>
      </w:pPr>
      <w:rPr>
        <w:rFonts w:ascii="Symbol" w:hAnsi="Symbol" w:hint="default"/>
      </w:rPr>
    </w:lvl>
    <w:lvl w:ilvl="1" w:tplc="04090003">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5" w15:restartNumberingAfterBreak="0">
    <w:nsid w:val="17776B3D"/>
    <w:multiLevelType w:val="hybridMultilevel"/>
    <w:tmpl w:val="BE264366"/>
    <w:lvl w:ilvl="0" w:tplc="20723308">
      <w:start w:val="1"/>
      <w:numFmt w:val="bullet"/>
      <w:lvlText w:val=""/>
      <w:lvlJc w:val="right"/>
      <w:pPr>
        <w:ind w:left="720" w:hanging="360"/>
      </w:pPr>
      <w:rPr>
        <w:rFonts w:ascii="Symbol" w:hAnsi="Symbol" w:hint="default"/>
      </w:rPr>
    </w:lvl>
    <w:lvl w:ilvl="1" w:tplc="0409000F">
      <w:start w:val="1"/>
      <w:numFmt w:val="decimal"/>
      <w:lvlText w:val="%2."/>
      <w:lvlJc w:val="left"/>
      <w:pPr>
        <w:ind w:left="1440" w:hanging="360"/>
      </w:pPr>
    </w:lvl>
    <w:lvl w:ilvl="2" w:tplc="20723308">
      <w:start w:val="1"/>
      <w:numFmt w:val="bullet"/>
      <w:lvlText w:val=""/>
      <w:lvlJc w:val="righ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1F03763"/>
    <w:multiLevelType w:val="hybridMultilevel"/>
    <w:tmpl w:val="96E669EC"/>
    <w:lvl w:ilvl="0" w:tplc="AA3C54AA">
      <w:start w:val="4"/>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24108"/>
    <w:multiLevelType w:val="hybridMultilevel"/>
    <w:tmpl w:val="7E0E466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36257873"/>
    <w:multiLevelType w:val="hybridMultilevel"/>
    <w:tmpl w:val="7528F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35204"/>
    <w:multiLevelType w:val="multilevel"/>
    <w:tmpl w:val="6C7A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613B6D"/>
    <w:multiLevelType w:val="hybridMultilevel"/>
    <w:tmpl w:val="0E10BD2E"/>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1" w15:restartNumberingAfterBreak="0">
    <w:nsid w:val="58B13DC7"/>
    <w:multiLevelType w:val="hybridMultilevel"/>
    <w:tmpl w:val="846EE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7231AC"/>
    <w:multiLevelType w:val="hybridMultilevel"/>
    <w:tmpl w:val="7B18A4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B25ED1"/>
    <w:multiLevelType w:val="hybridMultilevel"/>
    <w:tmpl w:val="F2D80432"/>
    <w:lvl w:ilvl="0" w:tplc="04090001">
      <w:start w:val="1"/>
      <w:numFmt w:val="bullet"/>
      <w:lvlText w:val=""/>
      <w:lvlJc w:val="left"/>
      <w:pPr>
        <w:ind w:left="911" w:hanging="360"/>
      </w:pPr>
      <w:rPr>
        <w:rFonts w:ascii="Symbol" w:hAnsi="Symbol" w:hint="default"/>
      </w:rPr>
    </w:lvl>
    <w:lvl w:ilvl="1" w:tplc="FFFFFFFF">
      <w:start w:val="1"/>
      <w:numFmt w:val="bullet"/>
      <w:lvlText w:val="o"/>
      <w:lvlJc w:val="left"/>
      <w:pPr>
        <w:ind w:left="1631" w:hanging="360"/>
      </w:pPr>
      <w:rPr>
        <w:rFonts w:ascii="Courier New" w:hAnsi="Courier New" w:cs="Courier New" w:hint="default"/>
      </w:rPr>
    </w:lvl>
    <w:lvl w:ilvl="2" w:tplc="FFFFFFFF">
      <w:start w:val="1"/>
      <w:numFmt w:val="bullet"/>
      <w:lvlText w:val=""/>
      <w:lvlJc w:val="left"/>
      <w:pPr>
        <w:ind w:left="2351" w:hanging="360"/>
      </w:pPr>
      <w:rPr>
        <w:rFonts w:ascii="Wingdings" w:hAnsi="Wingdings" w:hint="default"/>
      </w:rPr>
    </w:lvl>
    <w:lvl w:ilvl="3" w:tplc="FFFFFFFF">
      <w:start w:val="1"/>
      <w:numFmt w:val="bullet"/>
      <w:lvlText w:val=""/>
      <w:lvlJc w:val="left"/>
      <w:pPr>
        <w:ind w:left="3071" w:hanging="360"/>
      </w:pPr>
      <w:rPr>
        <w:rFonts w:ascii="Symbol" w:hAnsi="Symbol" w:hint="default"/>
      </w:rPr>
    </w:lvl>
    <w:lvl w:ilvl="4" w:tplc="FFFFFFFF">
      <w:start w:val="1"/>
      <w:numFmt w:val="bullet"/>
      <w:lvlText w:val="o"/>
      <w:lvlJc w:val="left"/>
      <w:pPr>
        <w:ind w:left="3791" w:hanging="360"/>
      </w:pPr>
      <w:rPr>
        <w:rFonts w:ascii="Courier New" w:hAnsi="Courier New" w:cs="Courier New" w:hint="default"/>
      </w:rPr>
    </w:lvl>
    <w:lvl w:ilvl="5" w:tplc="FFFFFFFF">
      <w:start w:val="1"/>
      <w:numFmt w:val="bullet"/>
      <w:lvlText w:val=""/>
      <w:lvlJc w:val="left"/>
      <w:pPr>
        <w:ind w:left="4511" w:hanging="360"/>
      </w:pPr>
      <w:rPr>
        <w:rFonts w:ascii="Wingdings" w:hAnsi="Wingdings" w:hint="default"/>
      </w:rPr>
    </w:lvl>
    <w:lvl w:ilvl="6" w:tplc="FFFFFFFF">
      <w:start w:val="1"/>
      <w:numFmt w:val="bullet"/>
      <w:lvlText w:val=""/>
      <w:lvlJc w:val="left"/>
      <w:pPr>
        <w:ind w:left="5231" w:hanging="360"/>
      </w:pPr>
      <w:rPr>
        <w:rFonts w:ascii="Symbol" w:hAnsi="Symbol" w:hint="default"/>
      </w:rPr>
    </w:lvl>
    <w:lvl w:ilvl="7" w:tplc="FFFFFFFF">
      <w:start w:val="1"/>
      <w:numFmt w:val="bullet"/>
      <w:lvlText w:val="o"/>
      <w:lvlJc w:val="left"/>
      <w:pPr>
        <w:ind w:left="5951" w:hanging="360"/>
      </w:pPr>
      <w:rPr>
        <w:rFonts w:ascii="Courier New" w:hAnsi="Courier New" w:cs="Courier New" w:hint="default"/>
      </w:rPr>
    </w:lvl>
    <w:lvl w:ilvl="8" w:tplc="FFFFFFFF">
      <w:start w:val="1"/>
      <w:numFmt w:val="bullet"/>
      <w:lvlText w:val=""/>
      <w:lvlJc w:val="left"/>
      <w:pPr>
        <w:ind w:left="6671" w:hanging="360"/>
      </w:pPr>
      <w:rPr>
        <w:rFonts w:ascii="Wingdings" w:hAnsi="Wingdings" w:hint="default"/>
      </w:rPr>
    </w:lvl>
  </w:abstractNum>
  <w:abstractNum w:abstractNumId="14" w15:restartNumberingAfterBreak="0">
    <w:nsid w:val="6B3E02B8"/>
    <w:multiLevelType w:val="hybridMultilevel"/>
    <w:tmpl w:val="D380788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C350719"/>
    <w:multiLevelType w:val="hybridMultilevel"/>
    <w:tmpl w:val="89E4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EB3E0A"/>
    <w:multiLevelType w:val="hybridMultilevel"/>
    <w:tmpl w:val="A860DCDC"/>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7" w15:restartNumberingAfterBreak="0">
    <w:nsid w:val="714713FC"/>
    <w:multiLevelType w:val="hybridMultilevel"/>
    <w:tmpl w:val="D2A21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7C7C15"/>
    <w:multiLevelType w:val="hybridMultilevel"/>
    <w:tmpl w:val="0B74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0A464D"/>
    <w:multiLevelType w:val="hybridMultilevel"/>
    <w:tmpl w:val="776AA3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7DC5347C"/>
    <w:multiLevelType w:val="hybridMultilevel"/>
    <w:tmpl w:val="85601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9191366">
    <w:abstractNumId w:val="1"/>
  </w:num>
  <w:num w:numId="2" w16cid:durableId="933056531">
    <w:abstractNumId w:val="15"/>
  </w:num>
  <w:num w:numId="3" w16cid:durableId="6248700">
    <w:abstractNumId w:val="5"/>
  </w:num>
  <w:num w:numId="4" w16cid:durableId="2024821398">
    <w:abstractNumId w:val="19"/>
  </w:num>
  <w:num w:numId="5" w16cid:durableId="868421452">
    <w:abstractNumId w:val="0"/>
  </w:num>
  <w:num w:numId="6" w16cid:durableId="1287078539">
    <w:abstractNumId w:val="14"/>
  </w:num>
  <w:num w:numId="7" w16cid:durableId="103312444">
    <w:abstractNumId w:val="2"/>
  </w:num>
  <w:num w:numId="8" w16cid:durableId="1229533748">
    <w:abstractNumId w:val="3"/>
  </w:num>
  <w:num w:numId="9" w16cid:durableId="278998881">
    <w:abstractNumId w:val="13"/>
  </w:num>
  <w:num w:numId="10" w16cid:durableId="163859406">
    <w:abstractNumId w:val="6"/>
  </w:num>
  <w:num w:numId="11" w16cid:durableId="1074936167">
    <w:abstractNumId w:val="12"/>
  </w:num>
  <w:num w:numId="12" w16cid:durableId="1483229094">
    <w:abstractNumId w:val="20"/>
  </w:num>
  <w:num w:numId="13" w16cid:durableId="1193421205">
    <w:abstractNumId w:val="18"/>
  </w:num>
  <w:num w:numId="14" w16cid:durableId="1864129987">
    <w:abstractNumId w:val="9"/>
  </w:num>
  <w:num w:numId="15" w16cid:durableId="664941043">
    <w:abstractNumId w:val="17"/>
  </w:num>
  <w:num w:numId="16" w16cid:durableId="590505123">
    <w:abstractNumId w:val="4"/>
  </w:num>
  <w:num w:numId="17" w16cid:durableId="2001883963">
    <w:abstractNumId w:val="11"/>
  </w:num>
  <w:num w:numId="18" w16cid:durableId="686174476">
    <w:abstractNumId w:val="10"/>
  </w:num>
  <w:num w:numId="19" w16cid:durableId="142552833">
    <w:abstractNumId w:val="16"/>
  </w:num>
  <w:num w:numId="20" w16cid:durableId="35200035">
    <w:abstractNumId w:val="7"/>
  </w:num>
  <w:num w:numId="21" w16cid:durableId="20341134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B4B"/>
    <w:rsid w:val="0000351D"/>
    <w:rsid w:val="000060DA"/>
    <w:rsid w:val="00014F52"/>
    <w:rsid w:val="00020B0F"/>
    <w:rsid w:val="00037AC8"/>
    <w:rsid w:val="00044801"/>
    <w:rsid w:val="00045135"/>
    <w:rsid w:val="00052A2D"/>
    <w:rsid w:val="00054F39"/>
    <w:rsid w:val="00071C23"/>
    <w:rsid w:val="000800E9"/>
    <w:rsid w:val="00084044"/>
    <w:rsid w:val="0009440A"/>
    <w:rsid w:val="000D5806"/>
    <w:rsid w:val="000E1519"/>
    <w:rsid w:val="000E3B4B"/>
    <w:rsid w:val="000F0E3B"/>
    <w:rsid w:val="000F1B1C"/>
    <w:rsid w:val="000F63C5"/>
    <w:rsid w:val="00132AB4"/>
    <w:rsid w:val="0014239E"/>
    <w:rsid w:val="001649BF"/>
    <w:rsid w:val="00171E52"/>
    <w:rsid w:val="001910A6"/>
    <w:rsid w:val="001C45F5"/>
    <w:rsid w:val="001C5D85"/>
    <w:rsid w:val="001C740D"/>
    <w:rsid w:val="001D4A34"/>
    <w:rsid w:val="001D5DC3"/>
    <w:rsid w:val="001D703B"/>
    <w:rsid w:val="001F0B9C"/>
    <w:rsid w:val="002105E3"/>
    <w:rsid w:val="002530DC"/>
    <w:rsid w:val="002548C8"/>
    <w:rsid w:val="0027229E"/>
    <w:rsid w:val="00297BBC"/>
    <w:rsid w:val="002B3DCD"/>
    <w:rsid w:val="002C00FE"/>
    <w:rsid w:val="002C4950"/>
    <w:rsid w:val="002D0EA3"/>
    <w:rsid w:val="002D2186"/>
    <w:rsid w:val="002F0984"/>
    <w:rsid w:val="002F5FC3"/>
    <w:rsid w:val="00312FA2"/>
    <w:rsid w:val="00321622"/>
    <w:rsid w:val="003248CC"/>
    <w:rsid w:val="00330F2B"/>
    <w:rsid w:val="003706C2"/>
    <w:rsid w:val="003725B0"/>
    <w:rsid w:val="0037558A"/>
    <w:rsid w:val="003A56EC"/>
    <w:rsid w:val="003B4982"/>
    <w:rsid w:val="003C3DE5"/>
    <w:rsid w:val="00411B9F"/>
    <w:rsid w:val="00415320"/>
    <w:rsid w:val="004207E3"/>
    <w:rsid w:val="00470F21"/>
    <w:rsid w:val="004730A6"/>
    <w:rsid w:val="004800F0"/>
    <w:rsid w:val="004801C0"/>
    <w:rsid w:val="004A211A"/>
    <w:rsid w:val="004A3B41"/>
    <w:rsid w:val="004B68F9"/>
    <w:rsid w:val="004C0204"/>
    <w:rsid w:val="004C39CD"/>
    <w:rsid w:val="004C726D"/>
    <w:rsid w:val="004F270E"/>
    <w:rsid w:val="0051443C"/>
    <w:rsid w:val="00514D71"/>
    <w:rsid w:val="00515313"/>
    <w:rsid w:val="00544818"/>
    <w:rsid w:val="005563E9"/>
    <w:rsid w:val="00562DA4"/>
    <w:rsid w:val="00563D18"/>
    <w:rsid w:val="00573C4B"/>
    <w:rsid w:val="00576799"/>
    <w:rsid w:val="005A7C80"/>
    <w:rsid w:val="005B36D9"/>
    <w:rsid w:val="005D33C0"/>
    <w:rsid w:val="00621784"/>
    <w:rsid w:val="006240F3"/>
    <w:rsid w:val="006458A6"/>
    <w:rsid w:val="00692CAF"/>
    <w:rsid w:val="00692F41"/>
    <w:rsid w:val="00694FA7"/>
    <w:rsid w:val="006950ED"/>
    <w:rsid w:val="006A64E0"/>
    <w:rsid w:val="006C67CE"/>
    <w:rsid w:val="006D07FD"/>
    <w:rsid w:val="006E1BC1"/>
    <w:rsid w:val="006F55F6"/>
    <w:rsid w:val="00704116"/>
    <w:rsid w:val="0070795F"/>
    <w:rsid w:val="007120CE"/>
    <w:rsid w:val="00716D97"/>
    <w:rsid w:val="007233E2"/>
    <w:rsid w:val="007331D1"/>
    <w:rsid w:val="00734C3D"/>
    <w:rsid w:val="007445B5"/>
    <w:rsid w:val="007563C5"/>
    <w:rsid w:val="007737B1"/>
    <w:rsid w:val="007806AF"/>
    <w:rsid w:val="0078556A"/>
    <w:rsid w:val="007B2C10"/>
    <w:rsid w:val="007D06C6"/>
    <w:rsid w:val="008029AE"/>
    <w:rsid w:val="00807A0B"/>
    <w:rsid w:val="008218E6"/>
    <w:rsid w:val="0082505D"/>
    <w:rsid w:val="0083159D"/>
    <w:rsid w:val="00841417"/>
    <w:rsid w:val="00841645"/>
    <w:rsid w:val="00846113"/>
    <w:rsid w:val="008610D6"/>
    <w:rsid w:val="00863CEF"/>
    <w:rsid w:val="00865C8C"/>
    <w:rsid w:val="0089050A"/>
    <w:rsid w:val="008A4282"/>
    <w:rsid w:val="008B4D53"/>
    <w:rsid w:val="008C37D7"/>
    <w:rsid w:val="008C5DFF"/>
    <w:rsid w:val="008E32F5"/>
    <w:rsid w:val="008E5124"/>
    <w:rsid w:val="008E5F1F"/>
    <w:rsid w:val="008F27B3"/>
    <w:rsid w:val="008F2B08"/>
    <w:rsid w:val="008F3EB7"/>
    <w:rsid w:val="008F6434"/>
    <w:rsid w:val="008F6FD2"/>
    <w:rsid w:val="0091357B"/>
    <w:rsid w:val="0091475D"/>
    <w:rsid w:val="00934E30"/>
    <w:rsid w:val="009411D5"/>
    <w:rsid w:val="009434DE"/>
    <w:rsid w:val="00944696"/>
    <w:rsid w:val="00956D63"/>
    <w:rsid w:val="00957CB0"/>
    <w:rsid w:val="0096622F"/>
    <w:rsid w:val="0097225F"/>
    <w:rsid w:val="00974DDE"/>
    <w:rsid w:val="00975784"/>
    <w:rsid w:val="00983AD1"/>
    <w:rsid w:val="009E612B"/>
    <w:rsid w:val="009F376F"/>
    <w:rsid w:val="00A135D9"/>
    <w:rsid w:val="00A41784"/>
    <w:rsid w:val="00A56CC9"/>
    <w:rsid w:val="00A6553C"/>
    <w:rsid w:val="00A667F6"/>
    <w:rsid w:val="00A75D18"/>
    <w:rsid w:val="00AC1BD5"/>
    <w:rsid w:val="00AD78BC"/>
    <w:rsid w:val="00B1328B"/>
    <w:rsid w:val="00B47A64"/>
    <w:rsid w:val="00B8668C"/>
    <w:rsid w:val="00B97A44"/>
    <w:rsid w:val="00BA1F30"/>
    <w:rsid w:val="00BA453C"/>
    <w:rsid w:val="00BA7128"/>
    <w:rsid w:val="00BA7A4E"/>
    <w:rsid w:val="00BB1FFD"/>
    <w:rsid w:val="00BB2837"/>
    <w:rsid w:val="00BB40B4"/>
    <w:rsid w:val="00BB5242"/>
    <w:rsid w:val="00BB54E3"/>
    <w:rsid w:val="00BC54F9"/>
    <w:rsid w:val="00BE1B59"/>
    <w:rsid w:val="00BF6B1F"/>
    <w:rsid w:val="00C05D98"/>
    <w:rsid w:val="00C1473D"/>
    <w:rsid w:val="00C16282"/>
    <w:rsid w:val="00C32590"/>
    <w:rsid w:val="00C6295D"/>
    <w:rsid w:val="00C62E99"/>
    <w:rsid w:val="00C642C5"/>
    <w:rsid w:val="00C655A3"/>
    <w:rsid w:val="00C74262"/>
    <w:rsid w:val="00C85625"/>
    <w:rsid w:val="00C90F95"/>
    <w:rsid w:val="00CD0A90"/>
    <w:rsid w:val="00CE04D3"/>
    <w:rsid w:val="00CF28FD"/>
    <w:rsid w:val="00D04050"/>
    <w:rsid w:val="00D44DB2"/>
    <w:rsid w:val="00D52590"/>
    <w:rsid w:val="00D92C41"/>
    <w:rsid w:val="00DC7FEE"/>
    <w:rsid w:val="00DD3B15"/>
    <w:rsid w:val="00DF062A"/>
    <w:rsid w:val="00E128DF"/>
    <w:rsid w:val="00E17616"/>
    <w:rsid w:val="00E64CF8"/>
    <w:rsid w:val="00E96EB8"/>
    <w:rsid w:val="00E97596"/>
    <w:rsid w:val="00EB55C0"/>
    <w:rsid w:val="00EF03E4"/>
    <w:rsid w:val="00EF30EB"/>
    <w:rsid w:val="00F14097"/>
    <w:rsid w:val="00F244C5"/>
    <w:rsid w:val="00F25D3D"/>
    <w:rsid w:val="00F47940"/>
    <w:rsid w:val="00F53136"/>
    <w:rsid w:val="00F54451"/>
    <w:rsid w:val="00F85E55"/>
    <w:rsid w:val="00FA2506"/>
    <w:rsid w:val="00FA4108"/>
    <w:rsid w:val="00FB0871"/>
    <w:rsid w:val="00FB1634"/>
    <w:rsid w:val="00FF152A"/>
    <w:rsid w:val="00FF5804"/>
    <w:rsid w:val="03A209A5"/>
    <w:rsid w:val="0474DEF7"/>
    <w:rsid w:val="04CCF6C1"/>
    <w:rsid w:val="0640D583"/>
    <w:rsid w:val="145B9184"/>
    <w:rsid w:val="172D76F2"/>
    <w:rsid w:val="1C24F43A"/>
    <w:rsid w:val="1D19BD1E"/>
    <w:rsid w:val="1D94B81F"/>
    <w:rsid w:val="1FCABD9F"/>
    <w:rsid w:val="238905B6"/>
    <w:rsid w:val="27381570"/>
    <w:rsid w:val="29FC9D1C"/>
    <w:rsid w:val="2BA31733"/>
    <w:rsid w:val="356C562A"/>
    <w:rsid w:val="3A8D4CEF"/>
    <w:rsid w:val="440CFD94"/>
    <w:rsid w:val="44A1524E"/>
    <w:rsid w:val="4B605A11"/>
    <w:rsid w:val="4E0DC8B8"/>
    <w:rsid w:val="4F41C6EE"/>
    <w:rsid w:val="56BDE8B6"/>
    <w:rsid w:val="5B82ED54"/>
    <w:rsid w:val="5DD2D087"/>
    <w:rsid w:val="6313157F"/>
    <w:rsid w:val="64AF5325"/>
    <w:rsid w:val="661480EA"/>
    <w:rsid w:val="66480881"/>
    <w:rsid w:val="69E8C7D6"/>
    <w:rsid w:val="6B43E9C1"/>
    <w:rsid w:val="76AFF1BB"/>
    <w:rsid w:val="7BC7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B73148"/>
  <w15:chartTrackingRefBased/>
  <w15:docId w15:val="{FFD09E0F-D241-4A54-A2A4-0A35E3B9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5D9"/>
    <w:rPr>
      <w:rFonts w:ascii="Verdana" w:hAnsi="Verdana"/>
      <w:sz w:val="24"/>
    </w:rPr>
  </w:style>
  <w:style w:type="paragraph" w:styleId="Heading1">
    <w:name w:val="heading 1"/>
    <w:basedOn w:val="Normal"/>
    <w:next w:val="Normal"/>
    <w:link w:val="Heading1Char"/>
    <w:uiPriority w:val="9"/>
    <w:qFormat/>
    <w:rsid w:val="00A135D9"/>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semiHidden/>
    <w:unhideWhenUsed/>
    <w:qFormat/>
    <w:rsid w:val="00A135D9"/>
    <w:pPr>
      <w:keepNext/>
      <w:spacing w:before="240" w:after="60" w:line="240" w:lineRule="auto"/>
      <w:outlineLvl w:val="1"/>
    </w:pPr>
    <w:rPr>
      <w:rFonts w:eastAsia="Times New Roman" w:cs="Arial"/>
      <w:b/>
      <w:bCs/>
      <w:iCs/>
      <w:sz w:val="28"/>
      <w:szCs w:val="28"/>
    </w:rPr>
  </w:style>
  <w:style w:type="paragraph" w:styleId="Heading3">
    <w:name w:val="heading 3"/>
    <w:basedOn w:val="Normal"/>
    <w:next w:val="Normal"/>
    <w:link w:val="Heading3Char"/>
    <w:uiPriority w:val="9"/>
    <w:semiHidden/>
    <w:unhideWhenUsed/>
    <w:qFormat/>
    <w:rsid w:val="008F2B0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E3B4B"/>
    <w:rPr>
      <w:color w:val="0000FF"/>
      <w:u w:val="single"/>
    </w:rPr>
  </w:style>
  <w:style w:type="paragraph" w:styleId="CommentText">
    <w:name w:val="annotation text"/>
    <w:basedOn w:val="Normal"/>
    <w:link w:val="CommentTextChar"/>
    <w:uiPriority w:val="99"/>
    <w:semiHidden/>
    <w:unhideWhenUsed/>
    <w:rsid w:val="000E3B4B"/>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E3B4B"/>
    <w:rPr>
      <w:rFonts w:ascii="Times New Roman" w:eastAsia="Times New Roman" w:hAnsi="Times New Roman" w:cs="Times New Roman"/>
      <w:sz w:val="20"/>
      <w:szCs w:val="20"/>
    </w:rPr>
  </w:style>
  <w:style w:type="paragraph" w:styleId="ListParagraph">
    <w:name w:val="List Paragraph"/>
    <w:basedOn w:val="Normal"/>
    <w:uiPriority w:val="34"/>
    <w:qFormat/>
    <w:rsid w:val="00CF28FD"/>
    <w:pPr>
      <w:spacing w:before="120" w:after="120" w:line="240" w:lineRule="auto"/>
      <w:ind w:left="720"/>
      <w:contextualSpacing/>
    </w:pPr>
    <w:rPr>
      <w:rFonts w:eastAsia="Times New Roman" w:cs="Times New Roman"/>
      <w:szCs w:val="24"/>
    </w:rPr>
  </w:style>
  <w:style w:type="character" w:styleId="CommentReference">
    <w:name w:val="annotation reference"/>
    <w:basedOn w:val="DefaultParagraphFont"/>
    <w:semiHidden/>
    <w:unhideWhenUsed/>
    <w:rsid w:val="000E3B4B"/>
    <w:rPr>
      <w:sz w:val="16"/>
      <w:szCs w:val="16"/>
    </w:rPr>
  </w:style>
  <w:style w:type="character" w:customStyle="1" w:styleId="Heading2Char">
    <w:name w:val="Heading 2 Char"/>
    <w:basedOn w:val="DefaultParagraphFont"/>
    <w:link w:val="Heading2"/>
    <w:semiHidden/>
    <w:rsid w:val="00A135D9"/>
    <w:rPr>
      <w:rFonts w:ascii="Verdana" w:eastAsia="Times New Roman" w:hAnsi="Verdana" w:cs="Arial"/>
      <w:b/>
      <w:bCs/>
      <w:iCs/>
      <w:sz w:val="28"/>
      <w:szCs w:val="28"/>
    </w:rPr>
  </w:style>
  <w:style w:type="paragraph" w:styleId="BlockText">
    <w:name w:val="Block Text"/>
    <w:basedOn w:val="Normal"/>
    <w:uiPriority w:val="99"/>
    <w:semiHidden/>
    <w:unhideWhenUsed/>
    <w:rsid w:val="007233E2"/>
    <w:pPr>
      <w:spacing w:after="0" w:line="240" w:lineRule="auto"/>
      <w:ind w:left="-1080" w:right="720"/>
    </w:pPr>
    <w:rPr>
      <w:rFonts w:ascii="PCS Corporate" w:eastAsia="Times New Roman" w:hAnsi="PCS Corporate" w:cs="Times New Roman"/>
      <w:szCs w:val="20"/>
    </w:rPr>
  </w:style>
  <w:style w:type="character" w:customStyle="1" w:styleId="Heading1Char">
    <w:name w:val="Heading 1 Char"/>
    <w:basedOn w:val="DefaultParagraphFont"/>
    <w:link w:val="Heading1"/>
    <w:uiPriority w:val="9"/>
    <w:rsid w:val="00A135D9"/>
    <w:rPr>
      <w:rFonts w:ascii="Verdana" w:eastAsiaTheme="majorEastAsia" w:hAnsi="Verdana" w:cstheme="majorBidi"/>
      <w:b/>
      <w:sz w:val="36"/>
      <w:szCs w:val="32"/>
    </w:rPr>
  </w:style>
  <w:style w:type="paragraph" w:styleId="NormalWeb">
    <w:name w:val="Normal (Web)"/>
    <w:basedOn w:val="Normal"/>
    <w:uiPriority w:val="99"/>
    <w:semiHidden/>
    <w:unhideWhenUsed/>
    <w:rsid w:val="004801C0"/>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4801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801C0"/>
    <w:rPr>
      <w:color w:val="605E5C"/>
      <w:shd w:val="clear" w:color="auto" w:fill="E1DFDD"/>
    </w:rPr>
  </w:style>
  <w:style w:type="paragraph" w:styleId="TOC2">
    <w:name w:val="toc 2"/>
    <w:basedOn w:val="Normal"/>
    <w:next w:val="Normal"/>
    <w:autoRedefine/>
    <w:uiPriority w:val="39"/>
    <w:unhideWhenUsed/>
    <w:rsid w:val="004801C0"/>
    <w:pPr>
      <w:spacing w:after="100"/>
      <w:ind w:left="240"/>
    </w:pPr>
  </w:style>
  <w:style w:type="paragraph" w:styleId="Revision">
    <w:name w:val="Revision"/>
    <w:hidden/>
    <w:uiPriority w:val="99"/>
    <w:semiHidden/>
    <w:rsid w:val="008F2B08"/>
    <w:pPr>
      <w:spacing w:after="0" w:line="240" w:lineRule="auto"/>
    </w:pPr>
    <w:rPr>
      <w:rFonts w:ascii="Verdana" w:hAnsi="Verdana"/>
      <w:sz w:val="24"/>
    </w:rPr>
  </w:style>
  <w:style w:type="character" w:customStyle="1" w:styleId="Heading3Char">
    <w:name w:val="Heading 3 Char"/>
    <w:basedOn w:val="DefaultParagraphFont"/>
    <w:link w:val="Heading3"/>
    <w:uiPriority w:val="9"/>
    <w:semiHidden/>
    <w:rsid w:val="008F2B0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EF03E4"/>
    <w:rPr>
      <w:color w:val="954F72" w:themeColor="followedHyperlink"/>
      <w:u w:val="single"/>
    </w:rPr>
  </w:style>
  <w:style w:type="paragraph" w:styleId="Header">
    <w:name w:val="header"/>
    <w:basedOn w:val="Normal"/>
    <w:link w:val="HeaderChar"/>
    <w:uiPriority w:val="99"/>
    <w:semiHidden/>
    <w:unhideWhenUsed/>
    <w:rsid w:val="00E96E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6EB8"/>
    <w:rPr>
      <w:rFonts w:ascii="Verdana" w:hAnsi="Verdana"/>
      <w:sz w:val="24"/>
    </w:rPr>
  </w:style>
  <w:style w:type="paragraph" w:styleId="Footer">
    <w:name w:val="footer"/>
    <w:basedOn w:val="Normal"/>
    <w:link w:val="FooterChar"/>
    <w:uiPriority w:val="99"/>
    <w:semiHidden/>
    <w:unhideWhenUsed/>
    <w:rsid w:val="00E96E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6EB8"/>
    <w:rPr>
      <w:rFonts w:ascii="Verdana" w:hAnsi="Verdan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861752">
      <w:bodyDiv w:val="1"/>
      <w:marLeft w:val="0"/>
      <w:marRight w:val="0"/>
      <w:marTop w:val="0"/>
      <w:marBottom w:val="0"/>
      <w:divBdr>
        <w:top w:val="none" w:sz="0" w:space="0" w:color="auto"/>
        <w:left w:val="none" w:sz="0" w:space="0" w:color="auto"/>
        <w:bottom w:val="none" w:sz="0" w:space="0" w:color="auto"/>
        <w:right w:val="none" w:sz="0" w:space="0" w:color="auto"/>
      </w:divBdr>
    </w:div>
    <w:div w:id="1105618504">
      <w:bodyDiv w:val="1"/>
      <w:marLeft w:val="0"/>
      <w:marRight w:val="0"/>
      <w:marTop w:val="0"/>
      <w:marBottom w:val="0"/>
      <w:divBdr>
        <w:top w:val="none" w:sz="0" w:space="0" w:color="auto"/>
        <w:left w:val="none" w:sz="0" w:space="0" w:color="auto"/>
        <w:bottom w:val="none" w:sz="0" w:space="0" w:color="auto"/>
        <w:right w:val="none" w:sz="0" w:space="0" w:color="auto"/>
      </w:divBdr>
    </w:div>
    <w:div w:id="1431051911">
      <w:bodyDiv w:val="1"/>
      <w:marLeft w:val="0"/>
      <w:marRight w:val="0"/>
      <w:marTop w:val="0"/>
      <w:marBottom w:val="0"/>
      <w:divBdr>
        <w:top w:val="none" w:sz="0" w:space="0" w:color="auto"/>
        <w:left w:val="none" w:sz="0" w:space="0" w:color="auto"/>
        <w:bottom w:val="none" w:sz="0" w:space="0" w:color="auto"/>
        <w:right w:val="none" w:sz="0" w:space="0" w:color="auto"/>
      </w:divBdr>
    </w:div>
    <w:div w:id="171981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thesource.cvshealth.com/nuxeo/thesource/"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thesource.cvshealth.com/nuxeo/thesourc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hesource.cvshealth.com/nuxeo/thesource/"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policy.corp.cvscaremark.com/pnp/faces/DocRenderer?documentId=CALL-00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2fe6fb3c-ae69-4363-9eac-f91567448a6f" xsi:nil="true"/>
    <lcf76f155ced4ddcb4097134ff3c332f xmlns="d19e0082-693e-45ae-8f74-da0dd659fa03">
      <Terms xmlns="http://schemas.microsoft.com/office/infopath/2007/PartnerControls"/>
    </lcf76f155ced4ddcb4097134ff3c332f>
    <BPO xmlns="d19e0082-693e-45ae-8f74-da0dd659fa03">Clinical and Overrides</BPO>
    <ProjectAnalyst xmlns="d19e0082-693e-45ae-8f74-da0dd659fa03">Lindsey</ProjectAnalyst>
    <DocumentConsultatnt xmlns="d19e0082-693e-45ae-8f74-da0dd659fa03">Brienna Dugdale</DocumentConsultatnt>
    <DueDate xmlns="d19e0082-693e-45ae-8f74-da0dd659fa03" xsi:nil="true"/>
    <LifelineQuickChat xmlns="d19e0082-693e-45ae-8f74-da0dd659fa03" xsi:nil="true"/>
    <Status xmlns="d19e0082-693e-45ae-8f74-da0dd659fa0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B57E074260378499F7E81CCDE102D50" ma:contentTypeVersion="17" ma:contentTypeDescription="Create a new document." ma:contentTypeScope="" ma:versionID="d102769cacfb248b0a4cd372c95ae198">
  <xsd:schema xmlns:xsd="http://www.w3.org/2001/XMLSchema" xmlns:xs="http://www.w3.org/2001/XMLSchema" xmlns:p="http://schemas.microsoft.com/office/2006/metadata/properties" xmlns:ns2="d19e0082-693e-45ae-8f74-da0dd659fa03" xmlns:ns3="2fe6fb3c-ae69-4363-9eac-f91567448a6f" targetNamespace="http://schemas.microsoft.com/office/2006/metadata/properties" ma:root="true" ma:fieldsID="b2f750f4410df7e9588eaa14b27124da" ns2:_="" ns3:_="">
    <xsd:import namespace="d19e0082-693e-45ae-8f74-da0dd659fa03"/>
    <xsd:import namespace="2fe6fb3c-ae69-4363-9eac-f91567448a6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LifelineQuickChat" minOccurs="0"/>
                <xsd:element ref="ns2:ProjectAnalyst" minOccurs="0"/>
                <xsd:element ref="ns2:DocumentConsultatnt" minOccurs="0"/>
                <xsd:element ref="ns2:BPO" minOccurs="0"/>
                <xsd:element ref="ns2:Status" minOccurs="0"/>
                <xsd:element ref="ns2:Du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e0082-693e-45ae-8f74-da0dd659fa03"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ifelineQuickChat" ma:index="19" nillable="true" ma:displayName="Project Owner/Lead" ma:format="Dropdown" ma:internalName="LifelineQuickChat">
      <xsd:simpleType>
        <xsd:restriction base="dms:Text">
          <xsd:maxLength value="255"/>
        </xsd:restriction>
      </xsd:simpleType>
    </xsd:element>
    <xsd:element name="ProjectAnalyst" ma:index="20" nillable="true" ma:displayName="Project Analyst" ma:format="Dropdown" ma:internalName="ProjectAnalyst">
      <xsd:simpleType>
        <xsd:restriction base="dms:Text">
          <xsd:maxLength value="255"/>
        </xsd:restriction>
      </xsd:simpleType>
    </xsd:element>
    <xsd:element name="DocumentConsultatnt" ma:index="21" nillable="true" ma:displayName="Document Consultant" ma:format="Dropdown" ma:internalName="DocumentConsultatnt">
      <xsd:simpleType>
        <xsd:restriction base="dms:Text">
          <xsd:maxLength value="255"/>
        </xsd:restriction>
      </xsd:simpleType>
    </xsd:element>
    <xsd:element name="BPO" ma:index="22" nillable="true" ma:displayName="BPO" ma:format="Dropdown" ma:internalName="BPO">
      <xsd:simpleType>
        <xsd:restriction base="dms:Text">
          <xsd:maxLength value="255"/>
        </xsd:restriction>
      </xsd:simpleType>
    </xsd:element>
    <xsd:element name="Status" ma:index="23" nillable="true" ma:displayName="Status" ma:format="Dropdown" ma:internalName="Status">
      <xsd:simpleType>
        <xsd:restriction base="dms:Text">
          <xsd:maxLength value="255"/>
        </xsd:restriction>
      </xsd:simpleType>
    </xsd:element>
    <xsd:element name="DueDate" ma:index="24" nillable="true" ma:displayName="Due Date" ma:format="Dropdown" ma:internalName="DueDat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e6fb3c-ae69-4363-9eac-f91567448a6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3843f2a-4ea9-4ff2-ae93-95147ee77641}" ma:internalName="TaxCatchAll" ma:showField="CatchAllData" ma:web="2fe6fb3c-ae69-4363-9eac-f91567448a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DAF3B5-048B-4452-8076-286EF5B84F0D}">
  <ds:schemaRefs>
    <ds:schemaRef ds:uri="http://schemas.microsoft.com/office/2006/documentManagement/types"/>
    <ds:schemaRef ds:uri="http://schemas.openxmlformats.org/package/2006/metadata/core-properties"/>
    <ds:schemaRef ds:uri="2fe6fb3c-ae69-4363-9eac-f91567448a6f"/>
    <ds:schemaRef ds:uri="http://purl.org/dc/elements/1.1/"/>
    <ds:schemaRef ds:uri="http://schemas.microsoft.com/office/2006/metadata/properties"/>
    <ds:schemaRef ds:uri="http://schemas.microsoft.com/office/infopath/2007/PartnerControls"/>
    <ds:schemaRef ds:uri="http://purl.org/dc/terms/"/>
    <ds:schemaRef ds:uri="d19e0082-693e-45ae-8f74-da0dd659fa03"/>
    <ds:schemaRef ds:uri="http://www.w3.org/XML/1998/namespace"/>
    <ds:schemaRef ds:uri="http://purl.org/dc/dcmitype/"/>
  </ds:schemaRefs>
</ds:datastoreItem>
</file>

<file path=customXml/itemProps2.xml><?xml version="1.0" encoding="utf-8"?>
<ds:datastoreItem xmlns:ds="http://schemas.openxmlformats.org/officeDocument/2006/customXml" ds:itemID="{13C27B3D-F964-486E-A9C8-8D833C3FD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e0082-693e-45ae-8f74-da0dd659fa03"/>
    <ds:schemaRef ds:uri="2fe6fb3c-ae69-4363-9eac-f91567448a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261B2-2219-4180-8AEA-238A387678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7021</CharactersWithSpaces>
  <SharedDoc>false</SharedDoc>
  <HLinks>
    <vt:vector size="108" baseType="variant">
      <vt:variant>
        <vt:i4>262192</vt:i4>
      </vt:variant>
      <vt:variant>
        <vt:i4>54</vt:i4>
      </vt:variant>
      <vt:variant>
        <vt:i4>0</vt:i4>
      </vt:variant>
      <vt:variant>
        <vt:i4>5</vt:i4>
      </vt:variant>
      <vt:variant>
        <vt:lpwstr/>
      </vt:variant>
      <vt:variant>
        <vt:lpwstr>_top</vt:lpwstr>
      </vt:variant>
      <vt:variant>
        <vt:i4>2424887</vt:i4>
      </vt:variant>
      <vt:variant>
        <vt:i4>51</vt:i4>
      </vt:variant>
      <vt:variant>
        <vt:i4>0</vt:i4>
      </vt:variant>
      <vt:variant>
        <vt:i4>5</vt:i4>
      </vt:variant>
      <vt:variant>
        <vt:lpwstr>https://policy.corp.cvscaremark.com/pnp/faces/DocRenderer?documentId=CALL-0049</vt:lpwstr>
      </vt:variant>
      <vt:variant>
        <vt:lpwstr/>
      </vt:variant>
      <vt:variant>
        <vt:i4>4784159</vt:i4>
      </vt:variant>
      <vt:variant>
        <vt:i4>48</vt:i4>
      </vt:variant>
      <vt:variant>
        <vt:i4>0</vt:i4>
      </vt:variant>
      <vt:variant>
        <vt:i4>5</vt:i4>
      </vt:variant>
      <vt:variant>
        <vt:lpwstr>https://thesource.cvshealth.com/nuxeo/thesource/</vt:lpwstr>
      </vt:variant>
      <vt:variant>
        <vt:lpwstr>!/view?docid=44418b02-7e70-41cc-bb2e-bb38164a951f</vt:lpwstr>
      </vt:variant>
      <vt:variant>
        <vt:i4>1376333</vt:i4>
      </vt:variant>
      <vt:variant>
        <vt:i4>45</vt:i4>
      </vt:variant>
      <vt:variant>
        <vt:i4>0</vt:i4>
      </vt:variant>
      <vt:variant>
        <vt:i4>5</vt:i4>
      </vt:variant>
      <vt:variant>
        <vt:lpwstr>https://thesource.cvshealth.com/nuxeo/thesource/</vt:lpwstr>
      </vt:variant>
      <vt:variant>
        <vt:lpwstr>!/view?docid=c1f1028b-e42c-4b4f-a4cf-cc0b42c91606</vt:lpwstr>
      </vt:variant>
      <vt:variant>
        <vt:i4>262192</vt:i4>
      </vt:variant>
      <vt:variant>
        <vt:i4>42</vt:i4>
      </vt:variant>
      <vt:variant>
        <vt:i4>0</vt:i4>
      </vt:variant>
      <vt:variant>
        <vt:i4>5</vt:i4>
      </vt:variant>
      <vt:variant>
        <vt:lpwstr/>
      </vt:variant>
      <vt:variant>
        <vt:lpwstr>_top</vt:lpwstr>
      </vt:variant>
      <vt:variant>
        <vt:i4>7471226</vt:i4>
      </vt:variant>
      <vt:variant>
        <vt:i4>39</vt:i4>
      </vt:variant>
      <vt:variant>
        <vt:i4>0</vt:i4>
      </vt:variant>
      <vt:variant>
        <vt:i4>5</vt:i4>
      </vt:variant>
      <vt:variant>
        <vt:lpwstr/>
      </vt:variant>
      <vt:variant>
        <vt:lpwstr>CheckClaimsTab</vt:lpwstr>
      </vt:variant>
      <vt:variant>
        <vt:i4>1507350</vt:i4>
      </vt:variant>
      <vt:variant>
        <vt:i4>36</vt:i4>
      </vt:variant>
      <vt:variant>
        <vt:i4>0</vt:i4>
      </vt:variant>
      <vt:variant>
        <vt:i4>5</vt:i4>
      </vt:variant>
      <vt:variant>
        <vt:lpwstr/>
      </vt:variant>
      <vt:variant>
        <vt:lpwstr>CheckClaimsTable</vt:lpwstr>
      </vt:variant>
      <vt:variant>
        <vt:i4>1703961</vt:i4>
      </vt:variant>
      <vt:variant>
        <vt:i4>33</vt:i4>
      </vt:variant>
      <vt:variant>
        <vt:i4>0</vt:i4>
      </vt:variant>
      <vt:variant>
        <vt:i4>5</vt:i4>
      </vt:variant>
      <vt:variant>
        <vt:lpwstr/>
      </vt:variant>
      <vt:variant>
        <vt:lpwstr>ClientNotSetupForSCC</vt:lpwstr>
      </vt:variant>
      <vt:variant>
        <vt:i4>6422655</vt:i4>
      </vt:variant>
      <vt:variant>
        <vt:i4>30</vt:i4>
      </vt:variant>
      <vt:variant>
        <vt:i4>0</vt:i4>
      </vt:variant>
      <vt:variant>
        <vt:i4>5</vt:i4>
      </vt:variant>
      <vt:variant>
        <vt:lpwstr/>
      </vt:variant>
      <vt:variant>
        <vt:lpwstr>ClientSetupNDCorGPI</vt:lpwstr>
      </vt:variant>
      <vt:variant>
        <vt:i4>262192</vt:i4>
      </vt:variant>
      <vt:variant>
        <vt:i4>27</vt:i4>
      </vt:variant>
      <vt:variant>
        <vt:i4>0</vt:i4>
      </vt:variant>
      <vt:variant>
        <vt:i4>5</vt:i4>
      </vt:variant>
      <vt:variant>
        <vt:lpwstr/>
      </vt:variant>
      <vt:variant>
        <vt:lpwstr>_top</vt:lpwstr>
      </vt:variant>
      <vt:variant>
        <vt:i4>1048595</vt:i4>
      </vt:variant>
      <vt:variant>
        <vt:i4>24</vt:i4>
      </vt:variant>
      <vt:variant>
        <vt:i4>0</vt:i4>
      </vt:variant>
      <vt:variant>
        <vt:i4>5</vt:i4>
      </vt:variant>
      <vt:variant>
        <vt:lpwstr>https://thesource.cvshealth.com/nuxeo/thesource/</vt:lpwstr>
      </vt:variant>
      <vt:variant>
        <vt:lpwstr>!/view?docid=fea6203a-ff9d-4030-9a2f-5f009243fbb2</vt:lpwstr>
      </vt:variant>
      <vt:variant>
        <vt:i4>327703</vt:i4>
      </vt:variant>
      <vt:variant>
        <vt:i4>21</vt:i4>
      </vt:variant>
      <vt:variant>
        <vt:i4>0</vt:i4>
      </vt:variant>
      <vt:variant>
        <vt:i4>5</vt:i4>
      </vt:variant>
      <vt:variant>
        <vt:lpwstr/>
      </vt:variant>
      <vt:variant>
        <vt:lpwstr>RejectedClaimReceivedSCCCodeUsed</vt:lpwstr>
      </vt:variant>
      <vt:variant>
        <vt:i4>4980765</vt:i4>
      </vt:variant>
      <vt:variant>
        <vt:i4>18</vt:i4>
      </vt:variant>
      <vt:variant>
        <vt:i4>0</vt:i4>
      </vt:variant>
      <vt:variant>
        <vt:i4>5</vt:i4>
      </vt:variant>
      <vt:variant>
        <vt:lpwstr>https://thesource.cvshealth.com/nuxeo/thesource/</vt:lpwstr>
      </vt:variant>
      <vt:variant>
        <vt:lpwstr>!/view?docid=c603121d-bba5-4ec2-97ab-5b047f1c3ab1</vt:lpwstr>
      </vt:variant>
      <vt:variant>
        <vt:i4>6357067</vt:i4>
      </vt:variant>
      <vt:variant>
        <vt:i4>15</vt:i4>
      </vt:variant>
      <vt:variant>
        <vt:i4>0</vt:i4>
      </vt:variant>
      <vt:variant>
        <vt:i4>5</vt:i4>
      </vt:variant>
      <vt:variant>
        <vt:lpwstr/>
      </vt:variant>
      <vt:variant>
        <vt:lpwstr>_SCC_Overrides_Scenario</vt:lpwstr>
      </vt:variant>
      <vt:variant>
        <vt:i4>6357067</vt:i4>
      </vt:variant>
      <vt:variant>
        <vt:i4>12</vt:i4>
      </vt:variant>
      <vt:variant>
        <vt:i4>0</vt:i4>
      </vt:variant>
      <vt:variant>
        <vt:i4>5</vt:i4>
      </vt:variant>
      <vt:variant>
        <vt:lpwstr/>
      </vt:variant>
      <vt:variant>
        <vt:lpwstr>_SCC_Overrides_Scenario</vt:lpwstr>
      </vt:variant>
      <vt:variant>
        <vt:i4>1703998</vt:i4>
      </vt:variant>
      <vt:variant>
        <vt:i4>8</vt:i4>
      </vt:variant>
      <vt:variant>
        <vt:i4>0</vt:i4>
      </vt:variant>
      <vt:variant>
        <vt:i4>5</vt:i4>
      </vt:variant>
      <vt:variant>
        <vt:lpwstr/>
      </vt:variant>
      <vt:variant>
        <vt:lpwstr>_Toc195695373</vt:lpwstr>
      </vt:variant>
      <vt:variant>
        <vt:i4>1703998</vt:i4>
      </vt:variant>
      <vt:variant>
        <vt:i4>5</vt:i4>
      </vt:variant>
      <vt:variant>
        <vt:i4>0</vt:i4>
      </vt:variant>
      <vt:variant>
        <vt:i4>5</vt:i4>
      </vt:variant>
      <vt:variant>
        <vt:lpwstr/>
      </vt:variant>
      <vt:variant>
        <vt:lpwstr>_Toc195695372</vt:lpwstr>
      </vt:variant>
      <vt:variant>
        <vt:i4>1703998</vt:i4>
      </vt:variant>
      <vt:variant>
        <vt:i4>2</vt:i4>
      </vt:variant>
      <vt:variant>
        <vt:i4>0</vt:i4>
      </vt:variant>
      <vt:variant>
        <vt:i4>5</vt:i4>
      </vt:variant>
      <vt:variant>
        <vt:lpwstr/>
      </vt:variant>
      <vt:variant>
        <vt:lpwstr>_Toc195695371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Hotchkiss, Eric A</dc:creator>
  <cp:keywords/>
  <dc:description/>
  <cp:lastModifiedBy>Dugdale, Brienna</cp:lastModifiedBy>
  <cp:revision>22</cp:revision>
  <dcterms:created xsi:type="dcterms:W3CDTF">2025-06-12T20:41:00Z</dcterms:created>
  <dcterms:modified xsi:type="dcterms:W3CDTF">2025-07-09T21:01:00Z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2023-10-02T20:23:17Z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303f7770-9643-4897-badb-e694c3ea8973</vt:lpwstr>
  </property>
  <property fmtid="{D5CDD505-2E9C-101B-9397-08002B2CF9AE}" pid="8" name="MSIP_Label_1ecdf243-b9b0-4f63-8694-76742e4201b7_ContentBits">
    <vt:lpwstr>0</vt:lpwstr>
  </property>
  <property fmtid="{D5CDD505-2E9C-101B-9397-08002B2CF9AE}" pid="9" name="ContentTypeId">
    <vt:lpwstr>0x010100EB57E074260378499F7E81CCDE102D50</vt:lpwstr>
  </property>
  <property fmtid="{D5CDD505-2E9C-101B-9397-08002B2CF9AE}" pid="10" name="MediaServiceImageTags">
    <vt:lpwstr/>
  </property>
</Properties>
</file>