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60305" w14:textId="6D81B249" w:rsidR="00524CDD" w:rsidRPr="00710FC7" w:rsidRDefault="002C5F61" w:rsidP="00153ED7">
      <w:pPr>
        <w:pStyle w:val="Heading1"/>
        <w:spacing w:before="120" w:after="120"/>
        <w:rPr>
          <w:rFonts w:ascii="Verdana" w:hAnsi="Verdana"/>
          <w:bCs/>
          <w:color w:val="auto"/>
          <w:sz w:val="36"/>
        </w:rPr>
      </w:pPr>
      <w:bookmarkStart w:id="0" w:name="_top"/>
      <w:bookmarkStart w:id="1" w:name="OLE_LINK110"/>
      <w:bookmarkEnd w:id="0"/>
      <w:r>
        <w:rPr>
          <w:rFonts w:ascii="Verdana" w:hAnsi="Verdana"/>
          <w:bCs/>
          <w:color w:val="000000"/>
          <w:sz w:val="36"/>
        </w:rPr>
        <w:t xml:space="preserve">Compass - </w:t>
      </w:r>
      <w:r w:rsidR="0018091C" w:rsidRPr="00073E64">
        <w:rPr>
          <w:rFonts w:ascii="Verdana" w:hAnsi="Verdana"/>
          <w:bCs/>
          <w:color w:val="000000"/>
          <w:sz w:val="36"/>
        </w:rPr>
        <w:t>Member</w:t>
      </w:r>
      <w:r w:rsidR="00D8715D" w:rsidRPr="00073E64">
        <w:rPr>
          <w:rFonts w:ascii="Verdana" w:hAnsi="Verdana"/>
          <w:bCs/>
          <w:color w:val="000000"/>
          <w:sz w:val="36"/>
        </w:rPr>
        <w:t xml:space="preserve"> Counseling</w:t>
      </w:r>
      <w:r w:rsidR="00D8715D" w:rsidRPr="00710FC7">
        <w:rPr>
          <w:rFonts w:ascii="Verdana" w:hAnsi="Verdana"/>
          <w:bCs/>
          <w:color w:val="auto"/>
          <w:sz w:val="36"/>
        </w:rPr>
        <w:t xml:space="preserve"> by Pharmacist (Clinical Inquiry)</w:t>
      </w:r>
    </w:p>
    <w:bookmarkEnd w:id="1"/>
    <w:p w14:paraId="55D205CD" w14:textId="2287BAD1" w:rsidR="005C2272" w:rsidRPr="009851B3" w:rsidRDefault="00C10B92" w:rsidP="00153ED7">
      <w:pPr>
        <w:pStyle w:val="TOC2"/>
        <w:spacing w:before="120" w:after="120"/>
        <w:rPr>
          <w:rFonts w:eastAsiaTheme="minorEastAsia" w:cstheme="minorBidi"/>
          <w:noProof/>
          <w:sz w:val="22"/>
          <w:szCs w:val="22"/>
        </w:rPr>
      </w:pPr>
      <w:r w:rsidRPr="009A0B0C">
        <w:rPr>
          <w:rFonts w:ascii="Times New Roman" w:hAnsi="Times New Roman"/>
        </w:rPr>
        <w:fldChar w:fldCharType="begin"/>
      </w:r>
      <w:r w:rsidRPr="009A0B0C">
        <w:instrText xml:space="preserve"> TOC \o "2-2" \n \p " " \h \z \u </w:instrText>
      </w:r>
      <w:r w:rsidRPr="009A0B0C">
        <w:rPr>
          <w:rFonts w:ascii="Times New Roman" w:hAnsi="Times New Roman"/>
        </w:rPr>
        <w:fldChar w:fldCharType="separate"/>
      </w:r>
      <w:hyperlink w:anchor="_Toc151985142" w:history="1">
        <w:r w:rsidR="005C2272" w:rsidRPr="009851B3">
          <w:rPr>
            <w:rStyle w:val="Hyperlink"/>
            <w:noProof/>
          </w:rPr>
          <w:t>Process</w:t>
        </w:r>
      </w:hyperlink>
    </w:p>
    <w:p w14:paraId="75355C7E" w14:textId="1C22406B" w:rsidR="005C2272" w:rsidRPr="009851B3" w:rsidRDefault="005C2272" w:rsidP="00153ED7">
      <w:pPr>
        <w:pStyle w:val="TOC2"/>
        <w:spacing w:before="120" w:after="120"/>
        <w:rPr>
          <w:rFonts w:eastAsiaTheme="minorEastAsia" w:cstheme="minorBidi"/>
          <w:noProof/>
          <w:sz w:val="22"/>
          <w:szCs w:val="22"/>
        </w:rPr>
      </w:pPr>
      <w:hyperlink w:anchor="_Toc151985143" w:history="1">
        <w:r w:rsidRPr="009851B3">
          <w:rPr>
            <w:rStyle w:val="Hyperlink"/>
            <w:noProof/>
          </w:rPr>
          <w:t>Related Documents</w:t>
        </w:r>
      </w:hyperlink>
    </w:p>
    <w:p w14:paraId="56C899FE" w14:textId="1B2A3181" w:rsidR="009D3273" w:rsidRPr="00B46A95" w:rsidRDefault="00C10B92" w:rsidP="00153ED7">
      <w:pPr>
        <w:spacing w:before="120" w:after="120"/>
      </w:pPr>
      <w:r w:rsidRPr="009A0B0C">
        <w:fldChar w:fldCharType="end"/>
      </w:r>
      <w:r w:rsidR="00EA2414" w:rsidDel="00EA2414">
        <w:t xml:space="preserve"> </w:t>
      </w:r>
    </w:p>
    <w:p w14:paraId="5520CCB5" w14:textId="57F5EE02" w:rsidR="00697C84" w:rsidRDefault="00DC6BD5" w:rsidP="00153ED7">
      <w:pPr>
        <w:spacing w:before="120" w:after="120"/>
      </w:pPr>
      <w:bookmarkStart w:id="2" w:name="_Overview"/>
      <w:bookmarkEnd w:id="2"/>
      <w:r w:rsidRPr="69E002B6">
        <w:rPr>
          <w:b/>
          <w:bCs/>
        </w:rPr>
        <w:t>Description:</w:t>
      </w:r>
      <w:r w:rsidRPr="69E002B6">
        <w:t xml:space="preserve"> </w:t>
      </w:r>
      <w:r w:rsidR="00D8715D" w:rsidRPr="69E002B6">
        <w:t xml:space="preserve">This document </w:t>
      </w:r>
      <w:r w:rsidRPr="69E002B6">
        <w:t>includes procedures on how</w:t>
      </w:r>
      <w:r w:rsidR="00D8715D" w:rsidRPr="69E002B6">
        <w:t xml:space="preserve"> to handle a call </w:t>
      </w:r>
      <w:r w:rsidR="00D8715D" w:rsidRPr="69E002B6">
        <w:rPr>
          <w:color w:val="000000" w:themeColor="text1"/>
        </w:rPr>
        <w:t xml:space="preserve">from a </w:t>
      </w:r>
      <w:r w:rsidR="0018091C" w:rsidRPr="69E002B6">
        <w:rPr>
          <w:color w:val="000000" w:themeColor="text1"/>
        </w:rPr>
        <w:t>member</w:t>
      </w:r>
      <w:r w:rsidR="00D8715D" w:rsidRPr="69E002B6">
        <w:rPr>
          <w:color w:val="000000" w:themeColor="text1"/>
        </w:rPr>
        <w:t xml:space="preserve"> requesting</w:t>
      </w:r>
      <w:r w:rsidR="00D8715D" w:rsidRPr="69E002B6">
        <w:t xml:space="preserve"> to speak to a </w:t>
      </w:r>
      <w:proofErr w:type="gramStart"/>
      <w:r w:rsidR="00D8715D" w:rsidRPr="69E002B6">
        <w:t>Pharmacist</w:t>
      </w:r>
      <w:proofErr w:type="gramEnd"/>
      <w:r w:rsidR="009D3273" w:rsidRPr="69E002B6">
        <w:t xml:space="preserve"> regarding a clinical question</w:t>
      </w:r>
      <w:r w:rsidR="00F03C73" w:rsidRPr="69E002B6">
        <w:t xml:space="preserve"> about their prescription.</w:t>
      </w:r>
      <w:bookmarkStart w:id="3" w:name="_Rationale"/>
      <w:bookmarkStart w:id="4" w:name="_Definitions"/>
      <w:bookmarkStart w:id="5" w:name="_Abbreviations/Definitions"/>
      <w:bookmarkEnd w:id="3"/>
      <w:bookmarkEnd w:id="4"/>
      <w:bookmarkEnd w:id="5"/>
    </w:p>
    <w:p w14:paraId="4D409D31" w14:textId="77777777" w:rsidR="00202B84" w:rsidRDefault="00202B84" w:rsidP="001A0786">
      <w:pPr>
        <w:spacing w:before="120" w:after="12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97B7D" w:rsidRPr="00334E7C" w14:paraId="2B374028" w14:textId="77777777" w:rsidTr="009851B3">
        <w:tc>
          <w:tcPr>
            <w:tcW w:w="5000" w:type="pct"/>
            <w:shd w:val="clear" w:color="auto" w:fill="BFBFBF" w:themeFill="background1" w:themeFillShade="BF"/>
          </w:tcPr>
          <w:p w14:paraId="665A2480" w14:textId="50BFB822" w:rsidR="00A97B7D" w:rsidRPr="00334E7C" w:rsidRDefault="00D8715D" w:rsidP="00153ED7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6" w:name="_Various_Work_Instructions"/>
            <w:bookmarkStart w:id="7" w:name="_Process"/>
            <w:bookmarkStart w:id="8" w:name="_Various_Work_Instructions1"/>
            <w:bookmarkStart w:id="9" w:name="_Various_Work_Instructions_1"/>
            <w:bookmarkStart w:id="10" w:name="_Toc151985142"/>
            <w:bookmarkEnd w:id="6"/>
            <w:bookmarkEnd w:id="7"/>
            <w:bookmarkEnd w:id="8"/>
            <w:bookmarkEnd w:id="9"/>
            <w:r w:rsidRPr="00334E7C">
              <w:rPr>
                <w:rFonts w:ascii="Verdana" w:hAnsi="Verdana"/>
                <w:i w:val="0"/>
                <w:iCs w:val="0"/>
              </w:rPr>
              <w:t>Process</w:t>
            </w:r>
            <w:bookmarkEnd w:id="10"/>
          </w:p>
        </w:tc>
      </w:tr>
    </w:tbl>
    <w:p w14:paraId="3368BFEC" w14:textId="77777777" w:rsidR="00B813D6" w:rsidRPr="00D8715D" w:rsidRDefault="00D8715D" w:rsidP="00153ED7">
      <w:pPr>
        <w:spacing w:before="120" w:after="120"/>
      </w:pPr>
      <w:r w:rsidRPr="00D8715D">
        <w:t xml:space="preserve">Perform the following steps when </w:t>
      </w:r>
      <w:r w:rsidRPr="00073E64">
        <w:rPr>
          <w:color w:val="000000"/>
        </w:rPr>
        <w:t xml:space="preserve">a </w:t>
      </w:r>
      <w:r w:rsidR="0018091C" w:rsidRPr="00073E64">
        <w:rPr>
          <w:color w:val="000000"/>
        </w:rPr>
        <w:t>member</w:t>
      </w:r>
      <w:r w:rsidRPr="00073E64">
        <w:rPr>
          <w:color w:val="000000"/>
        </w:rPr>
        <w:t xml:space="preserve"> requests</w:t>
      </w:r>
      <w:r w:rsidRPr="00D8715D">
        <w:t xml:space="preserve"> to speak to a Pharmacist: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3532"/>
        <w:gridCol w:w="8594"/>
      </w:tblGrid>
      <w:tr w:rsidR="00D471B5" w:rsidRPr="00334E7C" w14:paraId="62FD3F03" w14:textId="77777777" w:rsidTr="009851B3">
        <w:tc>
          <w:tcPr>
            <w:tcW w:w="314" w:type="pct"/>
            <w:shd w:val="clear" w:color="auto" w:fill="D9D9D9" w:themeFill="background1" w:themeFillShade="D9"/>
          </w:tcPr>
          <w:p w14:paraId="54978239" w14:textId="77777777" w:rsidR="00D471B5" w:rsidRPr="00334E7C" w:rsidRDefault="00EB52F0" w:rsidP="001A0786">
            <w:pPr>
              <w:spacing w:before="120" w:after="120"/>
              <w:jc w:val="center"/>
              <w:rPr>
                <w:b/>
              </w:rPr>
            </w:pPr>
            <w:r w:rsidRPr="00334E7C">
              <w:rPr>
                <w:b/>
              </w:rPr>
              <w:t>Step</w:t>
            </w:r>
          </w:p>
        </w:tc>
        <w:tc>
          <w:tcPr>
            <w:tcW w:w="4686" w:type="pct"/>
            <w:gridSpan w:val="2"/>
            <w:shd w:val="clear" w:color="auto" w:fill="D9D9D9" w:themeFill="background1" w:themeFillShade="D9"/>
          </w:tcPr>
          <w:p w14:paraId="536BA09B" w14:textId="77777777" w:rsidR="00D471B5" w:rsidRPr="00334E7C" w:rsidRDefault="00EB52F0" w:rsidP="001A0786">
            <w:pPr>
              <w:spacing w:before="120" w:after="120"/>
              <w:jc w:val="center"/>
              <w:rPr>
                <w:b/>
              </w:rPr>
            </w:pPr>
            <w:r w:rsidRPr="00334E7C">
              <w:rPr>
                <w:b/>
              </w:rPr>
              <w:t>Action</w:t>
            </w:r>
          </w:p>
        </w:tc>
      </w:tr>
      <w:tr w:rsidR="00D8715D" w:rsidRPr="00334E7C" w14:paraId="39E1283A" w14:textId="77777777" w:rsidTr="0076155F">
        <w:tc>
          <w:tcPr>
            <w:tcW w:w="314" w:type="pct"/>
          </w:tcPr>
          <w:p w14:paraId="286734BA" w14:textId="77777777" w:rsidR="00D8715D" w:rsidRPr="00334E7C" w:rsidRDefault="00D8715D" w:rsidP="001A0786">
            <w:pPr>
              <w:spacing w:before="120" w:after="120"/>
              <w:jc w:val="center"/>
              <w:rPr>
                <w:b/>
              </w:rPr>
            </w:pPr>
            <w:r w:rsidRPr="00334E7C">
              <w:rPr>
                <w:b/>
              </w:rPr>
              <w:t>1</w:t>
            </w:r>
          </w:p>
        </w:tc>
        <w:tc>
          <w:tcPr>
            <w:tcW w:w="4686" w:type="pct"/>
            <w:gridSpan w:val="2"/>
          </w:tcPr>
          <w:p w14:paraId="37685DBF" w14:textId="29CE60F7" w:rsidR="00D8715D" w:rsidRPr="00334E7C" w:rsidRDefault="005D7EE5" w:rsidP="001A0786">
            <w:pPr>
              <w:spacing w:before="120" w:after="120" w:line="240" w:lineRule="atLeast"/>
              <w:textAlignment w:val="top"/>
              <w:rPr>
                <w:color w:val="333333"/>
              </w:rPr>
            </w:pPr>
            <w:r>
              <w:rPr>
                <w:color w:val="333333"/>
              </w:rPr>
              <w:t>A</w:t>
            </w:r>
            <w:r w:rsidR="00D8715D" w:rsidRPr="00334E7C">
              <w:rPr>
                <w:color w:val="333333"/>
              </w:rPr>
              <w:t>ccess the</w:t>
            </w:r>
            <w:r w:rsidR="00D8715D" w:rsidRPr="00334E7C">
              <w:rPr>
                <w:color w:val="000000"/>
              </w:rPr>
              <w:t xml:space="preserve"> </w:t>
            </w:r>
            <w:r w:rsidR="0018091C" w:rsidRPr="00334E7C">
              <w:rPr>
                <w:color w:val="000000"/>
              </w:rPr>
              <w:t>Member</w:t>
            </w:r>
            <w:r w:rsidR="00D8715D" w:rsidRPr="00334E7C">
              <w:rPr>
                <w:color w:val="333333"/>
              </w:rPr>
              <w:t xml:space="preserve">/Dependent </w:t>
            </w:r>
            <w:r w:rsidR="002C5F61">
              <w:rPr>
                <w:color w:val="333333"/>
              </w:rPr>
              <w:t>account</w:t>
            </w:r>
            <w:r>
              <w:rPr>
                <w:color w:val="333333"/>
              </w:rPr>
              <w:t xml:space="preserve"> in Compass</w:t>
            </w:r>
            <w:r w:rsidR="00D8715D" w:rsidRPr="00334E7C">
              <w:rPr>
                <w:color w:val="333333"/>
              </w:rPr>
              <w:t>.</w:t>
            </w:r>
          </w:p>
        </w:tc>
      </w:tr>
      <w:tr w:rsidR="00B27659" w:rsidRPr="00334E7C" w14:paraId="48AE205F" w14:textId="77777777" w:rsidTr="0076155F">
        <w:trPr>
          <w:trHeight w:val="69"/>
        </w:trPr>
        <w:tc>
          <w:tcPr>
            <w:tcW w:w="314" w:type="pct"/>
            <w:vMerge w:val="restart"/>
          </w:tcPr>
          <w:p w14:paraId="0DD1099F" w14:textId="77777777" w:rsidR="00B27659" w:rsidRPr="00334E7C" w:rsidRDefault="00B27659" w:rsidP="001A0786">
            <w:pPr>
              <w:spacing w:before="120" w:after="120"/>
              <w:jc w:val="center"/>
              <w:rPr>
                <w:b/>
              </w:rPr>
            </w:pPr>
            <w:r w:rsidRPr="00334E7C">
              <w:rPr>
                <w:b/>
              </w:rPr>
              <w:t>2</w:t>
            </w:r>
          </w:p>
        </w:tc>
        <w:tc>
          <w:tcPr>
            <w:tcW w:w="4686" w:type="pct"/>
            <w:gridSpan w:val="2"/>
            <w:tcBorders>
              <w:bottom w:val="single" w:sz="4" w:space="0" w:color="auto"/>
            </w:tcBorders>
          </w:tcPr>
          <w:p w14:paraId="276AD65B" w14:textId="6D6AA152" w:rsidR="00B27659" w:rsidRPr="00334E7C" w:rsidRDefault="00F03C73" w:rsidP="001A0786">
            <w:pPr>
              <w:spacing w:before="120" w:after="120" w:line="240" w:lineRule="atLeast"/>
              <w:textAlignment w:val="top"/>
              <w:rPr>
                <w:color w:val="333333"/>
              </w:rPr>
            </w:pPr>
            <w:r w:rsidRPr="1C257E1F">
              <w:rPr>
                <w:color w:val="333333"/>
              </w:rPr>
              <w:t xml:space="preserve">Determine if the prescription is retail or </w:t>
            </w:r>
            <w:r w:rsidR="6AD0CC42" w:rsidRPr="1C257E1F">
              <w:rPr>
                <w:color w:val="333333"/>
              </w:rPr>
              <w:t>mail order</w:t>
            </w:r>
            <w:r w:rsidRPr="1C257E1F">
              <w:rPr>
                <w:color w:val="333333"/>
              </w:rPr>
              <w:t>.</w:t>
            </w:r>
          </w:p>
        </w:tc>
      </w:tr>
      <w:tr w:rsidR="00B27659" w:rsidRPr="00334E7C" w14:paraId="459B1DFF" w14:textId="77777777" w:rsidTr="009851B3">
        <w:trPr>
          <w:trHeight w:val="67"/>
        </w:trPr>
        <w:tc>
          <w:tcPr>
            <w:tcW w:w="314" w:type="pct"/>
            <w:vMerge/>
          </w:tcPr>
          <w:p w14:paraId="5B1CC902" w14:textId="77777777" w:rsidR="00B27659" w:rsidRPr="00334E7C" w:rsidRDefault="00B27659" w:rsidP="001A0786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366" w:type="pct"/>
            <w:shd w:val="clear" w:color="auto" w:fill="D9D9D9" w:themeFill="background1" w:themeFillShade="D9"/>
          </w:tcPr>
          <w:p w14:paraId="7A582C29" w14:textId="77777777" w:rsidR="00B27659" w:rsidRPr="00334E7C" w:rsidRDefault="00B27659" w:rsidP="001A0786">
            <w:pPr>
              <w:spacing w:before="120" w:after="120" w:line="240" w:lineRule="atLeast"/>
              <w:jc w:val="center"/>
              <w:textAlignment w:val="top"/>
              <w:rPr>
                <w:b/>
                <w:color w:val="333333"/>
              </w:rPr>
            </w:pPr>
            <w:r w:rsidRPr="00334E7C">
              <w:rPr>
                <w:b/>
                <w:color w:val="333333"/>
              </w:rPr>
              <w:t>If</w:t>
            </w:r>
            <w:r w:rsidR="00F03C73">
              <w:rPr>
                <w:b/>
                <w:color w:val="333333"/>
              </w:rPr>
              <w:t>…</w:t>
            </w:r>
          </w:p>
        </w:tc>
        <w:tc>
          <w:tcPr>
            <w:tcW w:w="3320" w:type="pct"/>
            <w:shd w:val="clear" w:color="auto" w:fill="D9D9D9" w:themeFill="background1" w:themeFillShade="D9"/>
          </w:tcPr>
          <w:p w14:paraId="23A32A51" w14:textId="77777777" w:rsidR="00B27659" w:rsidRPr="00334E7C" w:rsidRDefault="00B27659" w:rsidP="001A0786">
            <w:pPr>
              <w:spacing w:before="120" w:after="120" w:line="240" w:lineRule="atLeast"/>
              <w:jc w:val="center"/>
              <w:textAlignment w:val="top"/>
              <w:rPr>
                <w:b/>
                <w:color w:val="333333"/>
              </w:rPr>
            </w:pPr>
            <w:r w:rsidRPr="00334E7C">
              <w:rPr>
                <w:b/>
                <w:color w:val="333333"/>
              </w:rPr>
              <w:t>Then…</w:t>
            </w:r>
          </w:p>
        </w:tc>
      </w:tr>
      <w:tr w:rsidR="00B27659" w:rsidRPr="00334E7C" w14:paraId="71ADD663" w14:textId="77777777" w:rsidTr="0076155F">
        <w:trPr>
          <w:trHeight w:val="67"/>
        </w:trPr>
        <w:tc>
          <w:tcPr>
            <w:tcW w:w="314" w:type="pct"/>
            <w:vMerge/>
          </w:tcPr>
          <w:p w14:paraId="6ADA9ECB" w14:textId="77777777" w:rsidR="00B27659" w:rsidRPr="00334E7C" w:rsidRDefault="00B27659" w:rsidP="001A0786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366" w:type="pct"/>
          </w:tcPr>
          <w:p w14:paraId="600AC5CF" w14:textId="77777777" w:rsidR="00B27659" w:rsidRPr="00334E7C" w:rsidRDefault="00F03C73" w:rsidP="001A0786">
            <w:pPr>
              <w:spacing w:before="120" w:after="120" w:line="240" w:lineRule="atLeast"/>
              <w:textAlignment w:val="top"/>
              <w:rPr>
                <w:color w:val="333333"/>
              </w:rPr>
            </w:pPr>
            <w:r>
              <w:rPr>
                <w:color w:val="333333"/>
              </w:rPr>
              <w:t>Retail</w:t>
            </w:r>
          </w:p>
        </w:tc>
        <w:tc>
          <w:tcPr>
            <w:tcW w:w="3320" w:type="pct"/>
          </w:tcPr>
          <w:p w14:paraId="5614A940" w14:textId="2EBBAC78" w:rsidR="00EC68D1" w:rsidRPr="00334E7C" w:rsidRDefault="00C32C43" w:rsidP="001A0786">
            <w:pPr>
              <w:spacing w:before="120" w:after="120" w:line="240" w:lineRule="atLeast"/>
              <w:textAlignment w:val="top"/>
              <w:rPr>
                <w:color w:val="333333"/>
              </w:rPr>
            </w:pPr>
            <w:r>
              <w:rPr>
                <w:color w:val="333333"/>
              </w:rPr>
              <w:t xml:space="preserve">Skip </w:t>
            </w:r>
            <w:r w:rsidR="00F03C73">
              <w:rPr>
                <w:color w:val="333333"/>
              </w:rPr>
              <w:t>to step 4.</w:t>
            </w:r>
          </w:p>
        </w:tc>
      </w:tr>
      <w:tr w:rsidR="00B27659" w:rsidRPr="00334E7C" w14:paraId="4757B867" w14:textId="77777777" w:rsidTr="0076155F">
        <w:trPr>
          <w:trHeight w:val="67"/>
        </w:trPr>
        <w:tc>
          <w:tcPr>
            <w:tcW w:w="314" w:type="pct"/>
            <w:vMerge/>
          </w:tcPr>
          <w:p w14:paraId="35068183" w14:textId="77777777" w:rsidR="00B27659" w:rsidRPr="00334E7C" w:rsidRDefault="00B27659" w:rsidP="001A0786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366" w:type="pct"/>
          </w:tcPr>
          <w:p w14:paraId="55A347A5" w14:textId="70D43DCD" w:rsidR="00B27659" w:rsidRPr="00334E7C" w:rsidRDefault="4CC5509B" w:rsidP="00202B84">
            <w:pPr>
              <w:spacing w:before="120" w:after="120"/>
              <w:rPr>
                <w:color w:val="333333"/>
              </w:rPr>
            </w:pPr>
            <w:r w:rsidRPr="1C257E1F">
              <w:rPr>
                <w:color w:val="333333"/>
              </w:rPr>
              <w:t>Mail Order</w:t>
            </w:r>
          </w:p>
        </w:tc>
        <w:tc>
          <w:tcPr>
            <w:tcW w:w="3320" w:type="pct"/>
          </w:tcPr>
          <w:p w14:paraId="4DD389BB" w14:textId="652E5377" w:rsidR="00EC68D1" w:rsidRPr="00334E7C" w:rsidRDefault="00F03C73" w:rsidP="001A0786">
            <w:pPr>
              <w:spacing w:before="120" w:after="120" w:line="240" w:lineRule="atLeast"/>
              <w:textAlignment w:val="top"/>
              <w:rPr>
                <w:color w:val="333333"/>
              </w:rPr>
            </w:pPr>
            <w:r>
              <w:rPr>
                <w:color w:val="333333"/>
              </w:rPr>
              <w:t xml:space="preserve">Proceed to step 3. </w:t>
            </w:r>
          </w:p>
        </w:tc>
      </w:tr>
      <w:tr w:rsidR="00D8715D" w:rsidRPr="00334E7C" w14:paraId="7FB49DE9" w14:textId="77777777" w:rsidTr="0076155F">
        <w:tc>
          <w:tcPr>
            <w:tcW w:w="314" w:type="pct"/>
          </w:tcPr>
          <w:p w14:paraId="0B4A2FB9" w14:textId="117B0F4A" w:rsidR="00D8715D" w:rsidRPr="00334E7C" w:rsidRDefault="00D8715D" w:rsidP="001A0786">
            <w:pPr>
              <w:spacing w:before="120" w:after="120"/>
              <w:jc w:val="center"/>
              <w:rPr>
                <w:b/>
              </w:rPr>
            </w:pPr>
            <w:r w:rsidRPr="00334E7C">
              <w:rPr>
                <w:b/>
              </w:rPr>
              <w:t>3</w:t>
            </w:r>
          </w:p>
        </w:tc>
        <w:tc>
          <w:tcPr>
            <w:tcW w:w="4686" w:type="pct"/>
            <w:gridSpan w:val="2"/>
          </w:tcPr>
          <w:p w14:paraId="7AF80EFA" w14:textId="1953C2E2" w:rsidR="00642F62" w:rsidRPr="00B40865" w:rsidRDefault="00D8715D" w:rsidP="00153ED7">
            <w:pPr>
              <w:spacing w:before="120" w:after="120" w:line="240" w:lineRule="atLeast"/>
              <w:textAlignment w:val="top"/>
              <w:rPr>
                <w:color w:val="333333"/>
              </w:rPr>
            </w:pPr>
            <w:r w:rsidRPr="00B40865">
              <w:rPr>
                <w:color w:val="333333"/>
              </w:rPr>
              <w:t>Determine</w:t>
            </w:r>
            <w:r w:rsidR="00251C96" w:rsidRPr="00B40865">
              <w:rPr>
                <w:color w:val="333333"/>
              </w:rPr>
              <w:t xml:space="preserve"> if</w:t>
            </w:r>
            <w:r w:rsidRPr="00B40865">
              <w:rPr>
                <w:color w:val="333333"/>
              </w:rPr>
              <w:t xml:space="preserve"> </w:t>
            </w:r>
            <w:r w:rsidRPr="00B40865">
              <w:rPr>
                <w:color w:val="000000"/>
              </w:rPr>
              <w:t xml:space="preserve">the </w:t>
            </w:r>
            <w:r w:rsidR="0018091C" w:rsidRPr="00B40865">
              <w:rPr>
                <w:color w:val="000000"/>
              </w:rPr>
              <w:t>member</w:t>
            </w:r>
            <w:r w:rsidRPr="00B40865">
              <w:rPr>
                <w:color w:val="000000"/>
              </w:rPr>
              <w:t xml:space="preserve"> is</w:t>
            </w:r>
            <w:r w:rsidRPr="00B40865">
              <w:rPr>
                <w:color w:val="333333"/>
              </w:rPr>
              <w:t xml:space="preserve"> calling with a </w:t>
            </w:r>
            <w:r w:rsidR="00770D8F" w:rsidRPr="00EE56DD">
              <w:t>clinical</w:t>
            </w:r>
            <w:r w:rsidRPr="00B40865">
              <w:rPr>
                <w:color w:val="333333"/>
              </w:rPr>
              <w:t xml:space="preserve"> question regarding their prescription, such as:</w:t>
            </w:r>
          </w:p>
          <w:p w14:paraId="6414351A" w14:textId="167EFC9A" w:rsidR="00642F62" w:rsidRPr="00B40865" w:rsidRDefault="00642F62" w:rsidP="00153ED7">
            <w:pPr>
              <w:numPr>
                <w:ilvl w:val="0"/>
                <w:numId w:val="2"/>
              </w:numPr>
              <w:spacing w:before="120" w:after="120" w:line="240" w:lineRule="atLeast"/>
              <w:textAlignment w:val="top"/>
              <w:rPr>
                <w:color w:val="333333"/>
              </w:rPr>
            </w:pPr>
            <w:r w:rsidRPr="00B40865">
              <w:rPr>
                <w:color w:val="333333"/>
              </w:rPr>
              <w:t>Drug Counseling</w:t>
            </w:r>
            <w:r w:rsidR="002965B0" w:rsidRPr="00B40865">
              <w:rPr>
                <w:color w:val="333333"/>
              </w:rPr>
              <w:t>/</w:t>
            </w:r>
            <w:r w:rsidR="00590462" w:rsidRPr="00B40865">
              <w:rPr>
                <w:color w:val="333333"/>
              </w:rPr>
              <w:t xml:space="preserve">Consultation/Drug </w:t>
            </w:r>
            <w:r w:rsidR="002965B0" w:rsidRPr="00B40865">
              <w:rPr>
                <w:color w:val="333333"/>
              </w:rPr>
              <w:t xml:space="preserve">use </w:t>
            </w:r>
          </w:p>
          <w:p w14:paraId="2AEA3898" w14:textId="77777777" w:rsidR="00A8626D" w:rsidRPr="00B40865" w:rsidRDefault="00D8715D" w:rsidP="00153ED7">
            <w:pPr>
              <w:numPr>
                <w:ilvl w:val="0"/>
                <w:numId w:val="2"/>
              </w:numPr>
              <w:spacing w:before="120" w:after="120" w:line="240" w:lineRule="atLeast"/>
              <w:textAlignment w:val="top"/>
              <w:rPr>
                <w:color w:val="333333"/>
              </w:rPr>
            </w:pPr>
            <w:r w:rsidRPr="00B40865">
              <w:rPr>
                <w:color w:val="333333"/>
              </w:rPr>
              <w:t>Drug Interaction/Side Effects</w:t>
            </w:r>
          </w:p>
          <w:p w14:paraId="7689E905" w14:textId="77777777" w:rsidR="00A8626D" w:rsidRPr="00B40865" w:rsidRDefault="00D8715D" w:rsidP="00153ED7">
            <w:pPr>
              <w:numPr>
                <w:ilvl w:val="0"/>
                <w:numId w:val="2"/>
              </w:numPr>
              <w:spacing w:before="120" w:after="120" w:line="240" w:lineRule="atLeast"/>
              <w:textAlignment w:val="top"/>
              <w:rPr>
                <w:color w:val="333333"/>
              </w:rPr>
            </w:pPr>
            <w:r w:rsidRPr="00B40865">
              <w:rPr>
                <w:color w:val="333333"/>
              </w:rPr>
              <w:t>Medication's Appearance</w:t>
            </w:r>
          </w:p>
          <w:p w14:paraId="1EB34FA4" w14:textId="77777777" w:rsidR="00D8715D" w:rsidRPr="00EE56DD" w:rsidRDefault="00D8715D" w:rsidP="00153ED7">
            <w:pPr>
              <w:numPr>
                <w:ilvl w:val="0"/>
                <w:numId w:val="2"/>
              </w:numPr>
              <w:spacing w:before="120" w:after="120" w:line="240" w:lineRule="atLeast"/>
              <w:textAlignment w:val="top"/>
              <w:rPr>
                <w:color w:val="333333"/>
              </w:rPr>
            </w:pPr>
            <w:r w:rsidRPr="00B40865">
              <w:rPr>
                <w:color w:val="333333"/>
              </w:rPr>
              <w:t>Temperature Sensitivity</w:t>
            </w:r>
          </w:p>
          <w:p w14:paraId="7119A3FA" w14:textId="40C0C496" w:rsidR="00770D8F" w:rsidRPr="00B75F78" w:rsidRDefault="00770D8F" w:rsidP="00153ED7">
            <w:pPr>
              <w:spacing w:before="120" w:after="120" w:line="240" w:lineRule="atLeast"/>
              <w:textAlignment w:val="top"/>
            </w:pPr>
            <w:r w:rsidRPr="00EE56DD">
              <w:rPr>
                <w:color w:val="333333"/>
              </w:rPr>
              <w:t xml:space="preserve">Refer to </w:t>
            </w:r>
            <w:r w:rsidR="00153ED7" w:rsidRPr="00153ED7">
              <w:rPr>
                <w:rStyle w:val="Hyperlink"/>
                <w:color w:val="auto"/>
                <w:u w:val="none"/>
              </w:rPr>
              <w:t xml:space="preserve">Compass - </w:t>
            </w:r>
            <w:hyperlink r:id="rId11" w:anchor="!/view?docid=d2dab105-056c-45be-b28b-bfad61c60a2f" w:history="1">
              <w:r w:rsidR="00153ED7" w:rsidRPr="00153ED7">
                <w:rPr>
                  <w:rStyle w:val="Hyperlink"/>
                </w:rPr>
                <w:t>When to Transfer Calls to Clinical Care (062778)</w:t>
              </w:r>
            </w:hyperlink>
            <w:r w:rsidR="00C92D63">
              <w:rPr>
                <w:rStyle w:val="Hyperlink"/>
                <w:color w:val="auto"/>
                <w:u w:val="none"/>
              </w:rPr>
              <w:t xml:space="preserve"> </w:t>
            </w:r>
            <w:r w:rsidR="00EE56DD" w:rsidRPr="00EE56DD">
              <w:rPr>
                <w:color w:val="333333"/>
              </w:rPr>
              <w:t>as needed.</w:t>
            </w:r>
            <w:r w:rsidR="001C0C42">
              <w:rPr>
                <w:color w:val="333333"/>
              </w:rPr>
              <w:t xml:space="preserve"> </w:t>
            </w:r>
          </w:p>
        </w:tc>
      </w:tr>
      <w:tr w:rsidR="00D8715D" w:rsidRPr="00334E7C" w14:paraId="45CC5527" w14:textId="77777777" w:rsidTr="0076155F">
        <w:tc>
          <w:tcPr>
            <w:tcW w:w="314" w:type="pct"/>
          </w:tcPr>
          <w:p w14:paraId="4F1AE9A8" w14:textId="77777777" w:rsidR="00D8715D" w:rsidRPr="00334E7C" w:rsidRDefault="00D8715D" w:rsidP="001A0786">
            <w:pPr>
              <w:spacing w:before="120" w:after="120"/>
              <w:jc w:val="center"/>
              <w:rPr>
                <w:b/>
              </w:rPr>
            </w:pPr>
            <w:r w:rsidRPr="00334E7C">
              <w:rPr>
                <w:b/>
              </w:rPr>
              <w:t>4</w:t>
            </w:r>
          </w:p>
        </w:tc>
        <w:tc>
          <w:tcPr>
            <w:tcW w:w="4686" w:type="pct"/>
            <w:gridSpan w:val="2"/>
          </w:tcPr>
          <w:p w14:paraId="5682AF2B" w14:textId="77777777" w:rsidR="00D8715D" w:rsidRPr="00334E7C" w:rsidRDefault="00D8715D" w:rsidP="001A0786">
            <w:pPr>
              <w:spacing w:before="120" w:after="120" w:line="240" w:lineRule="atLeast"/>
              <w:textAlignment w:val="top"/>
              <w:rPr>
                <w:color w:val="333333"/>
              </w:rPr>
            </w:pPr>
            <w:r w:rsidRPr="00334E7C">
              <w:rPr>
                <w:color w:val="333333"/>
              </w:rPr>
              <w:t xml:space="preserve">Verify drug name and </w:t>
            </w:r>
            <w:r w:rsidRPr="00334E7C">
              <w:rPr>
                <w:bCs/>
                <w:color w:val="333333"/>
              </w:rPr>
              <w:t>prescription</w:t>
            </w:r>
            <w:r w:rsidRPr="00334E7C">
              <w:rPr>
                <w:color w:val="333333"/>
              </w:rPr>
              <w:t xml:space="preserve"> number.</w:t>
            </w:r>
          </w:p>
          <w:p w14:paraId="6E86D5FE" w14:textId="2CF8D141" w:rsidR="00D8715D" w:rsidRPr="00A8626D" w:rsidRDefault="00193DD7" w:rsidP="001A0786">
            <w:pPr>
              <w:numPr>
                <w:ilvl w:val="0"/>
                <w:numId w:val="3"/>
              </w:numPr>
              <w:spacing w:before="120" w:after="120" w:line="240" w:lineRule="atLeast"/>
              <w:textAlignment w:val="top"/>
              <w:rPr>
                <w:color w:val="333333"/>
              </w:rPr>
            </w:pPr>
            <w:r w:rsidRPr="00A8626D">
              <w:rPr>
                <w:color w:val="333333"/>
              </w:rPr>
              <w:t>Inquire if there is anything else you can assist with prior to transferring the call.</w:t>
            </w:r>
            <w:r w:rsidR="009D3273" w:rsidRPr="00A8626D">
              <w:rPr>
                <w:color w:val="333333"/>
              </w:rPr>
              <w:t xml:space="preserve"> </w:t>
            </w:r>
            <w:r w:rsidR="00123C2C">
              <w:rPr>
                <w:noProof/>
              </w:rPr>
              <w:t xml:space="preserve"> </w:t>
            </w:r>
          </w:p>
        </w:tc>
      </w:tr>
      <w:tr w:rsidR="009D3273" w:rsidRPr="00334E7C" w14:paraId="50D82F31" w14:textId="77777777" w:rsidTr="0076155F">
        <w:trPr>
          <w:trHeight w:val="5834"/>
        </w:trPr>
        <w:tc>
          <w:tcPr>
            <w:tcW w:w="314" w:type="pct"/>
          </w:tcPr>
          <w:p w14:paraId="4AEB97F4" w14:textId="050F3224" w:rsidR="009D3273" w:rsidRDefault="009D3273" w:rsidP="001A0786">
            <w:pPr>
              <w:spacing w:before="120" w:after="120"/>
              <w:jc w:val="center"/>
              <w:rPr>
                <w:b/>
              </w:rPr>
            </w:pPr>
            <w:r w:rsidRPr="00334E7C">
              <w:rPr>
                <w:b/>
              </w:rPr>
              <w:t>5</w:t>
            </w:r>
          </w:p>
          <w:p w14:paraId="4B313CDD" w14:textId="77777777" w:rsidR="009D3273" w:rsidRPr="00334E7C" w:rsidRDefault="00123C2C" w:rsidP="001A0786">
            <w:pPr>
              <w:spacing w:before="120" w:after="120"/>
              <w:jc w:val="center"/>
              <w:rPr>
                <w:b/>
              </w:rPr>
            </w:pPr>
            <w:r>
              <w:rPr>
                <w:noProof/>
              </w:rPr>
              <w:t xml:space="preserve"> </w:t>
            </w:r>
          </w:p>
          <w:p w14:paraId="3AF8C03B" w14:textId="77777777" w:rsidR="009D3273" w:rsidRPr="00334E7C" w:rsidRDefault="009D3273" w:rsidP="001A0786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4686" w:type="pct"/>
            <w:gridSpan w:val="2"/>
          </w:tcPr>
          <w:p w14:paraId="6B371992" w14:textId="2580A61C" w:rsidR="003C5E56" w:rsidRPr="003C5E56" w:rsidRDefault="009851B3" w:rsidP="00153ED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before="120" w:after="120"/>
              <w:rPr>
                <w:color w:val="333333"/>
              </w:rPr>
            </w:pPr>
            <w:r>
              <w:rPr>
                <w:noProof/>
              </w:rPr>
              <w:drawing>
                <wp:inline distT="0" distB="0" distL="0" distR="0" wp14:anchorId="0DB3BEC2" wp14:editId="489E9DEC">
                  <wp:extent cx="304762" cy="304762"/>
                  <wp:effectExtent l="0" t="0" r="635" b="635"/>
                  <wp:docPr id="8372122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7212213" name="Picture 83721221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006CA6">
              <w:t>Warm Transfer</w:t>
            </w:r>
            <w:r w:rsidR="00694FCA">
              <w:t xml:space="preserve"> </w:t>
            </w:r>
            <w:r w:rsidR="004A451D" w:rsidRPr="003A6802">
              <w:t>to</w:t>
            </w:r>
            <w:r w:rsidR="004A451D" w:rsidRPr="003A6802">
              <w:rPr>
                <w:color w:val="333333"/>
              </w:rPr>
              <w:t xml:space="preserve"> </w:t>
            </w:r>
            <w:hyperlink r:id="rId13" w:history="1">
              <w:r w:rsidR="00B75F78">
                <w:rPr>
                  <w:rStyle w:val="Hyperlink"/>
                </w:rPr>
                <w:t>Clinical Care Services Clinical Counseling (004378)</w:t>
              </w:r>
            </w:hyperlink>
            <w:r w:rsidR="001A0786" w:rsidRPr="003A6802">
              <w:rPr>
                <w:color w:val="333333"/>
              </w:rPr>
              <w:t>.</w:t>
            </w:r>
            <w:r w:rsidR="004A451D" w:rsidRPr="003A6802">
              <w:rPr>
                <w:color w:val="333333"/>
              </w:rPr>
              <w:t xml:space="preserve"> </w:t>
            </w:r>
            <w:r w:rsidR="003C5E56">
              <w:rPr>
                <w:color w:val="333333"/>
              </w:rPr>
              <w:t xml:space="preserve">Refer to </w:t>
            </w:r>
            <w:hyperlink r:id="rId14" w:anchor="!/view?docid=18c64566-0ebb-4760-96fe-04da06185de0" w:history="1">
              <w:r w:rsidR="00153ED7">
                <w:rPr>
                  <w:rStyle w:val="Hyperlink"/>
                </w:rPr>
                <w:t>Compass - Basic Call Handling – Opening the Call, Call Hold, Warm and Cold Transfer (066076)</w:t>
              </w:r>
            </w:hyperlink>
            <w:r w:rsidR="0076155F">
              <w:rPr>
                <w:b/>
                <w:bCs/>
                <w:color w:val="333333"/>
              </w:rPr>
              <w:t>.</w:t>
            </w:r>
          </w:p>
          <w:p w14:paraId="73F35805" w14:textId="537141E2" w:rsidR="004A451D" w:rsidRPr="003A6802" w:rsidRDefault="004A451D" w:rsidP="00153ED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before="120" w:after="120"/>
              <w:rPr>
                <w:color w:val="333333"/>
              </w:rPr>
            </w:pPr>
          </w:p>
          <w:p w14:paraId="5984A7AF" w14:textId="77777777" w:rsidR="004A451D" w:rsidRPr="003A6802" w:rsidRDefault="004A451D" w:rsidP="00153ED7">
            <w:pPr>
              <w:pStyle w:val="BodyTextIndent2"/>
              <w:numPr>
                <w:ilvl w:val="0"/>
                <w:numId w:val="4"/>
              </w:numPr>
              <w:spacing w:before="120" w:line="240" w:lineRule="auto"/>
              <w:ind w:left="436"/>
            </w:pPr>
            <w:r w:rsidRPr="003A6802">
              <w:t>Ensure Clinical Care Services are within their Hours of Operation</w:t>
            </w:r>
            <w:r w:rsidR="00251C96" w:rsidRPr="003A6802">
              <w:t>.</w:t>
            </w:r>
          </w:p>
          <w:p w14:paraId="5121C5C1" w14:textId="10802FEF" w:rsidR="004A451D" w:rsidRPr="003A6802" w:rsidRDefault="004A451D" w:rsidP="00153ED7">
            <w:pPr>
              <w:pStyle w:val="BodyTextIndent2"/>
              <w:numPr>
                <w:ilvl w:val="0"/>
                <w:numId w:val="4"/>
              </w:numPr>
              <w:spacing w:before="120" w:line="240" w:lineRule="auto"/>
              <w:ind w:left="436"/>
            </w:pPr>
            <w:r w:rsidRPr="003A6802">
              <w:t xml:space="preserve">Continue to </w:t>
            </w:r>
            <w:r w:rsidRPr="003A6802">
              <w:rPr>
                <w:bCs/>
              </w:rPr>
              <w:t>warm</w:t>
            </w:r>
            <w:r w:rsidRPr="003A6802">
              <w:t xml:space="preserve"> transfer when the matter is </w:t>
            </w:r>
            <w:r w:rsidRPr="003A6802">
              <w:rPr>
                <w:bCs/>
              </w:rPr>
              <w:t>complicated or escalated</w:t>
            </w:r>
            <w:r w:rsidRPr="003A6802">
              <w:t xml:space="preserve">. </w:t>
            </w:r>
            <w:r w:rsidR="00DC6BD5" w:rsidRPr="003A6802">
              <w:t xml:space="preserve"> </w:t>
            </w:r>
          </w:p>
          <w:p w14:paraId="17AC6D82" w14:textId="20BB8ACA" w:rsidR="004A451D" w:rsidRPr="003A6802" w:rsidRDefault="004A451D" w:rsidP="00153ED7">
            <w:pPr>
              <w:pStyle w:val="BodyTextIndent2"/>
              <w:numPr>
                <w:ilvl w:val="0"/>
                <w:numId w:val="4"/>
              </w:numPr>
              <w:spacing w:before="120" w:line="240" w:lineRule="auto"/>
              <w:ind w:left="436"/>
            </w:pPr>
            <w:r w:rsidRPr="003A6802">
              <w:rPr>
                <w:b/>
              </w:rPr>
              <w:t>Medicare D</w:t>
            </w:r>
            <w:r w:rsidRPr="003A6802">
              <w:t xml:space="preserve"> members should be </w:t>
            </w:r>
            <w:r w:rsidRPr="003A6802">
              <w:rPr>
                <w:bCs/>
              </w:rPr>
              <w:t>warm</w:t>
            </w:r>
            <w:r w:rsidRPr="003A6802">
              <w:t xml:space="preserve"> transferred.</w:t>
            </w:r>
          </w:p>
          <w:p w14:paraId="4CF1D963" w14:textId="77777777" w:rsidR="004A451D" w:rsidRPr="005364FB" w:rsidRDefault="002E2FE6" w:rsidP="00153ED7">
            <w:pPr>
              <w:pStyle w:val="BodyTextIndent2"/>
              <w:numPr>
                <w:ilvl w:val="0"/>
                <w:numId w:val="4"/>
              </w:numPr>
              <w:spacing w:before="120" w:line="240" w:lineRule="auto"/>
              <w:ind w:left="436"/>
            </w:pPr>
            <w:r w:rsidRPr="003A6802">
              <w:t>Review</w:t>
            </w:r>
            <w:r w:rsidR="004A451D" w:rsidRPr="003A6802">
              <w:t xml:space="preserve"> client specific process</w:t>
            </w:r>
            <w:r w:rsidRPr="003A6802">
              <w:t>es</w:t>
            </w:r>
            <w:r w:rsidR="00251C96" w:rsidRPr="003A6802">
              <w:t>, if applicable</w:t>
            </w:r>
            <w:r w:rsidR="00251C96">
              <w:t>.</w:t>
            </w:r>
          </w:p>
          <w:p w14:paraId="752D778A" w14:textId="77777777" w:rsidR="009D3273" w:rsidRPr="00334E7C" w:rsidRDefault="009D3273" w:rsidP="00153ED7">
            <w:pPr>
              <w:spacing w:before="120" w:after="120"/>
              <w:rPr>
                <w:b/>
              </w:rPr>
            </w:pPr>
          </w:p>
          <w:p w14:paraId="6C4FDB65" w14:textId="77777777" w:rsidR="00B813D6" w:rsidRDefault="009D3273" w:rsidP="00153ED7">
            <w:pPr>
              <w:spacing w:before="120" w:after="120"/>
              <w:rPr>
                <w:color w:val="000000"/>
              </w:rPr>
            </w:pPr>
            <w:r w:rsidRPr="00334E7C">
              <w:rPr>
                <w:b/>
              </w:rPr>
              <w:t>Note:</w:t>
            </w:r>
            <w:r w:rsidRPr="00334E7C">
              <w:t xml:space="preserve">  If </w:t>
            </w:r>
            <w:r w:rsidRPr="00334E7C">
              <w:rPr>
                <w:color w:val="000000"/>
              </w:rPr>
              <w:t xml:space="preserve">the member is a </w:t>
            </w:r>
            <w:r w:rsidR="00BD3566">
              <w:rPr>
                <w:color w:val="000000"/>
              </w:rPr>
              <w:t xml:space="preserve">PBM </w:t>
            </w:r>
            <w:r w:rsidRPr="00334E7C">
              <w:rPr>
                <w:color w:val="000000"/>
              </w:rPr>
              <w:t xml:space="preserve">employee, advise them of the following before completing the transfer:  </w:t>
            </w:r>
          </w:p>
          <w:p w14:paraId="4EA0B20B" w14:textId="42FBB484" w:rsidR="009D3273" w:rsidRPr="00334E7C" w:rsidRDefault="00EB6740" w:rsidP="00153ED7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13482ECD" wp14:editId="1423F85D">
                  <wp:extent cx="235585" cy="207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85" cy="20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813D6">
              <w:rPr>
                <w:noProof/>
              </w:rPr>
              <w:t xml:space="preserve"> </w:t>
            </w:r>
            <w:r w:rsidR="009D3273" w:rsidRPr="00334E7C">
              <w:rPr>
                <w:color w:val="000000"/>
              </w:rPr>
              <w:t>Please</w:t>
            </w:r>
            <w:r w:rsidR="009D3273" w:rsidRPr="00334E7C">
              <w:t xml:space="preserve"> be aware that our [pharmacists on call] are </w:t>
            </w:r>
            <w:r w:rsidR="00BD3566">
              <w:t xml:space="preserve">&lt;PBM Name&gt; </w:t>
            </w:r>
            <w:r w:rsidR="009D3273" w:rsidRPr="00334E7C">
              <w:t xml:space="preserve">employees, and if I transfer you to a </w:t>
            </w:r>
            <w:r w:rsidR="00DC6BD5">
              <w:t>&lt;</w:t>
            </w:r>
            <w:r w:rsidR="009D3273" w:rsidRPr="00334E7C">
              <w:t>pharmacist on call</w:t>
            </w:r>
            <w:r w:rsidR="00DC6BD5">
              <w:t>&gt;</w:t>
            </w:r>
            <w:r w:rsidR="009D3273" w:rsidRPr="00334E7C">
              <w:t xml:space="preserve"> as you have requested, that </w:t>
            </w:r>
            <w:r w:rsidR="00BD3566">
              <w:t>&lt;PBM Name&gt;</w:t>
            </w:r>
            <w:r w:rsidR="009D3273" w:rsidRPr="00334E7C">
              <w:t xml:space="preserve"> employee will have access to your personal health information and will know of your medical condition. </w:t>
            </w:r>
            <w:r w:rsidR="00DC6BD5">
              <w:t xml:space="preserve"> </w:t>
            </w:r>
            <w:r w:rsidR="009D3273" w:rsidRPr="00334E7C">
              <w:t xml:space="preserve">I can assure you that the pharmacist on call and other </w:t>
            </w:r>
            <w:r w:rsidR="00BD3566">
              <w:t>&lt;PBM Name&gt;</w:t>
            </w:r>
            <w:r w:rsidR="00BD3566" w:rsidRPr="00334E7C">
              <w:t xml:space="preserve"> </w:t>
            </w:r>
            <w:r w:rsidR="009D3273" w:rsidRPr="00334E7C">
              <w:t xml:space="preserve">employees who provide services to </w:t>
            </w:r>
            <w:r w:rsidR="00BD3566">
              <w:t>&lt;PBM Name&gt;</w:t>
            </w:r>
            <w:r w:rsidR="00BD3566" w:rsidRPr="00334E7C">
              <w:t xml:space="preserve"> </w:t>
            </w:r>
            <w:r w:rsidR="009D3273" w:rsidRPr="00334E7C">
              <w:rPr>
                <w:color w:val="000000"/>
              </w:rPr>
              <w:t>plan members are</w:t>
            </w:r>
            <w:r w:rsidR="009D3273" w:rsidRPr="00334E7C">
              <w:t xml:space="preserve"> required and agree to keep any personal information they learn in the course of providing their services strictly confidential, and so your privacy will be protected. </w:t>
            </w:r>
            <w:r w:rsidR="00DC6BD5">
              <w:t xml:space="preserve"> </w:t>
            </w:r>
            <w:r w:rsidR="009D3273" w:rsidRPr="00334E7C">
              <w:t>Would you like me to transfer you to a pharmacist on call?</w:t>
            </w:r>
          </w:p>
          <w:p w14:paraId="05DB2FAF" w14:textId="77777777" w:rsidR="009D3273" w:rsidRPr="00334E7C" w:rsidRDefault="009D3273" w:rsidP="00153ED7">
            <w:pPr>
              <w:spacing w:before="120" w:after="120"/>
            </w:pPr>
          </w:p>
          <w:p w14:paraId="44C0FE54" w14:textId="3AF96068" w:rsidR="009D3273" w:rsidRPr="001A0786" w:rsidRDefault="009D3273" w:rsidP="00153ED7">
            <w:pPr>
              <w:spacing w:before="120" w:after="120" w:line="240" w:lineRule="atLeast"/>
              <w:textAlignment w:val="top"/>
              <w:rPr>
                <w:iCs/>
              </w:rPr>
            </w:pPr>
            <w:r w:rsidRPr="00334E7C">
              <w:rPr>
                <w:b/>
                <w:bCs/>
                <w:iCs/>
              </w:rPr>
              <w:t>Note</w:t>
            </w:r>
            <w:proofErr w:type="gramStart"/>
            <w:r w:rsidRPr="00334E7C">
              <w:rPr>
                <w:b/>
                <w:bCs/>
                <w:iCs/>
              </w:rPr>
              <w:t>:</w:t>
            </w:r>
            <w:r w:rsidRPr="00334E7C">
              <w:rPr>
                <w:bCs/>
                <w:iCs/>
              </w:rPr>
              <w:t xml:space="preserve">  </w:t>
            </w:r>
            <w:r w:rsidR="00DC6BD5" w:rsidRPr="0023677B">
              <w:rPr>
                <w:iCs/>
              </w:rPr>
              <w:t>Do</w:t>
            </w:r>
            <w:proofErr w:type="gramEnd"/>
            <w:r w:rsidR="00DC6BD5" w:rsidRPr="0023677B">
              <w:rPr>
                <w:iCs/>
              </w:rPr>
              <w:t xml:space="preserve"> Not</w:t>
            </w:r>
            <w:r w:rsidR="00DC6BD5" w:rsidRPr="0023677B">
              <w:rPr>
                <w:iCs/>
                <w:color w:val="FF0000"/>
              </w:rPr>
              <w:t xml:space="preserve"> </w:t>
            </w:r>
            <w:r w:rsidR="00DC6BD5" w:rsidRPr="0023677B">
              <w:rPr>
                <w:iCs/>
              </w:rPr>
              <w:t>Offer a Callback</w:t>
            </w:r>
            <w:r w:rsidR="00DC6BD5">
              <w:rPr>
                <w:iCs/>
              </w:rPr>
              <w:t xml:space="preserve"> if </w:t>
            </w:r>
            <w:r w:rsidRPr="00334E7C">
              <w:rPr>
                <w:bCs/>
                <w:iCs/>
              </w:rPr>
              <w:t xml:space="preserve">the call is a potential Class I, remain on the line to speak to a pharmacist. </w:t>
            </w:r>
          </w:p>
          <w:p w14:paraId="3AE9A75F" w14:textId="77777777" w:rsidR="00B813D6" w:rsidRPr="00334E7C" w:rsidRDefault="00B813D6" w:rsidP="00153ED7">
            <w:pPr>
              <w:spacing w:before="120" w:after="120" w:line="240" w:lineRule="atLeast"/>
              <w:textAlignment w:val="top"/>
              <w:rPr>
                <w:b/>
                <w:bCs/>
                <w:iCs/>
              </w:rPr>
            </w:pPr>
          </w:p>
          <w:p w14:paraId="30C6AC99" w14:textId="427C90CE" w:rsidR="009D3273" w:rsidRPr="00251C96" w:rsidRDefault="009D3273" w:rsidP="00153ED7">
            <w:pPr>
              <w:spacing w:before="120" w:after="120" w:line="240" w:lineRule="atLeast"/>
              <w:textAlignment w:val="top"/>
              <w:rPr>
                <w:color w:val="FF0000"/>
              </w:rPr>
            </w:pPr>
            <w:r w:rsidRPr="00334E7C">
              <w:t>If after hours, refer to</w:t>
            </w:r>
            <w:r w:rsidR="002C5F61" w:rsidRPr="00940EC2">
              <w:t xml:space="preserve"> </w:t>
            </w:r>
            <w:hyperlink r:id="rId16" w:anchor="!/view?docid=73b19224-7602-4182-b37b-5111baceb889" w:history="1">
              <w:bookmarkStart w:id="11" w:name="OLE_LINK7"/>
              <w:r w:rsidR="00153ED7">
                <w:rPr>
                  <w:rStyle w:val="Hyperlink"/>
                </w:rPr>
                <w:t>Compass - Clinical Counseling Pharmacist After Hours Process (057978)</w:t>
              </w:r>
            </w:hyperlink>
            <w:bookmarkEnd w:id="11"/>
            <w:r w:rsidR="00940EC2">
              <w:t>.</w:t>
            </w:r>
          </w:p>
        </w:tc>
      </w:tr>
    </w:tbl>
    <w:p w14:paraId="10973AD4" w14:textId="77777777" w:rsidR="000825E5" w:rsidRDefault="000825E5" w:rsidP="000825E5"/>
    <w:bookmarkStart w:id="12" w:name="_Available_Task_Types"/>
    <w:bookmarkStart w:id="13" w:name="_Various_Work_Instructions_2"/>
    <w:bookmarkStart w:id="14" w:name="_Log_Activity:"/>
    <w:bookmarkEnd w:id="12"/>
    <w:bookmarkEnd w:id="13"/>
    <w:bookmarkEnd w:id="14"/>
    <w:p w14:paraId="314E967A" w14:textId="782F19BA" w:rsidR="00697C84" w:rsidRDefault="00AB4378" w:rsidP="002E2FE6">
      <w:pPr>
        <w:jc w:val="right"/>
      </w:pPr>
      <w:r>
        <w:rPr>
          <w:rFonts w:ascii="Times New Roman" w:hAnsi="Times New Roman"/>
        </w:rPr>
        <w:fldChar w:fldCharType="begin"/>
      </w:r>
      <w:r w:rsidR="00583863">
        <w:instrText>HYPERLINK  \l "_top"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 w:rsidR="002E2FE6" w:rsidRPr="00C10B92">
        <w:rPr>
          <w:rStyle w:val="Hyperlink"/>
        </w:rPr>
        <w:t>Top of the Document</w:t>
      </w:r>
      <w:r>
        <w:rPr>
          <w:rStyle w:val="Hyperlink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2E2FE6" w:rsidRPr="00334E7C" w14:paraId="37CC4E7E" w14:textId="77777777" w:rsidTr="009851B3">
        <w:tc>
          <w:tcPr>
            <w:tcW w:w="5000" w:type="pct"/>
            <w:shd w:val="clear" w:color="auto" w:fill="BFBFBF" w:themeFill="background1" w:themeFillShade="BF"/>
          </w:tcPr>
          <w:p w14:paraId="2EEF924D" w14:textId="0FBC6795" w:rsidR="002E2FE6" w:rsidRPr="00334E7C" w:rsidRDefault="00EA2414" w:rsidP="00153ED7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5" w:name="_Toc151985143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15"/>
          </w:p>
        </w:tc>
      </w:tr>
    </w:tbl>
    <w:p w14:paraId="297AA837" w14:textId="77777777" w:rsidR="00B75F78" w:rsidRDefault="00B75F78" w:rsidP="00153ED7">
      <w:pPr>
        <w:spacing w:before="120" w:after="120" w:line="240" w:lineRule="atLeast"/>
        <w:textAlignment w:val="top"/>
        <w:rPr>
          <w:rStyle w:val="Hyperlink"/>
          <w:color w:val="auto"/>
          <w:u w:val="none"/>
        </w:rPr>
      </w:pPr>
      <w:hyperlink r:id="rId17" w:anchor="!/view?docid=d2dab105-056c-45be-b28b-bfad61c60a2f" w:history="1">
        <w:r w:rsidRPr="00B75F78">
          <w:rPr>
            <w:rStyle w:val="Hyperlink"/>
          </w:rPr>
          <w:t>Compass - When to Transfer Calls to Clinical Care (062778)</w:t>
        </w:r>
      </w:hyperlink>
    </w:p>
    <w:p w14:paraId="345BAD6F" w14:textId="0780C6E1" w:rsidR="0076155F" w:rsidRDefault="00153ED7" w:rsidP="00153ED7">
      <w:pPr>
        <w:spacing w:before="120" w:after="120" w:line="240" w:lineRule="atLeast"/>
        <w:textAlignment w:val="top"/>
        <w:rPr>
          <w:rStyle w:val="Hyperlink"/>
          <w:color w:val="auto"/>
          <w:u w:val="none"/>
        </w:rPr>
      </w:pPr>
      <w:hyperlink r:id="rId18" w:anchor="!/view?docid=18c64566-0ebb-4760-96fe-04da06185de0" w:history="1">
        <w:r>
          <w:rPr>
            <w:rStyle w:val="Hyperlink"/>
          </w:rPr>
          <w:t>Compass - Basic Call Handling – Opening the Call, Call Hold, Warm and Cold Transfer (066076)</w:t>
        </w:r>
      </w:hyperlink>
    </w:p>
    <w:p w14:paraId="078F16DA" w14:textId="0E908AFE" w:rsidR="00DC6BD5" w:rsidRPr="001A0786" w:rsidRDefault="00B75F78" w:rsidP="00153ED7">
      <w:pPr>
        <w:spacing w:before="120" w:after="120" w:line="240" w:lineRule="atLeast"/>
        <w:textAlignment w:val="top"/>
        <w:rPr>
          <w:b/>
        </w:rPr>
      </w:pPr>
      <w:hyperlink r:id="rId19" w:history="1">
        <w:r>
          <w:rPr>
            <w:rStyle w:val="Hyperlink"/>
          </w:rPr>
          <w:t>Customer Care Abbreviations, Definitions, and Terms Index (017428)</w:t>
        </w:r>
      </w:hyperlink>
    </w:p>
    <w:p w14:paraId="33EC0C4B" w14:textId="1DECCA8A" w:rsidR="00697C84" w:rsidRDefault="00697C84" w:rsidP="00153ED7">
      <w:pPr>
        <w:spacing w:before="120" w:after="120" w:line="240" w:lineRule="atLeast"/>
        <w:textAlignment w:val="top"/>
        <w:rPr>
          <w:rStyle w:val="Hyperlink"/>
          <w:bCs/>
        </w:rPr>
      </w:pPr>
    </w:p>
    <w:p w14:paraId="4728DC1F" w14:textId="77777777" w:rsidR="002F6730" w:rsidRPr="001A0786" w:rsidRDefault="002F6730" w:rsidP="00153ED7">
      <w:pPr>
        <w:spacing w:before="120" w:after="120" w:line="240" w:lineRule="atLeast"/>
        <w:textAlignment w:val="top"/>
        <w:rPr>
          <w:bCs/>
        </w:rPr>
      </w:pPr>
    </w:p>
    <w:p w14:paraId="3DC8FD46" w14:textId="05915AD8" w:rsidR="00EA2414" w:rsidRPr="00FF2069" w:rsidRDefault="00EA2414" w:rsidP="00153ED7">
      <w:pPr>
        <w:spacing w:before="120" w:after="120" w:line="240" w:lineRule="atLeast"/>
        <w:textAlignment w:val="top"/>
        <w:rPr>
          <w:b/>
        </w:rPr>
      </w:pPr>
      <w:r w:rsidRPr="001A0786">
        <w:rPr>
          <w:b/>
        </w:rPr>
        <w:t xml:space="preserve">Parent </w:t>
      </w:r>
      <w:r w:rsidR="00DC6BD5" w:rsidRPr="001A0786">
        <w:rPr>
          <w:b/>
        </w:rPr>
        <w:t>Document</w:t>
      </w:r>
      <w:r w:rsidRPr="001A0786">
        <w:rPr>
          <w:b/>
        </w:rPr>
        <w:t>:</w:t>
      </w:r>
      <w:r w:rsidRPr="001A0786">
        <w:t xml:space="preserve"> </w:t>
      </w:r>
      <w:r w:rsidR="002F6730">
        <w:t xml:space="preserve"> </w:t>
      </w:r>
      <w:hyperlink r:id="rId20" w:tgtFrame="_blank" w:history="1">
        <w:r w:rsidR="002E2FE6" w:rsidRPr="001A0786">
          <w:rPr>
            <w:color w:val="0000FF"/>
            <w:u w:val="single"/>
          </w:rPr>
          <w:t>CALL 0049 Customer Care Internal and External Call Handling</w:t>
        </w:r>
      </w:hyperlink>
    </w:p>
    <w:p w14:paraId="62A92B2C" w14:textId="77777777" w:rsidR="002E2FE6" w:rsidRPr="00D8715D" w:rsidRDefault="002E2FE6" w:rsidP="00D8715D">
      <w:pPr>
        <w:spacing w:line="240" w:lineRule="atLeast"/>
        <w:textAlignment w:val="top"/>
      </w:pPr>
    </w:p>
    <w:p w14:paraId="47C77B77" w14:textId="1D8E1465" w:rsidR="00F859B7" w:rsidRPr="00D8715D" w:rsidRDefault="00C10B92" w:rsidP="00C10B92">
      <w:pPr>
        <w:jc w:val="right"/>
      </w:pPr>
      <w:hyperlink w:anchor="_top" w:history="1">
        <w:r w:rsidRPr="00C10B92">
          <w:rPr>
            <w:rStyle w:val="Hyperlink"/>
          </w:rPr>
          <w:t>Top of the Document</w:t>
        </w:r>
      </w:hyperlink>
    </w:p>
    <w:p w14:paraId="4AD86C61" w14:textId="77777777" w:rsidR="00A97B7D" w:rsidRDefault="00A97B7D" w:rsidP="00BB371A">
      <w:pPr>
        <w:jc w:val="right"/>
      </w:pPr>
    </w:p>
    <w:p w14:paraId="6BC2B182" w14:textId="77777777" w:rsidR="00DB7990" w:rsidRPr="00C247CB" w:rsidRDefault="00DB7990" w:rsidP="00DB7990">
      <w:pPr>
        <w:jc w:val="center"/>
        <w:rPr>
          <w:sz w:val="16"/>
          <w:szCs w:val="16"/>
        </w:rPr>
      </w:pPr>
      <w:r w:rsidRPr="00C247CB">
        <w:rPr>
          <w:sz w:val="16"/>
          <w:szCs w:val="16"/>
        </w:rPr>
        <w:t xml:space="preserve">Not </w:t>
      </w:r>
      <w:r w:rsidR="002E2FE6" w:rsidRPr="00C247CB">
        <w:rPr>
          <w:sz w:val="16"/>
          <w:szCs w:val="16"/>
        </w:rPr>
        <w:t>to</w:t>
      </w:r>
      <w:r w:rsidRPr="00C247CB">
        <w:rPr>
          <w:sz w:val="16"/>
          <w:szCs w:val="16"/>
        </w:rPr>
        <w:t xml:space="preserve"> Be Reproduced </w:t>
      </w:r>
      <w:r w:rsidR="002E2FE6" w:rsidRPr="00C247CB">
        <w:rPr>
          <w:sz w:val="16"/>
          <w:szCs w:val="16"/>
        </w:rPr>
        <w:t>or</w:t>
      </w:r>
      <w:r w:rsidRPr="00C247CB">
        <w:rPr>
          <w:sz w:val="16"/>
          <w:szCs w:val="16"/>
        </w:rPr>
        <w:t xml:space="preserve"> Disclosed to Others </w:t>
      </w:r>
      <w:r w:rsidR="002E2FE6" w:rsidRPr="00C247CB">
        <w:rPr>
          <w:sz w:val="16"/>
          <w:szCs w:val="16"/>
        </w:rPr>
        <w:t>without</w:t>
      </w:r>
      <w:r w:rsidRPr="00C247CB">
        <w:rPr>
          <w:sz w:val="16"/>
          <w:szCs w:val="16"/>
        </w:rPr>
        <w:t xml:space="preserve"> Prior Written Approval</w:t>
      </w:r>
    </w:p>
    <w:p w14:paraId="2720B420" w14:textId="2022CCC1" w:rsidR="00DB7990" w:rsidRPr="00C247CB" w:rsidRDefault="00DB7990" w:rsidP="00DB7990">
      <w:pPr>
        <w:jc w:val="center"/>
        <w:rPr>
          <w:b/>
          <w:color w:val="000000"/>
          <w:sz w:val="16"/>
          <w:szCs w:val="16"/>
        </w:rPr>
      </w:pPr>
      <w:r w:rsidRPr="00C247CB">
        <w:rPr>
          <w:b/>
          <w:color w:val="000000"/>
          <w:sz w:val="16"/>
          <w:szCs w:val="16"/>
        </w:rPr>
        <w:t xml:space="preserve">ELECTRONIC DATA = OFFICIAL VERSION </w:t>
      </w:r>
      <w:r w:rsidR="00C32C43">
        <w:rPr>
          <w:b/>
          <w:color w:val="000000"/>
          <w:sz w:val="16"/>
          <w:szCs w:val="16"/>
        </w:rPr>
        <w:t>/</w:t>
      </w:r>
      <w:r w:rsidRPr="00C247CB">
        <w:rPr>
          <w:b/>
          <w:color w:val="000000"/>
          <w:sz w:val="16"/>
          <w:szCs w:val="16"/>
        </w:rPr>
        <w:t xml:space="preserve"> PAPER COPY – INFORMATIONAL ONLY</w:t>
      </w:r>
    </w:p>
    <w:p w14:paraId="2CAAF8AE" w14:textId="77777777" w:rsidR="00FC1C44" w:rsidRPr="00902E07" w:rsidRDefault="00FC1C44" w:rsidP="00DB7990">
      <w:pPr>
        <w:jc w:val="right"/>
        <w:rPr>
          <w:color w:val="000000"/>
          <w:sz w:val="16"/>
          <w:szCs w:val="16"/>
        </w:rPr>
      </w:pPr>
    </w:p>
    <w:sectPr w:rsidR="00FC1C44" w:rsidRPr="00902E07" w:rsidSect="00303F8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FD44CF" w14:textId="77777777" w:rsidR="00041BF5" w:rsidRDefault="00041BF5">
      <w:r>
        <w:separator/>
      </w:r>
    </w:p>
  </w:endnote>
  <w:endnote w:type="continuationSeparator" w:id="0">
    <w:p w14:paraId="71584425" w14:textId="77777777" w:rsidR="00041BF5" w:rsidRDefault="00041BF5">
      <w:r>
        <w:continuationSeparator/>
      </w:r>
    </w:p>
  </w:endnote>
  <w:endnote w:type="continuationNotice" w:id="1">
    <w:p w14:paraId="1298B636" w14:textId="77777777" w:rsidR="00041BF5" w:rsidRDefault="00041B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33D1B2" w14:textId="77777777" w:rsidR="00041BF5" w:rsidRDefault="00041BF5">
      <w:r>
        <w:separator/>
      </w:r>
    </w:p>
  </w:footnote>
  <w:footnote w:type="continuationSeparator" w:id="0">
    <w:p w14:paraId="393BF7F0" w14:textId="77777777" w:rsidR="00041BF5" w:rsidRDefault="00041BF5">
      <w:r>
        <w:continuationSeparator/>
      </w:r>
    </w:p>
  </w:footnote>
  <w:footnote w:type="continuationNotice" w:id="1">
    <w:p w14:paraId="398796FB" w14:textId="77777777" w:rsidR="00041BF5" w:rsidRDefault="00041BF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557D3"/>
    <w:multiLevelType w:val="hybridMultilevel"/>
    <w:tmpl w:val="D1DA24E0"/>
    <w:lvl w:ilvl="0" w:tplc="1CF8C8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D7169"/>
    <w:multiLevelType w:val="hybridMultilevel"/>
    <w:tmpl w:val="DCD2EE46"/>
    <w:lvl w:ilvl="0" w:tplc="8044523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B70622"/>
    <w:multiLevelType w:val="hybridMultilevel"/>
    <w:tmpl w:val="A06A9DA8"/>
    <w:lvl w:ilvl="0" w:tplc="E30240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02657409">
    <w:abstractNumId w:val="1"/>
  </w:num>
  <w:num w:numId="2" w16cid:durableId="357044229">
    <w:abstractNumId w:val="0"/>
  </w:num>
  <w:num w:numId="3" w16cid:durableId="1524594368">
    <w:abstractNumId w:val="3"/>
  </w:num>
  <w:num w:numId="4" w16cid:durableId="16327086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6CA6"/>
    <w:rsid w:val="00015A2E"/>
    <w:rsid w:val="00041BF5"/>
    <w:rsid w:val="00047755"/>
    <w:rsid w:val="000537FC"/>
    <w:rsid w:val="00073E64"/>
    <w:rsid w:val="000825E5"/>
    <w:rsid w:val="0008665F"/>
    <w:rsid w:val="000B3C4C"/>
    <w:rsid w:val="000D6714"/>
    <w:rsid w:val="00105260"/>
    <w:rsid w:val="001228AE"/>
    <w:rsid w:val="00123C2C"/>
    <w:rsid w:val="00124A77"/>
    <w:rsid w:val="0013155E"/>
    <w:rsid w:val="0014501B"/>
    <w:rsid w:val="001525CB"/>
    <w:rsid w:val="00153007"/>
    <w:rsid w:val="00153ED7"/>
    <w:rsid w:val="0016273A"/>
    <w:rsid w:val="001650F7"/>
    <w:rsid w:val="0018091C"/>
    <w:rsid w:val="0019353A"/>
    <w:rsid w:val="00193DD7"/>
    <w:rsid w:val="0019615D"/>
    <w:rsid w:val="001A0786"/>
    <w:rsid w:val="001C0C42"/>
    <w:rsid w:val="001C1931"/>
    <w:rsid w:val="001D734C"/>
    <w:rsid w:val="001E72E9"/>
    <w:rsid w:val="002016B4"/>
    <w:rsid w:val="00202B84"/>
    <w:rsid w:val="002134E2"/>
    <w:rsid w:val="00215763"/>
    <w:rsid w:val="0022710A"/>
    <w:rsid w:val="00251C96"/>
    <w:rsid w:val="00254929"/>
    <w:rsid w:val="0025582F"/>
    <w:rsid w:val="002609A1"/>
    <w:rsid w:val="002965B0"/>
    <w:rsid w:val="002B09B6"/>
    <w:rsid w:val="002B593E"/>
    <w:rsid w:val="002C47A1"/>
    <w:rsid w:val="002C5F61"/>
    <w:rsid w:val="002E2FE6"/>
    <w:rsid w:val="002F4E04"/>
    <w:rsid w:val="002F6730"/>
    <w:rsid w:val="00303F88"/>
    <w:rsid w:val="003317AE"/>
    <w:rsid w:val="0033382E"/>
    <w:rsid w:val="00334E7C"/>
    <w:rsid w:val="003546F8"/>
    <w:rsid w:val="00364583"/>
    <w:rsid w:val="0036616A"/>
    <w:rsid w:val="003A6802"/>
    <w:rsid w:val="003C5E56"/>
    <w:rsid w:val="003C78A8"/>
    <w:rsid w:val="003D7C34"/>
    <w:rsid w:val="003E3D95"/>
    <w:rsid w:val="003F3953"/>
    <w:rsid w:val="00406DB5"/>
    <w:rsid w:val="00425728"/>
    <w:rsid w:val="00426A56"/>
    <w:rsid w:val="0044532E"/>
    <w:rsid w:val="004501C1"/>
    <w:rsid w:val="004502DE"/>
    <w:rsid w:val="00457EAE"/>
    <w:rsid w:val="00485A27"/>
    <w:rsid w:val="00497FC4"/>
    <w:rsid w:val="004A451D"/>
    <w:rsid w:val="004C1FEA"/>
    <w:rsid w:val="004E556D"/>
    <w:rsid w:val="004E726A"/>
    <w:rsid w:val="004E7CB8"/>
    <w:rsid w:val="005041BE"/>
    <w:rsid w:val="00513699"/>
    <w:rsid w:val="00524CDD"/>
    <w:rsid w:val="005544EA"/>
    <w:rsid w:val="0056115B"/>
    <w:rsid w:val="00563A8A"/>
    <w:rsid w:val="00583863"/>
    <w:rsid w:val="00590462"/>
    <w:rsid w:val="005910B5"/>
    <w:rsid w:val="005C00B8"/>
    <w:rsid w:val="005C2272"/>
    <w:rsid w:val="005D5116"/>
    <w:rsid w:val="005D7645"/>
    <w:rsid w:val="005D7EE5"/>
    <w:rsid w:val="005E23B3"/>
    <w:rsid w:val="005F2107"/>
    <w:rsid w:val="00622D77"/>
    <w:rsid w:val="00636B18"/>
    <w:rsid w:val="00637CA1"/>
    <w:rsid w:val="006419FA"/>
    <w:rsid w:val="00642F62"/>
    <w:rsid w:val="006514E7"/>
    <w:rsid w:val="006541CA"/>
    <w:rsid w:val="0068156A"/>
    <w:rsid w:val="00694FCA"/>
    <w:rsid w:val="00697C84"/>
    <w:rsid w:val="006A0481"/>
    <w:rsid w:val="006A2C9E"/>
    <w:rsid w:val="006E4591"/>
    <w:rsid w:val="006F581F"/>
    <w:rsid w:val="00704AF2"/>
    <w:rsid w:val="00705C56"/>
    <w:rsid w:val="00710FC7"/>
    <w:rsid w:val="0073294A"/>
    <w:rsid w:val="00752801"/>
    <w:rsid w:val="0075344E"/>
    <w:rsid w:val="00753D44"/>
    <w:rsid w:val="0076155F"/>
    <w:rsid w:val="00770D8F"/>
    <w:rsid w:val="00786BEB"/>
    <w:rsid w:val="00797157"/>
    <w:rsid w:val="007A2019"/>
    <w:rsid w:val="00806B9D"/>
    <w:rsid w:val="00815CAB"/>
    <w:rsid w:val="00834F95"/>
    <w:rsid w:val="00841EB1"/>
    <w:rsid w:val="00863F0C"/>
    <w:rsid w:val="008739E5"/>
    <w:rsid w:val="008746DB"/>
    <w:rsid w:val="00877414"/>
    <w:rsid w:val="00884C4E"/>
    <w:rsid w:val="008939DD"/>
    <w:rsid w:val="008A24CE"/>
    <w:rsid w:val="008C2197"/>
    <w:rsid w:val="008C3493"/>
    <w:rsid w:val="008D11A6"/>
    <w:rsid w:val="008D2D64"/>
    <w:rsid w:val="008D4428"/>
    <w:rsid w:val="008D46DE"/>
    <w:rsid w:val="008E5D28"/>
    <w:rsid w:val="00902E07"/>
    <w:rsid w:val="00904068"/>
    <w:rsid w:val="00916548"/>
    <w:rsid w:val="00926EDA"/>
    <w:rsid w:val="0093451B"/>
    <w:rsid w:val="009361D7"/>
    <w:rsid w:val="0093679B"/>
    <w:rsid w:val="00936C7B"/>
    <w:rsid w:val="00940EC2"/>
    <w:rsid w:val="00956D4C"/>
    <w:rsid w:val="009851B3"/>
    <w:rsid w:val="009A0B0C"/>
    <w:rsid w:val="009D1EBF"/>
    <w:rsid w:val="009D3273"/>
    <w:rsid w:val="00A141FD"/>
    <w:rsid w:val="00A319EC"/>
    <w:rsid w:val="00A40E31"/>
    <w:rsid w:val="00A7166B"/>
    <w:rsid w:val="00A85045"/>
    <w:rsid w:val="00A8626D"/>
    <w:rsid w:val="00A967E7"/>
    <w:rsid w:val="00A97B7D"/>
    <w:rsid w:val="00AB13D3"/>
    <w:rsid w:val="00AB1658"/>
    <w:rsid w:val="00AB33E1"/>
    <w:rsid w:val="00AB4378"/>
    <w:rsid w:val="00AB4BB3"/>
    <w:rsid w:val="00AC2A58"/>
    <w:rsid w:val="00AD1646"/>
    <w:rsid w:val="00AF5413"/>
    <w:rsid w:val="00B26045"/>
    <w:rsid w:val="00B27659"/>
    <w:rsid w:val="00B40865"/>
    <w:rsid w:val="00B46A95"/>
    <w:rsid w:val="00B548B1"/>
    <w:rsid w:val="00B54C9B"/>
    <w:rsid w:val="00B75F78"/>
    <w:rsid w:val="00B813D6"/>
    <w:rsid w:val="00B9137C"/>
    <w:rsid w:val="00BB371A"/>
    <w:rsid w:val="00BD3566"/>
    <w:rsid w:val="00BF6113"/>
    <w:rsid w:val="00BF74E9"/>
    <w:rsid w:val="00C10B92"/>
    <w:rsid w:val="00C13075"/>
    <w:rsid w:val="00C27F89"/>
    <w:rsid w:val="00C32C43"/>
    <w:rsid w:val="00C566B3"/>
    <w:rsid w:val="00C657C8"/>
    <w:rsid w:val="00C67B32"/>
    <w:rsid w:val="00C92D63"/>
    <w:rsid w:val="00CA481F"/>
    <w:rsid w:val="00CB0C1D"/>
    <w:rsid w:val="00CC4D44"/>
    <w:rsid w:val="00CD491A"/>
    <w:rsid w:val="00CF5974"/>
    <w:rsid w:val="00D04268"/>
    <w:rsid w:val="00D226FE"/>
    <w:rsid w:val="00D26830"/>
    <w:rsid w:val="00D36733"/>
    <w:rsid w:val="00D471B5"/>
    <w:rsid w:val="00D47928"/>
    <w:rsid w:val="00D571DB"/>
    <w:rsid w:val="00D662FC"/>
    <w:rsid w:val="00D70B3A"/>
    <w:rsid w:val="00D85254"/>
    <w:rsid w:val="00D8715D"/>
    <w:rsid w:val="00D978DB"/>
    <w:rsid w:val="00DB7990"/>
    <w:rsid w:val="00DC6BD5"/>
    <w:rsid w:val="00E01FE9"/>
    <w:rsid w:val="00E46575"/>
    <w:rsid w:val="00E536D5"/>
    <w:rsid w:val="00E57482"/>
    <w:rsid w:val="00E92D5D"/>
    <w:rsid w:val="00EA2414"/>
    <w:rsid w:val="00EB52F0"/>
    <w:rsid w:val="00EB57EB"/>
    <w:rsid w:val="00EB6740"/>
    <w:rsid w:val="00EC68D1"/>
    <w:rsid w:val="00EE56DD"/>
    <w:rsid w:val="00EF4E0F"/>
    <w:rsid w:val="00F03C73"/>
    <w:rsid w:val="00F13BA5"/>
    <w:rsid w:val="00F16056"/>
    <w:rsid w:val="00F51150"/>
    <w:rsid w:val="00F67BD0"/>
    <w:rsid w:val="00F859B7"/>
    <w:rsid w:val="00F86918"/>
    <w:rsid w:val="00FA48BA"/>
    <w:rsid w:val="00FB16DC"/>
    <w:rsid w:val="00FB2B03"/>
    <w:rsid w:val="00FC1C44"/>
    <w:rsid w:val="00FC49D1"/>
    <w:rsid w:val="00FE2A76"/>
    <w:rsid w:val="00FF2069"/>
    <w:rsid w:val="1C257E1F"/>
    <w:rsid w:val="4CC5509B"/>
    <w:rsid w:val="69E002B6"/>
    <w:rsid w:val="6AD0C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849F1C"/>
  <w15:chartTrackingRefBased/>
  <w15:docId w15:val="{DF756985-F4B2-4726-87C2-3EF12962E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51B3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26EDA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5C2272"/>
    <w:pPr>
      <w:tabs>
        <w:tab w:val="right" w:leader="dot" w:pos="12950"/>
      </w:tabs>
    </w:pPr>
  </w:style>
  <w:style w:type="paragraph" w:styleId="BodyTextIndent2">
    <w:name w:val="Body Text Indent 2"/>
    <w:basedOn w:val="Normal"/>
    <w:link w:val="BodyTextIndent2Char"/>
    <w:rsid w:val="004A451D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4A451D"/>
    <w:rPr>
      <w:sz w:val="24"/>
      <w:szCs w:val="24"/>
    </w:rPr>
  </w:style>
  <w:style w:type="character" w:styleId="UnresolvedMention">
    <w:name w:val="Unresolved Mention"/>
    <w:uiPriority w:val="99"/>
    <w:semiHidden/>
    <w:unhideWhenUsed/>
    <w:rsid w:val="00DC6BD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D7EE5"/>
    <w:rPr>
      <w:sz w:val="24"/>
      <w:szCs w:val="24"/>
    </w:rPr>
  </w:style>
  <w:style w:type="character" w:styleId="CommentReference">
    <w:name w:val="annotation reference"/>
    <w:basedOn w:val="DefaultParagraphFont"/>
    <w:rsid w:val="002C5F61"/>
    <w:rPr>
      <w:sz w:val="16"/>
      <w:szCs w:val="16"/>
    </w:rPr>
  </w:style>
  <w:style w:type="paragraph" w:styleId="CommentText">
    <w:name w:val="annotation text"/>
    <w:basedOn w:val="Normal"/>
    <w:link w:val="CommentTextChar"/>
    <w:rsid w:val="002C5F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C5F61"/>
  </w:style>
  <w:style w:type="paragraph" w:styleId="CommentSubject">
    <w:name w:val="annotation subject"/>
    <w:basedOn w:val="CommentText"/>
    <w:next w:val="CommentText"/>
    <w:link w:val="CommentSubjectChar"/>
    <w:rsid w:val="002C5F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C5F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etnao365.sharepoint.com/sites/PolarisPHDDocumentationReview/Shared%20Documents/Customer%20Care%20Documentation%20-%20Formatting/Formatting%20Needed/CMS-2-004378" TargetMode="External"/><Relationship Id="rId18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policy.corp.cvscaremark.com/pnp/faces/DocRenderer?documentId=CALL-0049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hyperlink" Target="https://aetnao365.sharepoint.com/sites/PolarisPHDDocumentationReview/Shared%20Documents/Customer%20Care%20Documentation%20-%20Formatting/Formatting%20Needed/CMS-2-017428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serStoryNumber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USStory_x0023_ xmlns="65624d1d-cfd8-476a-9af4-03c08f6d829e" xsi:nil="true"/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  <CompassVersion_ xmlns="65624d1d-cfd8-476a-9af4-03c08f6d829e">
      <Url xsi:nil="true"/>
      <Description xsi:nil="true"/>
    </CompassVersion_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5" ma:contentTypeDescription="Create a new document." ma:contentTypeScope="" ma:versionID="c5fdc8568ac99c14affb663dbd395f92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40d70b4bb4b2a0343d5d55eb404f881f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F73B0E-75C1-4B6E-8EE4-B68C64049F7E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2.xml><?xml version="1.0" encoding="utf-8"?>
<ds:datastoreItem xmlns:ds="http://schemas.openxmlformats.org/officeDocument/2006/customXml" ds:itemID="{145908DA-81F0-4454-9553-6BC6EC8F6A7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AC65BD5-543E-461E-A77D-27CDBA957D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16CD9B6-AB16-4F91-B07D-3888434484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2</TotalTime>
  <Pages>1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dc:description/>
  <cp:lastModifiedBy>Salas, Daniela M</cp:lastModifiedBy>
  <cp:revision>7</cp:revision>
  <dcterms:created xsi:type="dcterms:W3CDTF">2025-07-31T21:06:00Z</dcterms:created>
  <dcterms:modified xsi:type="dcterms:W3CDTF">2025-07-31T21:15:00Z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2021-10-21T13:53:18Z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6cd7514b-9af2-4364-a1fb-73acc4acbfbd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MediaServiceImageTags">
    <vt:lpwstr/>
  </property>
</Properties>
</file>