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1E7EA" w14:textId="76FDFB0C" w:rsidR="00B62344" w:rsidRDefault="00B62344" w:rsidP="00BD3386">
      <w:pPr>
        <w:pStyle w:val="Heading1"/>
        <w:spacing w:before="120" w:after="120"/>
      </w:pPr>
      <w:bookmarkStart w:id="0" w:name="_top"/>
      <w:bookmarkEnd w:id="0"/>
      <w:r w:rsidRPr="002365AC">
        <w:t>Compass - Prior Authorization</w:t>
      </w:r>
      <w:r w:rsidR="004A7378">
        <w:t xml:space="preserve"> (PA)</w:t>
      </w:r>
      <w:r w:rsidRPr="002365AC">
        <w:t xml:space="preserve">, Exceptions, Appeals Guide </w:t>
      </w:r>
    </w:p>
    <w:p w14:paraId="37175133" w14:textId="77777777" w:rsidR="00BD3386" w:rsidRPr="00BD3386" w:rsidRDefault="00BD3386" w:rsidP="00BD3386"/>
    <w:p w14:paraId="5AFAD1B9" w14:textId="77777777" w:rsidR="00B62344" w:rsidRPr="002365AC" w:rsidRDefault="00B62344" w:rsidP="00BD3386">
      <w:pPr>
        <w:pStyle w:val="TOC2"/>
        <w:spacing w:before="120" w:after="120"/>
        <w:rPr>
          <w:rFonts w:eastAsiaTheme="minorEastAsia"/>
          <w:noProof/>
          <w:kern w:val="2"/>
          <w:szCs w:val="24"/>
          <w14:ligatures w14:val="standardContextual"/>
        </w:rPr>
      </w:pPr>
      <w:r w:rsidRPr="002365AC">
        <w:rPr>
          <w:rFonts w:eastAsia="Times New Roman" w:cs="Times New Roman"/>
          <w:color w:val="000000"/>
          <w:szCs w:val="24"/>
        </w:rPr>
        <w:fldChar w:fldCharType="begin"/>
      </w:r>
      <w:r w:rsidRPr="002365AC">
        <w:rPr>
          <w:rFonts w:eastAsia="Times New Roman" w:cs="Times New Roman"/>
          <w:color w:val="000000"/>
          <w:szCs w:val="24"/>
        </w:rPr>
        <w:instrText xml:space="preserve"> TOC \o "2-2" \n \p " " \h \z \u </w:instrText>
      </w:r>
      <w:r w:rsidRPr="002365AC">
        <w:rPr>
          <w:rFonts w:eastAsia="Times New Roman" w:cs="Times New Roman"/>
          <w:color w:val="000000"/>
          <w:szCs w:val="24"/>
        </w:rPr>
        <w:fldChar w:fldCharType="separate"/>
      </w:r>
      <w:hyperlink w:anchor="_Toc193466220" w:history="1">
        <w:r w:rsidRPr="002365AC">
          <w:rPr>
            <w:rStyle w:val="Hyperlink"/>
            <w:noProof/>
          </w:rPr>
          <w:t>What is a Prior Authorization (PA), Exception, or Appeal?</w:t>
        </w:r>
      </w:hyperlink>
    </w:p>
    <w:p w14:paraId="634C9E9D" w14:textId="77777777" w:rsidR="00B62344" w:rsidRPr="002365AC" w:rsidRDefault="00B62344" w:rsidP="00BD3386">
      <w:pPr>
        <w:pStyle w:val="TOC2"/>
        <w:spacing w:before="120" w:after="120"/>
        <w:rPr>
          <w:rFonts w:eastAsiaTheme="minorEastAsia"/>
          <w:noProof/>
          <w:kern w:val="2"/>
          <w:szCs w:val="24"/>
          <w14:ligatures w14:val="standardContextual"/>
        </w:rPr>
      </w:pPr>
      <w:hyperlink w:anchor="_Toc193466221" w:history="1">
        <w:r w:rsidRPr="002365AC">
          <w:rPr>
            <w:rStyle w:val="Hyperlink"/>
            <w:noProof/>
          </w:rPr>
          <w:t>Determine if a Prior Authorization or Clinical Exception is Needed</w:t>
        </w:r>
      </w:hyperlink>
    </w:p>
    <w:p w14:paraId="0D6DE945" w14:textId="77777777" w:rsidR="00B62344" w:rsidRPr="002365AC" w:rsidRDefault="00B62344" w:rsidP="00BD3386">
      <w:pPr>
        <w:pStyle w:val="TOC2"/>
        <w:spacing w:before="120" w:after="120"/>
        <w:rPr>
          <w:rFonts w:eastAsiaTheme="minorEastAsia"/>
          <w:noProof/>
          <w:kern w:val="2"/>
          <w:szCs w:val="24"/>
          <w14:ligatures w14:val="standardContextual"/>
        </w:rPr>
      </w:pPr>
      <w:hyperlink w:anchor="_Toc193466222" w:history="1">
        <w:r w:rsidRPr="002365AC">
          <w:rPr>
            <w:rStyle w:val="Hyperlink"/>
            <w:noProof/>
          </w:rPr>
          <w:t>PA, Exception, or Appeals Index</w:t>
        </w:r>
      </w:hyperlink>
    </w:p>
    <w:p w14:paraId="4C9AB5B0" w14:textId="77777777" w:rsidR="00B62344" w:rsidRPr="002365AC" w:rsidRDefault="00B62344" w:rsidP="00BD3386">
      <w:pPr>
        <w:pStyle w:val="TOC2"/>
        <w:spacing w:before="120" w:after="120"/>
        <w:rPr>
          <w:rFonts w:eastAsiaTheme="minorEastAsia"/>
          <w:noProof/>
          <w:kern w:val="2"/>
          <w:szCs w:val="24"/>
          <w14:ligatures w14:val="standardContextual"/>
        </w:rPr>
      </w:pPr>
      <w:hyperlink w:anchor="_Toc193466223" w:history="1">
        <w:r w:rsidRPr="002365AC">
          <w:rPr>
            <w:rStyle w:val="Hyperlink"/>
            <w:noProof/>
          </w:rPr>
          <w:t>Turnaround Times</w:t>
        </w:r>
      </w:hyperlink>
    </w:p>
    <w:p w14:paraId="6638EE90" w14:textId="77777777" w:rsidR="00B62344" w:rsidRPr="002365AC" w:rsidRDefault="00B62344" w:rsidP="00BD3386">
      <w:pPr>
        <w:pStyle w:val="TOC2"/>
        <w:spacing w:before="120" w:after="120"/>
        <w:rPr>
          <w:rFonts w:eastAsiaTheme="minorEastAsia"/>
          <w:noProof/>
          <w:kern w:val="2"/>
          <w:szCs w:val="24"/>
          <w14:ligatures w14:val="standardContextual"/>
        </w:rPr>
      </w:pPr>
      <w:hyperlink w:anchor="_Toc193466224" w:history="1">
        <w:r w:rsidRPr="002365AC">
          <w:rPr>
            <w:rStyle w:val="Hyperlink"/>
            <w:noProof/>
          </w:rPr>
          <w:t>Related Documents</w:t>
        </w:r>
      </w:hyperlink>
    </w:p>
    <w:p w14:paraId="3124EB0C" w14:textId="77777777" w:rsidR="00B62344" w:rsidRPr="002365AC" w:rsidRDefault="00B62344" w:rsidP="00BD3386">
      <w:pPr>
        <w:spacing w:before="120" w:after="120" w:line="240" w:lineRule="auto"/>
        <w:rPr>
          <w:rFonts w:eastAsia="Times New Roman" w:cs="Times New Roman"/>
          <w:color w:val="000000"/>
          <w:szCs w:val="24"/>
        </w:rPr>
      </w:pPr>
      <w:r w:rsidRPr="002365AC">
        <w:rPr>
          <w:rFonts w:eastAsia="Times New Roman" w:cs="Times New Roman"/>
          <w:color w:val="000000"/>
          <w:szCs w:val="24"/>
        </w:rPr>
        <w:fldChar w:fldCharType="end"/>
      </w:r>
    </w:p>
    <w:p w14:paraId="7059F1F0" w14:textId="7D0446D7" w:rsidR="00B62344" w:rsidRDefault="00B62344" w:rsidP="00BD3386">
      <w:pPr>
        <w:spacing w:before="120" w:after="120" w:line="240" w:lineRule="auto"/>
        <w:rPr>
          <w:rFonts w:eastAsia="Times New Roman" w:cs="Times New Roman"/>
          <w:color w:val="000000"/>
          <w:szCs w:val="24"/>
        </w:rPr>
      </w:pPr>
      <w:r w:rsidRPr="002365AC">
        <w:rPr>
          <w:rFonts w:eastAsia="Times New Roman" w:cs="Times New Roman"/>
          <w:b/>
          <w:bCs/>
          <w:color w:val="000000"/>
          <w:szCs w:val="24"/>
        </w:rPr>
        <w:t xml:space="preserve">Description: </w:t>
      </w:r>
      <w:r w:rsidRPr="002365AC">
        <w:rPr>
          <w:rFonts w:eastAsia="Times New Roman" w:cs="Times New Roman"/>
          <w:color w:val="000000"/>
          <w:szCs w:val="24"/>
        </w:rPr>
        <w:t xml:space="preserve">Process steps to ensure agents are determining if a Prior Authorization or Clinical Exception is appropriate, and an index of links to specific Prior Authorization, Clinical Exception, and non-Clinical Exception specific process documents. </w:t>
      </w:r>
    </w:p>
    <w:p w14:paraId="3E970E09" w14:textId="77777777" w:rsidR="00BD3386" w:rsidRPr="002365AC" w:rsidRDefault="00BD3386" w:rsidP="00BD3386">
      <w:pPr>
        <w:spacing w:before="120" w:after="120" w:line="240" w:lineRule="auto"/>
        <w:rPr>
          <w:rFonts w:eastAsia="Times New Roman" w:cs="Times New Roman"/>
          <w:color w:val="000000"/>
          <w:szCs w:val="24"/>
        </w:rPr>
      </w:pPr>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2224"/>
      </w:tblGrid>
      <w:tr w:rsidR="00B62344" w:rsidRPr="002365AC" w14:paraId="2DB5FB18" w14:textId="77777777">
        <w:trPr>
          <w:trHeight w:val="20"/>
        </w:trPr>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45A38870" w14:textId="35300BD6" w:rsidR="00B62344" w:rsidRPr="002365AC" w:rsidRDefault="00B62344" w:rsidP="00BB74F5">
            <w:pPr>
              <w:pStyle w:val="Heading2"/>
              <w:tabs>
                <w:tab w:val="left" w:pos="9520"/>
              </w:tabs>
              <w:spacing w:before="120" w:after="120"/>
            </w:pPr>
            <w:bookmarkStart w:id="1" w:name="_Toc142304440"/>
            <w:bookmarkStart w:id="2" w:name="_Toc155780265"/>
            <w:bookmarkStart w:id="3" w:name="_Toc193466220"/>
            <w:r w:rsidRPr="002365AC">
              <w:t>What is a Prior Authorization (PA), Exception, or Appeal?</w:t>
            </w:r>
            <w:bookmarkEnd w:id="1"/>
            <w:bookmarkEnd w:id="2"/>
            <w:bookmarkEnd w:id="3"/>
          </w:p>
        </w:tc>
      </w:tr>
    </w:tbl>
    <w:p w14:paraId="396E895B" w14:textId="77777777" w:rsidR="00B62344" w:rsidRPr="002365AC" w:rsidRDefault="00B62344" w:rsidP="00B62344">
      <w:pPr>
        <w:spacing w:before="120" w:after="120" w:line="240" w:lineRule="auto"/>
        <w:rPr>
          <w:rFonts w:eastAsia="Times New Roman" w:cs="Times New Roman"/>
          <w:color w:val="000000"/>
          <w:sz w:val="27"/>
          <w:szCs w:val="27"/>
        </w:rPr>
      </w:pPr>
      <w:r w:rsidRPr="002365AC">
        <w:rPr>
          <w:rFonts w:eastAsia="Times New Roman" w:cs="Times New Roman"/>
          <w:color w:val="000000"/>
          <w:szCs w:val="24"/>
        </w:rPr>
        <w:t>At CVS Caremark®, making sure members have access to affordable medications is our priority. To help keep costs low, plans cover a specific list of medications to treat most conditions. However, there may be times that require a new prescription or additional actions to be taken before certain medications are covered.</w:t>
      </w:r>
    </w:p>
    <w:p w14:paraId="60984664" w14:textId="77777777" w:rsidR="00B62344" w:rsidRPr="002365AC" w:rsidRDefault="00B62344" w:rsidP="00B62344">
      <w:pPr>
        <w:spacing w:before="120" w:after="120" w:line="240" w:lineRule="auto"/>
        <w:rPr>
          <w:rFonts w:eastAsia="Times New Roman" w:cs="Times New Roman"/>
          <w:color w:val="000000"/>
          <w:sz w:val="27"/>
          <w:szCs w:val="27"/>
        </w:rPr>
      </w:pPr>
      <w:r w:rsidRPr="002365AC">
        <w:rPr>
          <w:rFonts w:eastAsia="Times New Roman" w:cs="Times New Roman"/>
          <w:color w:val="000000"/>
          <w:szCs w:val="24"/>
        </w:rPr>
        <w:t> </w:t>
      </w:r>
    </w:p>
    <w:p w14:paraId="4CD15E77" w14:textId="77777777" w:rsidR="00B62344" w:rsidRPr="002365AC" w:rsidRDefault="00B62344" w:rsidP="00B62344">
      <w:pPr>
        <w:keepNext/>
        <w:keepLines/>
        <w:spacing w:before="120" w:after="120"/>
        <w:outlineLvl w:val="2"/>
        <w:rPr>
          <w:rFonts w:eastAsiaTheme="majorEastAsia" w:cstheme="majorBidi"/>
          <w:b/>
          <w:color w:val="000000"/>
          <w:sz w:val="27"/>
          <w:szCs w:val="27"/>
        </w:rPr>
      </w:pPr>
      <w:r w:rsidRPr="002365AC">
        <w:rPr>
          <w:rFonts w:eastAsiaTheme="majorEastAsia" w:cstheme="majorBidi"/>
          <w:b/>
          <w:szCs w:val="24"/>
        </w:rPr>
        <w:t xml:space="preserve">What is </w:t>
      </w:r>
      <w:proofErr w:type="gramStart"/>
      <w:r w:rsidRPr="002365AC">
        <w:rPr>
          <w:rFonts w:eastAsiaTheme="majorEastAsia" w:cstheme="majorBidi"/>
          <w:b/>
          <w:szCs w:val="24"/>
        </w:rPr>
        <w:t>a Prior</w:t>
      </w:r>
      <w:proofErr w:type="gramEnd"/>
      <w:r w:rsidRPr="002365AC">
        <w:rPr>
          <w:rFonts w:eastAsiaTheme="majorEastAsia" w:cstheme="majorBidi"/>
          <w:b/>
          <w:szCs w:val="24"/>
        </w:rPr>
        <w:t xml:space="preserve"> Authorization? </w:t>
      </w:r>
    </w:p>
    <w:p w14:paraId="12406FE0" w14:textId="39BA1FF9" w:rsidR="000C1852" w:rsidRDefault="00AC1BCD" w:rsidP="00B62344">
      <w:pPr>
        <w:spacing w:before="120" w:after="120" w:line="240" w:lineRule="auto"/>
        <w:rPr>
          <w:szCs w:val="24"/>
        </w:rPr>
      </w:pPr>
      <w:r>
        <w:pict w14:anchorId="13703B82">
          <v:shape id="Picture 6" o:spid="_x0000_i1027" type="#_x0000_t75" style="width:18.75pt;height:16.5pt;visibility:visible">
            <v:imagedata r:id="rId5" o:title=""/>
          </v:shape>
        </w:pict>
      </w:r>
      <w:r w:rsidR="00B62344" w:rsidRPr="002365AC">
        <w:t xml:space="preserve"> </w:t>
      </w:r>
      <w:r w:rsidR="00B62344" w:rsidRPr="002365AC">
        <w:rPr>
          <w:szCs w:val="24"/>
        </w:rPr>
        <w:t xml:space="preserve">A prior authorization is a beneficial process where your doctor seeks approval from your prescription benefit manager (PBM) before prescribing certain medications. This helps ensure that </w:t>
      </w:r>
      <w:r w:rsidR="00B62344" w:rsidRPr="002365AC">
        <w:rPr>
          <w:szCs w:val="24"/>
        </w:rPr>
        <w:lastRenderedPageBreak/>
        <w:t xml:space="preserve">you receive the most effective and appropriate treatment, tailored to your specific needs. This is typically required for medications that may have alternatives or could be prone to misuse. It may also help </w:t>
      </w:r>
      <w:proofErr w:type="gramStart"/>
      <w:r w:rsidR="00B62344" w:rsidRPr="002365AC">
        <w:rPr>
          <w:szCs w:val="24"/>
        </w:rPr>
        <w:t>keep</w:t>
      </w:r>
      <w:proofErr w:type="gramEnd"/>
      <w:r w:rsidR="00B62344" w:rsidRPr="002365AC">
        <w:rPr>
          <w:szCs w:val="24"/>
        </w:rPr>
        <w:t xml:space="preserve"> costs down, so you </w:t>
      </w:r>
      <w:r w:rsidR="004A7378">
        <w:rPr>
          <w:szCs w:val="24"/>
        </w:rPr>
        <w:t>do not</w:t>
      </w:r>
      <w:r w:rsidR="004A7378" w:rsidRPr="002365AC">
        <w:rPr>
          <w:szCs w:val="24"/>
        </w:rPr>
        <w:t xml:space="preserve"> </w:t>
      </w:r>
      <w:r w:rsidR="00B62344" w:rsidRPr="002365AC">
        <w:rPr>
          <w:szCs w:val="24"/>
        </w:rPr>
        <w:t xml:space="preserve">overpay. </w:t>
      </w:r>
    </w:p>
    <w:p w14:paraId="1721E9E7" w14:textId="52A66A7E" w:rsidR="00B62344" w:rsidRPr="002365AC" w:rsidRDefault="00B62344" w:rsidP="00B62344">
      <w:pPr>
        <w:spacing w:before="120" w:after="120" w:line="240" w:lineRule="auto"/>
        <w:rPr>
          <w:szCs w:val="24"/>
        </w:rPr>
      </w:pPr>
      <w:r w:rsidRPr="002365AC">
        <w:rPr>
          <w:rFonts w:eastAsia="Times New Roman" w:cs="Times New Roman"/>
          <w:color w:val="000000"/>
          <w:szCs w:val="24"/>
        </w:rPr>
        <w:t xml:space="preserve">Requirements vary by plan. See </w:t>
      </w:r>
      <w:hyperlink r:id="rId6" w:anchor="!/view?docid=fb502149-98f6-43eb-935c-8d467702a50c" w:history="1">
        <w:r w:rsidR="00A555FE">
          <w:rPr>
            <w:rFonts w:eastAsia="Times New Roman" w:cs="Times New Roman"/>
            <w:color w:val="0000FF"/>
            <w:szCs w:val="24"/>
            <w:u w:val="single"/>
          </w:rPr>
          <w:t>Prior Authorization and Clinical Exceptions Scenarios (063995)</w:t>
        </w:r>
      </w:hyperlink>
      <w:r w:rsidRPr="002365AC">
        <w:rPr>
          <w:rFonts w:eastAsia="Times New Roman" w:cs="Times New Roman"/>
          <w:color w:val="000000"/>
          <w:szCs w:val="24"/>
        </w:rPr>
        <w:t xml:space="preserve"> for examples.</w:t>
      </w:r>
    </w:p>
    <w:p w14:paraId="0B170143" w14:textId="77777777" w:rsidR="00B62344" w:rsidRPr="002365AC" w:rsidRDefault="00B62344" w:rsidP="00B62344">
      <w:pPr>
        <w:spacing w:before="120" w:after="120" w:line="240" w:lineRule="auto"/>
      </w:pPr>
    </w:p>
    <w:p w14:paraId="0C981F9D" w14:textId="77777777" w:rsidR="00B62344" w:rsidRPr="002365AC" w:rsidRDefault="00B62344" w:rsidP="00B62344">
      <w:pPr>
        <w:spacing w:before="120" w:after="120" w:line="240" w:lineRule="auto"/>
      </w:pPr>
    </w:p>
    <w:p w14:paraId="43018D52" w14:textId="77777777" w:rsidR="00B62344" w:rsidRPr="002365AC" w:rsidRDefault="00B62344" w:rsidP="00BD3386">
      <w:pPr>
        <w:keepNext/>
        <w:keepLines/>
        <w:spacing w:before="120" w:after="120"/>
        <w:outlineLvl w:val="2"/>
        <w:rPr>
          <w:rFonts w:eastAsiaTheme="majorEastAsia" w:cstheme="majorBidi"/>
          <w:b/>
          <w:szCs w:val="24"/>
        </w:rPr>
      </w:pPr>
      <w:r w:rsidRPr="002365AC">
        <w:rPr>
          <w:rFonts w:eastAsiaTheme="majorEastAsia" w:cstheme="majorBidi"/>
          <w:b/>
          <w:szCs w:val="24"/>
        </w:rPr>
        <w:t>What is a Clinical Exception?</w:t>
      </w:r>
    </w:p>
    <w:p w14:paraId="2D9760FA" w14:textId="074BD381" w:rsidR="00B62344" w:rsidRPr="002365AC" w:rsidRDefault="00B62344" w:rsidP="00BD3386">
      <w:pPr>
        <w:spacing w:before="120" w:after="120" w:line="240" w:lineRule="auto"/>
        <w:rPr>
          <w:rFonts w:eastAsia="Times New Roman" w:cs="Times New Roman"/>
          <w:color w:val="000000"/>
          <w:szCs w:val="24"/>
        </w:rPr>
      </w:pPr>
      <w:r w:rsidRPr="002365AC">
        <w:rPr>
          <w:noProof/>
        </w:rPr>
        <w:drawing>
          <wp:inline distT="0" distB="0" distL="0" distR="0" wp14:anchorId="45283D37" wp14:editId="33C147B7">
            <wp:extent cx="238158" cy="20957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2365AC">
        <w:t xml:space="preserve"> </w:t>
      </w:r>
      <w:r w:rsidRPr="002365AC">
        <w:rPr>
          <w:szCs w:val="24"/>
        </w:rPr>
        <w:t xml:space="preserve">An exception is a special case where the PBM may make an allowance outside the usual guidelines, often based on medical necessity. </w:t>
      </w:r>
      <w:r w:rsidRPr="002365AC">
        <w:rPr>
          <w:szCs w:val="24"/>
        </w:rPr>
        <w:br/>
      </w:r>
      <w:r w:rsidRPr="002365AC">
        <w:rPr>
          <w:rFonts w:eastAsia="Times New Roman" w:cs="Times New Roman"/>
          <w:color w:val="000000"/>
          <w:szCs w:val="24"/>
        </w:rPr>
        <w:t xml:space="preserve">Requirements vary by plan. See </w:t>
      </w:r>
      <w:hyperlink r:id="rId8" w:anchor="!/view?docid=fb502149-98f6-43eb-935c-8d467702a50c" w:history="1">
        <w:r w:rsidR="00A555FE">
          <w:rPr>
            <w:rFonts w:eastAsia="Times New Roman" w:cs="Times New Roman"/>
            <w:color w:val="0000FF"/>
            <w:szCs w:val="24"/>
            <w:u w:val="single"/>
          </w:rPr>
          <w:t>Prior Authorization and Clinical Exceptions Scenarios (063995)</w:t>
        </w:r>
      </w:hyperlink>
      <w:r w:rsidRPr="002365AC">
        <w:rPr>
          <w:rFonts w:eastAsia="Times New Roman" w:cs="Times New Roman"/>
          <w:color w:val="000000"/>
          <w:szCs w:val="24"/>
        </w:rPr>
        <w:t xml:space="preserve"> for examples.</w:t>
      </w:r>
    </w:p>
    <w:p w14:paraId="237016A9" w14:textId="4C05C91C" w:rsidR="00B62344" w:rsidRPr="002365AC" w:rsidRDefault="00B62344" w:rsidP="00BD3386">
      <w:pPr>
        <w:spacing w:before="120" w:after="120" w:line="240" w:lineRule="auto"/>
        <w:rPr>
          <w:rFonts w:eastAsia="Times New Roman" w:cs="Times New Roman"/>
          <w:szCs w:val="24"/>
        </w:rPr>
      </w:pPr>
      <w:r w:rsidRPr="002365AC">
        <w:rPr>
          <w:rFonts w:eastAsia="Times New Roman" w:cs="Times New Roman"/>
          <w:noProof/>
          <w:color w:val="000000"/>
          <w:szCs w:val="24"/>
        </w:rPr>
        <w:drawing>
          <wp:inline distT="0" distB="0" distL="0" distR="0" wp14:anchorId="18E8FE11" wp14:editId="3D6789B3">
            <wp:extent cx="238095" cy="20952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2365AC">
        <w:rPr>
          <w:rFonts w:eastAsia="Times New Roman" w:cs="Times New Roman"/>
          <w:color w:val="000000"/>
          <w:szCs w:val="24"/>
        </w:rPr>
        <w:t xml:space="preserve"> For </w:t>
      </w:r>
      <w:r w:rsidRPr="002365AC">
        <w:rPr>
          <w:rFonts w:eastAsia="Times New Roman" w:cs="Times New Roman"/>
          <w:szCs w:val="24"/>
        </w:rPr>
        <w:t xml:space="preserve">Specialty Drugs that require a PA or Clinical Exception, refer to </w:t>
      </w:r>
      <w:hyperlink r:id="rId10" w:anchor="!/view?docid=845064bd-8ae0-4d30-af0a-e21d6d81933c" w:tgtFrame="_blank" w:tooltip="https://thesource.cvshealth.com/nuxeo/thesource/#!/view?docid=2eb2f621-bbbb-4e0e-9189-6b47d44f42b3" w:history="1">
        <w:r w:rsidR="004A7378">
          <w:rPr>
            <w:rFonts w:eastAsia="Times New Roman" w:cs="Times New Roman"/>
            <w:color w:val="0000FF"/>
            <w:szCs w:val="24"/>
            <w:u w:val="single"/>
          </w:rPr>
          <w:t>Compass - Specialty Pharmacy (CTS - Caremark Therapeutic Pharmacy Services) Call Handling (058175)</w:t>
        </w:r>
      </w:hyperlink>
      <w:r w:rsidR="004A7378" w:rsidRPr="00EA7A4F">
        <w:rPr>
          <w:rFonts w:ascii="Times New Roman" w:eastAsia="Times New Roman" w:hAnsi="Times New Roman" w:cs="Times New Roman"/>
          <w:b/>
          <w:bCs/>
          <w:szCs w:val="24"/>
        </w:rPr>
        <w:t>.</w:t>
      </w:r>
    </w:p>
    <w:p w14:paraId="1E2221F2" w14:textId="77777777" w:rsidR="00B62344" w:rsidRPr="002365AC" w:rsidRDefault="00B62344" w:rsidP="00BD3386">
      <w:pPr>
        <w:spacing w:before="120" w:after="120" w:line="240" w:lineRule="auto"/>
        <w:rPr>
          <w:rFonts w:eastAsia="Times New Roman" w:cs="Times New Roman"/>
          <w:szCs w:val="24"/>
        </w:rPr>
      </w:pPr>
      <w:r w:rsidRPr="002365AC">
        <w:rPr>
          <w:rFonts w:eastAsia="Times New Roman" w:cs="Times New Roman"/>
          <w:szCs w:val="24"/>
        </w:rPr>
        <w:t> </w:t>
      </w:r>
    </w:p>
    <w:p w14:paraId="1E7CFE82" w14:textId="77777777" w:rsidR="00B62344" w:rsidRPr="002365AC" w:rsidRDefault="00B62344" w:rsidP="00BD3386">
      <w:pPr>
        <w:spacing w:before="120" w:after="120" w:line="240" w:lineRule="auto"/>
        <w:rPr>
          <w:rFonts w:eastAsia="Times New Roman" w:cs="Times New Roman"/>
          <w:szCs w:val="24"/>
        </w:rPr>
      </w:pPr>
    </w:p>
    <w:p w14:paraId="3C3C808B" w14:textId="77777777" w:rsidR="00B62344" w:rsidRPr="002365AC" w:rsidRDefault="00B62344" w:rsidP="00BD3386">
      <w:pPr>
        <w:keepNext/>
        <w:keepLines/>
        <w:spacing w:before="120" w:after="120"/>
        <w:outlineLvl w:val="2"/>
        <w:rPr>
          <w:rFonts w:eastAsiaTheme="majorEastAsia" w:cstheme="majorBidi"/>
          <w:b/>
          <w:szCs w:val="24"/>
        </w:rPr>
      </w:pPr>
      <w:r w:rsidRPr="002365AC">
        <w:rPr>
          <w:rFonts w:eastAsiaTheme="majorEastAsia" w:cstheme="majorBidi"/>
          <w:b/>
          <w:szCs w:val="24"/>
        </w:rPr>
        <w:t>What is a Non-Clinical Exception?</w:t>
      </w:r>
    </w:p>
    <w:p w14:paraId="781C1AA0" w14:textId="0AAC65C7" w:rsidR="00B62344" w:rsidRPr="002365AC" w:rsidRDefault="00B62344" w:rsidP="00BD3386">
      <w:pPr>
        <w:spacing w:before="120" w:after="120" w:line="240" w:lineRule="auto"/>
        <w:rPr>
          <w:rFonts w:eastAsia="Times New Roman" w:cs="Times New Roman"/>
          <w:color w:val="000000"/>
          <w:szCs w:val="24"/>
        </w:rPr>
      </w:pPr>
      <w:r w:rsidRPr="002365AC">
        <w:rPr>
          <w:rFonts w:eastAsia="Times New Roman" w:cs="Times New Roman"/>
          <w:color w:val="000000"/>
          <w:szCs w:val="24"/>
        </w:rPr>
        <w:t xml:space="preserve">Exceptions that are </w:t>
      </w:r>
      <w:proofErr w:type="gramStart"/>
      <w:r w:rsidRPr="002365AC">
        <w:rPr>
          <w:rFonts w:eastAsia="Times New Roman" w:cs="Times New Roman"/>
          <w:color w:val="000000"/>
          <w:szCs w:val="24"/>
        </w:rPr>
        <w:t>copay</w:t>
      </w:r>
      <w:proofErr w:type="gramEnd"/>
      <w:r w:rsidRPr="002365AC">
        <w:rPr>
          <w:rFonts w:eastAsia="Times New Roman" w:cs="Times New Roman"/>
          <w:color w:val="000000"/>
          <w:szCs w:val="24"/>
        </w:rPr>
        <w:t xml:space="preserve"> related, or are currently paying on the plan, but the member is requesting an exception to the way they are processed/covered. </w:t>
      </w:r>
      <w:r w:rsidRPr="002365AC">
        <w:rPr>
          <w:rFonts w:eastAsia="Times New Roman" w:cs="Times New Roman"/>
          <w:color w:val="000000"/>
          <w:szCs w:val="24"/>
        </w:rPr>
        <w:br/>
        <w:t xml:space="preserve">See </w:t>
      </w:r>
      <w:hyperlink r:id="rId11" w:anchor="!/view?docid=fb502149-98f6-43eb-935c-8d467702a50c" w:history="1">
        <w:r w:rsidR="00A555FE">
          <w:rPr>
            <w:rFonts w:eastAsia="Times New Roman" w:cs="Times New Roman"/>
            <w:color w:val="0000FF"/>
            <w:szCs w:val="24"/>
            <w:u w:val="single"/>
          </w:rPr>
          <w:t>Prior Authorization and Clinical Exceptions Scenarios (063995)</w:t>
        </w:r>
      </w:hyperlink>
      <w:r w:rsidRPr="002365AC">
        <w:rPr>
          <w:rFonts w:eastAsia="Times New Roman" w:cs="Times New Roman"/>
          <w:color w:val="000000"/>
          <w:szCs w:val="24"/>
        </w:rPr>
        <w:t xml:space="preserve"> for examples and actions to take for Non-Clinical Exceptions.</w:t>
      </w:r>
    </w:p>
    <w:p w14:paraId="69366CED" w14:textId="1501052D" w:rsidR="00B62344" w:rsidRPr="002365AC" w:rsidRDefault="00B62344" w:rsidP="00BD3386">
      <w:pPr>
        <w:spacing w:before="120" w:after="120" w:line="240" w:lineRule="auto"/>
        <w:rPr>
          <w:rFonts w:eastAsia="Times New Roman" w:cs="Times New Roman"/>
          <w:color w:val="000000"/>
          <w:szCs w:val="24"/>
        </w:rPr>
      </w:pPr>
      <w:r w:rsidRPr="002365AC">
        <w:rPr>
          <w:rFonts w:eastAsia="Times New Roman" w:cs="Times New Roman"/>
          <w:color w:val="000000"/>
          <w:szCs w:val="24"/>
        </w:rPr>
        <w:br/>
      </w:r>
      <w:r w:rsidRPr="002365AC">
        <w:rPr>
          <w:rFonts w:eastAsia="Times New Roman" w:cs="Times New Roman"/>
          <w:color w:val="000000"/>
          <w:szCs w:val="24"/>
        </w:rPr>
        <w:br/>
      </w:r>
      <w:r w:rsidRPr="002365AC">
        <w:rPr>
          <w:rFonts w:eastAsia="Times New Roman" w:cs="Times New Roman"/>
          <w:b/>
          <w:bCs/>
          <w:color w:val="000000"/>
          <w:szCs w:val="24"/>
        </w:rPr>
        <w:t>Who can provide clinical criteria required for the PA/Clinical Exception?</w:t>
      </w:r>
    </w:p>
    <w:p w14:paraId="67FDA33A" w14:textId="77777777" w:rsidR="00B62344" w:rsidRPr="002365AC" w:rsidRDefault="00B62344" w:rsidP="00BD3386">
      <w:pPr>
        <w:spacing w:before="120" w:after="120"/>
        <w:rPr>
          <w:rFonts w:eastAsia="Times New Roman" w:cs="Times New Roman"/>
          <w:color w:val="000000"/>
          <w:szCs w:val="24"/>
        </w:rPr>
      </w:pPr>
      <w:r w:rsidRPr="002365AC">
        <w:rPr>
          <w:noProof/>
        </w:rPr>
        <w:lastRenderedPageBreak/>
        <w:drawing>
          <wp:inline distT="0" distB="0" distL="0" distR="0" wp14:anchorId="185B3AD0" wp14:editId="7EEC0AF6">
            <wp:extent cx="238158" cy="209579"/>
            <wp:effectExtent l="0" t="0" r="9525" b="0"/>
            <wp:docPr id="1736604348" name="Picture 1736604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2365AC">
        <w:t xml:space="preserve"> Clinical criteria must be submitted by the member's physician or a representative from the physician's office. Members are not allowed to self-attest to any information required on the criteria form.</w:t>
      </w:r>
    </w:p>
    <w:p w14:paraId="086BCDD4" w14:textId="77777777" w:rsidR="00B62344" w:rsidRPr="002365AC" w:rsidRDefault="00B62344" w:rsidP="00B62344">
      <w:pPr>
        <w:spacing w:before="120" w:after="120" w:line="240" w:lineRule="auto"/>
        <w:rPr>
          <w:rFonts w:eastAsia="Times New Roman" w:cs="Times New Roman"/>
          <w:color w:val="000000"/>
          <w:szCs w:val="24"/>
        </w:rPr>
      </w:pPr>
    </w:p>
    <w:p w14:paraId="2AC3E4C1" w14:textId="77777777" w:rsidR="00B62344" w:rsidRPr="002365AC" w:rsidRDefault="00B62344" w:rsidP="00B62344">
      <w:pPr>
        <w:keepNext/>
        <w:keepLines/>
        <w:spacing w:before="120" w:after="120"/>
        <w:outlineLvl w:val="2"/>
        <w:rPr>
          <w:rFonts w:eastAsiaTheme="majorEastAsia" w:cstheme="majorBidi"/>
          <w:b/>
          <w:szCs w:val="24"/>
        </w:rPr>
      </w:pPr>
      <w:r w:rsidRPr="002365AC">
        <w:rPr>
          <w:rFonts w:eastAsiaTheme="majorEastAsia" w:cstheme="majorBidi"/>
          <w:b/>
          <w:szCs w:val="24"/>
        </w:rPr>
        <w:t>What is an Appeal?</w:t>
      </w:r>
    </w:p>
    <w:p w14:paraId="382B966E" w14:textId="1019C5CE" w:rsidR="00B62344" w:rsidRPr="002365AC" w:rsidRDefault="00B62344" w:rsidP="00B62344">
      <w:pPr>
        <w:spacing w:before="120" w:after="120" w:line="240" w:lineRule="auto"/>
        <w:rPr>
          <w:szCs w:val="24"/>
        </w:rPr>
      </w:pPr>
      <w:r w:rsidRPr="002365AC">
        <w:rPr>
          <w:noProof/>
        </w:rPr>
        <w:drawing>
          <wp:inline distT="0" distB="0" distL="0" distR="0" wp14:anchorId="406D718F" wp14:editId="41AA4DE5">
            <wp:extent cx="238158" cy="20957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2365AC">
        <w:t xml:space="preserve"> </w:t>
      </w:r>
      <w:r w:rsidRPr="002365AC">
        <w:rPr>
          <w:szCs w:val="24"/>
        </w:rPr>
        <w:t xml:space="preserve">Appeals come into play if your initial request for </w:t>
      </w:r>
      <w:proofErr w:type="gramStart"/>
      <w:r w:rsidRPr="002365AC">
        <w:rPr>
          <w:szCs w:val="24"/>
        </w:rPr>
        <w:t>a medication</w:t>
      </w:r>
      <w:proofErr w:type="gramEnd"/>
      <w:r w:rsidRPr="002365AC">
        <w:rPr>
          <w:szCs w:val="24"/>
        </w:rPr>
        <w:t xml:space="preserve"> is denied. If your doctor believes </w:t>
      </w:r>
      <w:r w:rsidR="004A7378">
        <w:rPr>
          <w:szCs w:val="24"/>
        </w:rPr>
        <w:t>it is</w:t>
      </w:r>
      <w:r w:rsidR="004A7378" w:rsidRPr="002365AC">
        <w:rPr>
          <w:szCs w:val="24"/>
        </w:rPr>
        <w:t xml:space="preserve"> </w:t>
      </w:r>
      <w:r w:rsidRPr="002365AC">
        <w:rPr>
          <w:szCs w:val="24"/>
        </w:rPr>
        <w:t>necessary, they can submit an appeal to the PBM, explaining why you need that specific medication.</w:t>
      </w:r>
    </w:p>
    <w:p w14:paraId="7B36DD63" w14:textId="77777777" w:rsidR="00B62344" w:rsidRPr="002365AC" w:rsidRDefault="00B62344" w:rsidP="00B62344">
      <w:pPr>
        <w:spacing w:before="120" w:after="120"/>
        <w:rPr>
          <w:color w:val="0000FF"/>
          <w:szCs w:val="24"/>
          <w:u w:val="single"/>
        </w:rPr>
      </w:pPr>
      <w:r w:rsidRPr="002365AC">
        <w:rPr>
          <w:rFonts w:eastAsia="Times New Roman" w:cs="Times New Roman"/>
          <w:noProof/>
          <w:color w:val="000000"/>
          <w:szCs w:val="24"/>
        </w:rPr>
        <w:drawing>
          <wp:inline distT="0" distB="0" distL="0" distR="0" wp14:anchorId="3D7B26F4" wp14:editId="38923389">
            <wp:extent cx="238095" cy="20952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2365AC">
        <w:t xml:space="preserve">  </w:t>
      </w:r>
      <w:r w:rsidRPr="002365AC">
        <w:rPr>
          <w:rFonts w:eastAsia="Times New Roman" w:cs="Times New Roman"/>
          <w:color w:val="000000"/>
          <w:szCs w:val="24"/>
        </w:rPr>
        <w:t>If there is not a PA or a Clinical or Non-Clinical Exception denial, do not proceed with an Appeal, instead assist with the member with the PA process. An electronic Prior Authorization request (ePA) is appropriate for PA or Clinical Exception, and a task for Non-Clinical Exceptions. </w:t>
      </w:r>
      <w:bookmarkStart w:id="4" w:name="OLE_LINK46"/>
      <w:r w:rsidRPr="002365AC">
        <w:rPr>
          <w:rFonts w:eastAsia="Times New Roman" w:cs="Times New Roman"/>
          <w:color w:val="000000"/>
          <w:szCs w:val="24"/>
        </w:rPr>
        <w:t>The requestor will not be able to request an Appeal prior to PA or Exception being completed and denied.</w:t>
      </w:r>
      <w:bookmarkEnd w:id="4"/>
      <w:r w:rsidRPr="002365AC">
        <w:rPr>
          <w:rFonts w:eastAsia="Times New Roman" w:cs="Times New Roman"/>
          <w:color w:val="000000"/>
          <w:szCs w:val="24"/>
        </w:rPr>
        <w:t xml:space="preserve"> </w:t>
      </w:r>
      <w:r w:rsidRPr="002365AC">
        <w:rPr>
          <w:rFonts w:eastAsia="Times New Roman" w:cs="Times New Roman"/>
          <w:color w:val="000000"/>
          <w:szCs w:val="24"/>
        </w:rPr>
        <w:br/>
      </w:r>
      <w:r w:rsidRPr="002365AC">
        <w:rPr>
          <w:szCs w:val="24"/>
        </w:rPr>
        <w:t xml:space="preserve">Refer to </w:t>
      </w:r>
      <w:hyperlink r:id="rId12" w:anchor="!/view?docid=2afb93f5-6068-48b7-af0f-e04000f90426" w:history="1">
        <w:r w:rsidRPr="002365AC">
          <w:rPr>
            <w:rFonts w:eastAsia="Times New Roman" w:cs="Times New Roman"/>
            <w:color w:val="0000FF"/>
            <w:szCs w:val="24"/>
            <w:u w:val="single"/>
          </w:rPr>
          <w:t>Compass - Appeals (057981)</w:t>
        </w:r>
      </w:hyperlink>
      <w:r w:rsidRPr="002365AC">
        <w:rPr>
          <w:szCs w:val="24"/>
        </w:rPr>
        <w:t>.</w:t>
      </w:r>
    </w:p>
    <w:p w14:paraId="02D82098" w14:textId="77777777" w:rsidR="00B62344" w:rsidRPr="002365AC" w:rsidRDefault="00B62344" w:rsidP="00B62344">
      <w:pPr>
        <w:spacing w:before="120" w:after="120" w:line="240" w:lineRule="auto"/>
        <w:rPr>
          <w:rFonts w:eastAsia="Times New Roman" w:cs="Times New Roman"/>
          <w:color w:val="000000"/>
          <w:sz w:val="27"/>
          <w:szCs w:val="27"/>
        </w:rPr>
      </w:pPr>
    </w:p>
    <w:p w14:paraId="386723FD" w14:textId="77777777" w:rsidR="00B62344" w:rsidRPr="002365AC" w:rsidRDefault="00B62344" w:rsidP="00B62344">
      <w:pPr>
        <w:keepNext/>
        <w:keepLines/>
        <w:spacing w:before="120" w:after="120"/>
        <w:outlineLvl w:val="2"/>
        <w:rPr>
          <w:rFonts w:eastAsiaTheme="majorEastAsia" w:cstheme="majorBidi"/>
          <w:b/>
          <w:szCs w:val="24"/>
        </w:rPr>
      </w:pPr>
      <w:r w:rsidRPr="002365AC">
        <w:rPr>
          <w:rFonts w:eastAsiaTheme="majorEastAsia" w:cstheme="majorBidi"/>
          <w:b/>
          <w:szCs w:val="24"/>
        </w:rPr>
        <w:t>Summary of differences:</w:t>
      </w:r>
    </w:p>
    <w:p w14:paraId="67DC604D" w14:textId="77777777" w:rsidR="00B62344" w:rsidRPr="002365AC" w:rsidRDefault="00B62344" w:rsidP="00B62344">
      <w:pPr>
        <w:spacing w:before="120" w:after="120" w:line="240" w:lineRule="auto"/>
        <w:rPr>
          <w:szCs w:val="24"/>
        </w:rPr>
      </w:pPr>
      <w:r w:rsidRPr="002365AC">
        <w:rPr>
          <w:szCs w:val="24"/>
        </w:rPr>
        <w:t>In summary, a Prior Authorization is obtaining permission before getting certain medications, Appeals are for challenging denials, and Exceptions are for special cases that may warrant a deviation from standard procedures.</w:t>
      </w:r>
    </w:p>
    <w:p w14:paraId="0C674E15" w14:textId="77777777" w:rsidR="00B62344" w:rsidRPr="002365AC" w:rsidRDefault="00B62344" w:rsidP="00B62344">
      <w:pPr>
        <w:spacing w:before="120" w:after="120" w:line="240" w:lineRule="auto"/>
        <w:rPr>
          <w:rFonts w:eastAsia="Times New Roman" w:cs="Times New Roman"/>
          <w:color w:val="000000"/>
          <w:szCs w:val="24"/>
        </w:rPr>
      </w:pPr>
    </w:p>
    <w:p w14:paraId="1A640C6F" w14:textId="77777777" w:rsidR="00AC1BCD" w:rsidRPr="002365AC" w:rsidRDefault="00AC1BCD" w:rsidP="00AC1BCD">
      <w:pPr>
        <w:spacing w:before="120" w:after="120"/>
        <w:jc w:val="right"/>
        <w:rPr>
          <w:szCs w:val="24"/>
        </w:rPr>
      </w:pPr>
      <w:hyperlink w:anchor="_top" w:history="1">
        <w:r w:rsidRPr="00AC1BCD">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12230"/>
      </w:tblGrid>
      <w:tr w:rsidR="00B62344" w:rsidRPr="002365AC" w14:paraId="2972FA98" w14:textId="77777777">
        <w:tc>
          <w:tcPr>
            <w:tcW w:w="5000" w:type="pct"/>
            <w:shd w:val="clear" w:color="auto" w:fill="BFBFBF" w:themeFill="background1" w:themeFillShade="BF"/>
          </w:tcPr>
          <w:p w14:paraId="7BD80634" w14:textId="77777777" w:rsidR="00B62344" w:rsidRPr="002365AC" w:rsidRDefault="00B62344">
            <w:pPr>
              <w:pStyle w:val="Heading2"/>
              <w:spacing w:before="120" w:after="120"/>
              <w:rPr>
                <w:sz w:val="24"/>
                <w:szCs w:val="24"/>
              </w:rPr>
            </w:pPr>
            <w:bookmarkStart w:id="5" w:name="_Toc193466221"/>
            <w:r w:rsidRPr="002365AC">
              <w:t>Determine if a Prior Authorization or Clinical Exception is Needed</w:t>
            </w:r>
            <w:bookmarkEnd w:id="5"/>
          </w:p>
        </w:tc>
      </w:tr>
    </w:tbl>
    <w:p w14:paraId="3B045CE1" w14:textId="77777777" w:rsidR="00B62344" w:rsidRPr="002365AC" w:rsidRDefault="00B62344" w:rsidP="00B62344">
      <w:pPr>
        <w:spacing w:before="120" w:after="120"/>
        <w:rPr>
          <w:szCs w:val="24"/>
        </w:rPr>
      </w:pPr>
      <w:r w:rsidRPr="002365AC">
        <w:rPr>
          <w:b/>
          <w:bCs/>
          <w:szCs w:val="24"/>
        </w:rPr>
        <w:t>Examples of why</w:t>
      </w:r>
      <w:r w:rsidRPr="002365AC">
        <w:rPr>
          <w:szCs w:val="24"/>
        </w:rPr>
        <w:t xml:space="preserve"> medications may require a Prior Authorization (PA) </w:t>
      </w:r>
      <w:r w:rsidRPr="002365AC">
        <w:rPr>
          <w:b/>
          <w:bCs/>
          <w:szCs w:val="24"/>
        </w:rPr>
        <w:t>or Clinical Exception:</w:t>
      </w:r>
    </w:p>
    <w:p w14:paraId="316BFE67" w14:textId="77777777" w:rsidR="00B62344" w:rsidRPr="002365AC" w:rsidRDefault="00B62344" w:rsidP="00B62344">
      <w:pPr>
        <w:pStyle w:val="ListParagraph"/>
        <w:numPr>
          <w:ilvl w:val="0"/>
          <w:numId w:val="4"/>
        </w:numPr>
        <w:spacing w:before="120" w:after="120" w:line="240" w:lineRule="auto"/>
        <w:contextualSpacing/>
        <w:rPr>
          <w:szCs w:val="24"/>
        </w:rPr>
      </w:pPr>
      <w:r w:rsidRPr="002365AC">
        <w:rPr>
          <w:szCs w:val="24"/>
        </w:rPr>
        <w:t>Lower cost generic alternatives are available (subject to significant safety concerns)</w:t>
      </w:r>
    </w:p>
    <w:p w14:paraId="170B8705" w14:textId="77777777" w:rsidR="00B62344" w:rsidRPr="002365AC" w:rsidRDefault="00B62344" w:rsidP="00B62344">
      <w:pPr>
        <w:pStyle w:val="ListParagraph"/>
        <w:numPr>
          <w:ilvl w:val="0"/>
          <w:numId w:val="4"/>
        </w:numPr>
        <w:spacing w:before="120" w:after="120" w:line="240" w:lineRule="auto"/>
        <w:contextualSpacing/>
        <w:rPr>
          <w:szCs w:val="24"/>
        </w:rPr>
      </w:pPr>
      <w:r w:rsidRPr="002365AC">
        <w:rPr>
          <w:szCs w:val="24"/>
        </w:rPr>
        <w:t>May be used to treat conditions or illnesses that are not covered</w:t>
      </w:r>
    </w:p>
    <w:p w14:paraId="304776E0" w14:textId="77777777" w:rsidR="00B62344" w:rsidRPr="002365AC" w:rsidRDefault="00B62344" w:rsidP="00B62344">
      <w:pPr>
        <w:pStyle w:val="ListParagraph"/>
        <w:numPr>
          <w:ilvl w:val="0"/>
          <w:numId w:val="4"/>
        </w:numPr>
        <w:spacing w:before="120" w:after="120" w:line="240" w:lineRule="auto"/>
        <w:contextualSpacing/>
        <w:rPr>
          <w:szCs w:val="24"/>
        </w:rPr>
      </w:pPr>
      <w:r w:rsidRPr="002365AC">
        <w:rPr>
          <w:szCs w:val="24"/>
        </w:rPr>
        <w:lastRenderedPageBreak/>
        <w:t>Rx that are used outside the FDA or manufacturer’s guidelines</w:t>
      </w:r>
    </w:p>
    <w:p w14:paraId="40A841B9" w14:textId="77777777" w:rsidR="00B62344" w:rsidRPr="002365AC" w:rsidRDefault="00B62344" w:rsidP="00B62344">
      <w:pPr>
        <w:pStyle w:val="ListParagraph"/>
        <w:numPr>
          <w:ilvl w:val="0"/>
          <w:numId w:val="4"/>
        </w:numPr>
        <w:spacing w:before="120" w:after="120" w:line="240" w:lineRule="auto"/>
        <w:contextualSpacing/>
        <w:rPr>
          <w:szCs w:val="24"/>
        </w:rPr>
      </w:pPr>
      <w:r w:rsidRPr="002365AC">
        <w:rPr>
          <w:szCs w:val="24"/>
        </w:rPr>
        <w:t>Unique dosing</w:t>
      </w:r>
    </w:p>
    <w:p w14:paraId="11EE2197" w14:textId="77777777" w:rsidR="00B62344" w:rsidRPr="002365AC" w:rsidRDefault="00B62344" w:rsidP="00B62344">
      <w:pPr>
        <w:pStyle w:val="ListParagraph"/>
        <w:numPr>
          <w:ilvl w:val="0"/>
          <w:numId w:val="4"/>
        </w:numPr>
        <w:spacing w:before="120" w:after="120" w:line="240" w:lineRule="auto"/>
        <w:contextualSpacing/>
        <w:rPr>
          <w:szCs w:val="24"/>
        </w:rPr>
      </w:pPr>
      <w:r w:rsidRPr="002365AC">
        <w:rPr>
          <w:szCs w:val="24"/>
        </w:rPr>
        <w:t>Rx may have a high potential for abuse (subject to overuse, misuse, or off-label use)</w:t>
      </w:r>
    </w:p>
    <w:p w14:paraId="778B46FD" w14:textId="77777777" w:rsidR="00B62344" w:rsidRPr="002365AC" w:rsidRDefault="00B62344" w:rsidP="00B62344">
      <w:pPr>
        <w:pStyle w:val="ListParagraph"/>
        <w:numPr>
          <w:ilvl w:val="0"/>
          <w:numId w:val="4"/>
        </w:numPr>
        <w:spacing w:before="120" w:after="120" w:line="240" w:lineRule="auto"/>
        <w:contextualSpacing/>
        <w:rPr>
          <w:szCs w:val="24"/>
        </w:rPr>
      </w:pPr>
      <w:r w:rsidRPr="002365AC">
        <w:rPr>
          <w:szCs w:val="24"/>
        </w:rPr>
        <w:t>Require completion of important diagnostic procedures to maximize its therapeutic benefits</w:t>
      </w:r>
    </w:p>
    <w:p w14:paraId="352F4D66" w14:textId="77777777" w:rsidR="00B62344" w:rsidRPr="002365AC" w:rsidRDefault="00B62344" w:rsidP="00B62344">
      <w:pPr>
        <w:pStyle w:val="ListParagraph"/>
        <w:numPr>
          <w:ilvl w:val="0"/>
          <w:numId w:val="4"/>
        </w:numPr>
        <w:spacing w:before="120" w:after="120" w:line="240" w:lineRule="auto"/>
        <w:contextualSpacing/>
        <w:rPr>
          <w:szCs w:val="24"/>
        </w:rPr>
      </w:pPr>
      <w:r w:rsidRPr="002365AC">
        <w:rPr>
          <w:szCs w:val="24"/>
        </w:rPr>
        <w:t>Used for conditions that are not included in the pharmacy benefit, such as cosmetic uses</w:t>
      </w:r>
    </w:p>
    <w:p w14:paraId="72B914B3" w14:textId="77777777" w:rsidR="00B62344" w:rsidRPr="002365AC" w:rsidRDefault="00B62344" w:rsidP="00B62344">
      <w:pPr>
        <w:pStyle w:val="ListParagraph"/>
        <w:numPr>
          <w:ilvl w:val="0"/>
          <w:numId w:val="4"/>
        </w:numPr>
        <w:spacing w:before="120" w:after="120" w:line="240" w:lineRule="auto"/>
        <w:contextualSpacing/>
        <w:rPr>
          <w:szCs w:val="24"/>
        </w:rPr>
      </w:pPr>
      <w:r w:rsidRPr="002365AC">
        <w:rPr>
          <w:szCs w:val="24"/>
        </w:rPr>
        <w:t>Plan designs requiring Mandatory Maintenance Choice (AFL &lt;Annual Fill Limit&gt; overrides already used or not available, etcetera)</w:t>
      </w:r>
    </w:p>
    <w:p w14:paraId="415BFE47" w14:textId="125FB736" w:rsidR="00B62344" w:rsidRPr="002365AC" w:rsidRDefault="00B62344" w:rsidP="00B62344">
      <w:pPr>
        <w:spacing w:before="120" w:after="120"/>
        <w:rPr>
          <w:szCs w:val="24"/>
        </w:rPr>
      </w:pPr>
      <w:r w:rsidRPr="002365AC">
        <w:rPr>
          <w:b/>
          <w:bCs/>
          <w:szCs w:val="24"/>
        </w:rPr>
        <w:t>Note:</w:t>
      </w:r>
      <w:r w:rsidRPr="002365AC">
        <w:rPr>
          <w:szCs w:val="24"/>
        </w:rPr>
        <w:t xml:space="preserve"> Refer to </w:t>
      </w:r>
      <w:hyperlink r:id="rId13" w:anchor="!/view?docid=5b354e50-0d15-42d0-b9c2-0711ea02d9ce" w:history="1">
        <w:r w:rsidRPr="002365AC">
          <w:rPr>
            <w:rStyle w:val="Hyperlink"/>
          </w:rPr>
          <w:t>HIPAA Grid (028920)</w:t>
        </w:r>
      </w:hyperlink>
      <w:r w:rsidRPr="002365AC">
        <w:rPr>
          <w:szCs w:val="24"/>
        </w:rPr>
        <w:t xml:space="preserve">, </w:t>
      </w:r>
      <w:hyperlink r:id="rId14" w:anchor="!/view?docid=bcb8da72-5501-4631-b9fd-fe675bc4a1fd" w:history="1">
        <w:r w:rsidRPr="002365AC">
          <w:rPr>
            <w:rStyle w:val="Hyperlink"/>
          </w:rPr>
          <w:t>Universal Care – Caller Authentication (004568)</w:t>
        </w:r>
      </w:hyperlink>
      <w:r w:rsidRPr="002365AC">
        <w:rPr>
          <w:szCs w:val="24"/>
        </w:rPr>
        <w:t xml:space="preserve"> and </w:t>
      </w:r>
      <w:hyperlink r:id="rId15" w:anchor="!/view?docid=c954b131-7884-494c-b4bb-dfc12fdc846f" w:history="1">
        <w:r w:rsidRPr="002365AC">
          <w:rPr>
            <w:rStyle w:val="Hyperlink"/>
            <w:shd w:val="clear" w:color="auto" w:fill="FFFFFF"/>
          </w:rPr>
          <w:t>Universal Care – Consultative Call Flow (CCF) Process (095822)</w:t>
        </w:r>
      </w:hyperlink>
      <w:r w:rsidRPr="002365AC">
        <w:t xml:space="preserve"> </w:t>
      </w:r>
      <w:r w:rsidRPr="002365AC">
        <w:rPr>
          <w:szCs w:val="24"/>
        </w:rPr>
        <w:t xml:space="preserve">for information on who may initiate and/or check the status of a PA or Clinical Exception. </w:t>
      </w:r>
    </w:p>
    <w:p w14:paraId="0136CF53" w14:textId="2588E9CC" w:rsidR="00B62344" w:rsidRPr="002365AC" w:rsidRDefault="00B62344" w:rsidP="00B62344">
      <w:pPr>
        <w:spacing w:before="120" w:after="120"/>
        <w:rPr>
          <w:szCs w:val="24"/>
        </w:rPr>
      </w:pPr>
      <w:r w:rsidRPr="002365AC">
        <w:rPr>
          <w:b/>
          <w:bCs/>
          <w:szCs w:val="24"/>
        </w:rPr>
        <w:t xml:space="preserve">Reminder: </w:t>
      </w:r>
      <w:r w:rsidRPr="002365AC">
        <w:rPr>
          <w:szCs w:val="24"/>
        </w:rPr>
        <w:t xml:space="preserve">For non-Clinical Exceptions, a task will be sent instead. </w:t>
      </w:r>
    </w:p>
    <w:p w14:paraId="2EBC5B5A" w14:textId="6E945CD1" w:rsidR="00B62344" w:rsidRPr="002365AC" w:rsidRDefault="00B62344" w:rsidP="00B62344">
      <w:pPr>
        <w:spacing w:before="120" w:after="120"/>
        <w:rPr>
          <w:rStyle w:val="Hyperlink"/>
          <w:color w:val="auto"/>
        </w:rPr>
      </w:pPr>
      <w:r w:rsidRPr="00BB74F5">
        <w:rPr>
          <w:rStyle w:val="Hyperlink"/>
          <w:color w:val="auto"/>
          <w:u w:val="none"/>
        </w:rPr>
        <w:t xml:space="preserve">Refer to Member is requesting a Non-Clinical Exception Scenario - </w:t>
      </w:r>
      <w:hyperlink r:id="rId16" w:anchor="!/view?docid=fb502149-98f6-43eb-935c-8d467702a50c" w:history="1">
        <w:r w:rsidR="004A7378">
          <w:rPr>
            <w:rStyle w:val="Hyperlink"/>
          </w:rPr>
          <w:t>Prior Authorization and Clinical Exceptions Scenarios (063995)</w:t>
        </w:r>
      </w:hyperlink>
      <w:r w:rsidR="004A7378" w:rsidRPr="00E14B1D">
        <w:rPr>
          <w:rStyle w:val="Hyperlink"/>
        </w:rPr>
        <w:t xml:space="preserve">. </w:t>
      </w:r>
    </w:p>
    <w:p w14:paraId="0B094804" w14:textId="77777777" w:rsidR="00B62344" w:rsidRPr="002365AC" w:rsidRDefault="00B62344" w:rsidP="00B62344">
      <w:pPr>
        <w:pStyle w:val="ListParagraph"/>
        <w:spacing w:before="120" w:after="120"/>
        <w:rPr>
          <w:szCs w:val="24"/>
        </w:rPr>
      </w:pPr>
    </w:p>
    <w:p w14:paraId="7E1C88E5" w14:textId="3BE60A8C" w:rsidR="00B62344" w:rsidRPr="002365AC" w:rsidRDefault="00B62344" w:rsidP="00B62344">
      <w:pPr>
        <w:spacing w:before="120" w:after="120" w:line="259" w:lineRule="atLeast"/>
        <w:rPr>
          <w:rFonts w:eastAsia="Times New Roman" w:cs="Times New Roman"/>
          <w:b/>
          <w:bCs/>
          <w:color w:val="000000"/>
          <w:szCs w:val="24"/>
        </w:rPr>
      </w:pPr>
      <w:r w:rsidRPr="002365AC">
        <w:rPr>
          <w:noProof/>
        </w:rPr>
        <w:drawing>
          <wp:inline distT="0" distB="0" distL="0" distR="0" wp14:anchorId="21AB9225" wp14:editId="2AFB8F8F">
            <wp:extent cx="238125" cy="209550"/>
            <wp:effectExtent l="0" t="0" r="9525" b="0"/>
            <wp:docPr id="1621454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2365AC">
        <w:rPr>
          <w:b/>
          <w:bCs/>
          <w:color w:val="000000"/>
        </w:rPr>
        <w:t> </w:t>
      </w:r>
      <w:r w:rsidRPr="002365AC">
        <w:rPr>
          <w:color w:val="000000"/>
          <w:szCs w:val="24"/>
        </w:rPr>
        <w:t xml:space="preserve">If an approved Prior Authorization is already on file and a claim and/or test claim rejects for PA needed, contact PA dept. If PA dept cannot provide a resolution, refer to </w:t>
      </w:r>
      <w:hyperlink r:id="rId17" w:anchor="!/view?docid=c45b56be-1ed1-4954-8487-3781fd7d1d55" w:history="1">
        <w:r w:rsidRPr="002365AC">
          <w:rPr>
            <w:rStyle w:val="Hyperlink"/>
            <w:shd w:val="clear" w:color="auto" w:fill="FFFFFF"/>
          </w:rPr>
          <w:t>Compass - Account Executive Consideration Support Task (AE Support Task) (061419)</w:t>
        </w:r>
      </w:hyperlink>
      <w:r w:rsidRPr="002365AC">
        <w:rPr>
          <w:color w:val="000000"/>
          <w:szCs w:val="24"/>
          <w:shd w:val="clear" w:color="auto" w:fill="FFFFFF"/>
        </w:rPr>
        <w:t xml:space="preserve"> to submit an AE Support Task.</w:t>
      </w:r>
      <w:r w:rsidRPr="002365AC">
        <w:rPr>
          <w:b/>
          <w:bCs/>
          <w:color w:val="000000"/>
          <w:szCs w:val="24"/>
          <w:shd w:val="clear" w:color="auto" w:fill="FFFFFF"/>
        </w:rPr>
        <w:t xml:space="preserve"> </w:t>
      </w:r>
    </w:p>
    <w:p w14:paraId="27BCADAB" w14:textId="77777777" w:rsidR="00B62344" w:rsidRPr="002365AC" w:rsidRDefault="00B62344" w:rsidP="00B62344">
      <w:pPr>
        <w:spacing w:before="120" w:after="120" w:line="259" w:lineRule="atLeast"/>
        <w:rPr>
          <w:rFonts w:eastAsia="Times New Roman" w:cs="Times New Roman"/>
          <w:b/>
          <w:bCs/>
          <w:color w:val="000000"/>
          <w:szCs w:val="24"/>
        </w:rPr>
      </w:pPr>
    </w:p>
    <w:p w14:paraId="0C5F4DB8" w14:textId="44C2FE1C" w:rsidR="00B62344" w:rsidRDefault="00AC1BCD" w:rsidP="00B62344">
      <w:pPr>
        <w:spacing w:before="120" w:after="120"/>
        <w:rPr>
          <w:color w:val="000000"/>
          <w:szCs w:val="24"/>
        </w:rPr>
      </w:pPr>
      <w:r>
        <w:pict w14:anchorId="2E888A5B">
          <v:shape id="Picture 10" o:spid="_x0000_i1028" type="#_x0000_t75" style="width:18.75pt;height:17.25pt;visibility:visible">
            <v:imagedata r:id="rId18" o:title=""/>
          </v:shape>
        </w:pict>
      </w:r>
      <w:r w:rsidR="00B62344" w:rsidRPr="002365AC">
        <w:rPr>
          <w:color w:val="000000"/>
          <w:szCs w:val="24"/>
        </w:rPr>
        <w:t xml:space="preserve"> </w:t>
      </w:r>
      <w:bookmarkStart w:id="6" w:name="OLE_LINK28"/>
      <w:bookmarkStart w:id="7" w:name="OLE_LINK30"/>
      <w:r w:rsidR="004A7378">
        <w:rPr>
          <w:color w:val="000000"/>
          <w:szCs w:val="24"/>
        </w:rPr>
        <w:t>For Commercial Clients only, i</w:t>
      </w:r>
      <w:r w:rsidR="00B62344" w:rsidRPr="002365AC">
        <w:rPr>
          <w:color w:val="000000"/>
          <w:szCs w:val="24"/>
        </w:rPr>
        <w:t xml:space="preserve">f a doctor’s office is calling regarding a PA or Clinical Exception for a member that belongs to a </w:t>
      </w:r>
      <w:r w:rsidR="00B62344" w:rsidRPr="002365AC">
        <w:rPr>
          <w:b/>
          <w:color w:val="000000"/>
          <w:szCs w:val="24"/>
        </w:rPr>
        <w:t>dedicated team</w:t>
      </w:r>
      <w:r w:rsidR="00B62344" w:rsidRPr="002365AC">
        <w:rPr>
          <w:color w:val="000000"/>
          <w:szCs w:val="24"/>
        </w:rPr>
        <w:t xml:space="preserve">, do not automatically transfer to the dedicated team. Review the CIF (Client Information Form); if we handle the PA, transfer directly to the appropriate PA Department number without first transferring to the dedicated team. </w:t>
      </w:r>
      <w:bookmarkEnd w:id="6"/>
      <w:bookmarkEnd w:id="7"/>
      <w:r w:rsidR="004A7378">
        <w:rPr>
          <w:color w:val="000000"/>
          <w:szCs w:val="24"/>
        </w:rPr>
        <w:t xml:space="preserve">If there is no dedicated PA phone number listed in the CIF, warm transfer to </w:t>
      </w:r>
      <w:r w:rsidR="004A7378" w:rsidRPr="007C5128">
        <w:rPr>
          <w:b/>
          <w:bCs/>
          <w:color w:val="000000"/>
          <w:szCs w:val="24"/>
        </w:rPr>
        <w:t>1-800-294-5979</w:t>
      </w:r>
      <w:r w:rsidR="004A7378">
        <w:rPr>
          <w:color w:val="000000"/>
          <w:szCs w:val="24"/>
        </w:rPr>
        <w:t>.</w:t>
      </w:r>
    </w:p>
    <w:p w14:paraId="0E370AC2" w14:textId="77777777" w:rsidR="004A7378" w:rsidRDefault="004A7378" w:rsidP="00B62344">
      <w:pPr>
        <w:spacing w:before="120" w:after="120"/>
        <w:rPr>
          <w:b/>
          <w:bCs/>
          <w:color w:val="000000"/>
          <w:szCs w:val="24"/>
        </w:rPr>
      </w:pPr>
    </w:p>
    <w:p w14:paraId="687A3B17" w14:textId="09E58243" w:rsidR="004A7378" w:rsidRDefault="00AC1BCD" w:rsidP="00B62344">
      <w:pPr>
        <w:spacing w:before="120" w:after="120"/>
        <w:rPr>
          <w:rFonts w:eastAsia="Times New Roman" w:cs="Times New Roman"/>
        </w:rPr>
      </w:pPr>
      <w:r>
        <w:lastRenderedPageBreak/>
        <w:pict w14:anchorId="61EC8F4D">
          <v:shape id="Picture 2" o:spid="_x0000_i1029" type="#_x0000_t75" style="width:18.75pt;height:17.25pt;visibility:visible">
            <v:imagedata r:id="rId18" o:title=""/>
          </v:shape>
        </w:pict>
      </w:r>
      <w:r w:rsidR="004A7378" w:rsidRPr="007C5128">
        <w:rPr>
          <w:color w:val="000000"/>
          <w:szCs w:val="24"/>
        </w:rPr>
        <w:t xml:space="preserve">If a member is calling to have an already approved Prior Authorization transferred from a previous account to a new one, </w:t>
      </w:r>
      <w:r w:rsidR="004A7378" w:rsidRPr="008A5428">
        <w:rPr>
          <w:rFonts w:eastAsia="Times New Roman" w:cs="Times New Roman"/>
        </w:rPr>
        <w:t>verify that the member’s previous account was with our PBM</w:t>
      </w:r>
      <w:r w:rsidR="004A7378" w:rsidRPr="00405A07">
        <w:rPr>
          <w:rFonts w:eastAsia="Times New Roman" w:cs="Times New Roman"/>
        </w:rPr>
        <w:t xml:space="preserve">. </w:t>
      </w:r>
      <w:r w:rsidR="004A7378" w:rsidRPr="007C5128">
        <w:rPr>
          <w:rFonts w:eastAsia="Times New Roman" w:cs="Times New Roman"/>
        </w:rPr>
        <w:t>If yes, reach out to the Prior Authorization Department to see if it can be transferred.</w:t>
      </w:r>
    </w:p>
    <w:p w14:paraId="316A8472" w14:textId="7674D1A2" w:rsidR="004A7378" w:rsidRPr="002365AC" w:rsidRDefault="00DF1E6A" w:rsidP="47ECC9CD">
      <w:pPr>
        <w:spacing w:after="0"/>
        <w:rPr>
          <w:rFonts w:eastAsia="Verdana" w:cs="Verdana"/>
          <w:color w:val="000000" w:themeColor="text1"/>
          <w:szCs w:val="24"/>
        </w:rPr>
      </w:pPr>
      <w:r>
        <w:rPr>
          <w:noProof/>
        </w:rPr>
        <w:drawing>
          <wp:inline distT="0" distB="0" distL="0" distR="0" wp14:anchorId="1E8F1900" wp14:editId="06DF624E">
            <wp:extent cx="304762" cy="304762"/>
            <wp:effectExtent l="0" t="0" r="635" b="635"/>
            <wp:docPr id="6862519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51962" name="Picture 686251962"/>
                    <pic:cNvPicPr/>
                  </pic:nvPicPr>
                  <pic:blipFill>
                    <a:blip r:embed="rId1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4A7378">
        <w:rPr>
          <w:noProof/>
        </w:rPr>
        <w:drawing>
          <wp:inline distT="0" distB="0" distL="0" distR="0" wp14:anchorId="61FC9221" wp14:editId="59A6159C">
            <wp:extent cx="236855" cy="220345"/>
            <wp:effectExtent l="0" t="0" r="0" b="8255"/>
            <wp:docPr id="97802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855" cy="220345"/>
                    </a:xfrm>
                    <a:prstGeom prst="rect">
                      <a:avLst/>
                    </a:prstGeom>
                    <a:noFill/>
                    <a:ln>
                      <a:noFill/>
                    </a:ln>
                  </pic:spPr>
                </pic:pic>
              </a:graphicData>
            </a:graphic>
          </wp:inline>
        </w:drawing>
      </w:r>
      <w:r w:rsidR="004A7378">
        <w:t xml:space="preserve">If a member already has a Prior Authorization Approval on file, a new PA can be initiated for renewal up to </w:t>
      </w:r>
      <w:r w:rsidR="5C3BACF0">
        <w:t>9</w:t>
      </w:r>
      <w:r w:rsidR="004A7378">
        <w:t>0 days before the expiration date.</w:t>
      </w:r>
      <w:r w:rsidR="632F409A">
        <w:t xml:space="preserve"> </w:t>
      </w:r>
      <w:r w:rsidR="003F0121">
        <w:t xml:space="preserve">Refer to </w:t>
      </w:r>
      <w:hyperlink r:id="rId21" w:anchor="!/view?docid=18bb86b7-af5b-4f25-af23-9c635e8a0aa4" w:history="1">
        <w:r w:rsidR="003F0121" w:rsidRPr="002365AC">
          <w:rPr>
            <w:rStyle w:val="Hyperlink"/>
          </w:rPr>
          <w:t>Compass – Initiating an ePA Request (055814)</w:t>
        </w:r>
      </w:hyperlink>
      <w:r w:rsidR="003B51F7">
        <w:rPr>
          <w:rStyle w:val="Hyperlink"/>
          <w:color w:val="auto"/>
        </w:rPr>
        <w:t xml:space="preserve"> </w:t>
      </w:r>
      <w:r w:rsidR="003B51F7" w:rsidRPr="008772CD">
        <w:rPr>
          <w:rStyle w:val="Hyperlink"/>
          <w:color w:val="auto"/>
          <w:u w:val="none"/>
        </w:rPr>
        <w:t>for more information</w:t>
      </w:r>
      <w:r w:rsidR="003B51F7" w:rsidRPr="008772CD">
        <w:rPr>
          <w:rFonts w:eastAsia="Verdana" w:cs="Verdana"/>
          <w:color w:val="000000" w:themeColor="text1"/>
          <w:szCs w:val="24"/>
        </w:rPr>
        <w:t>.</w:t>
      </w:r>
    </w:p>
    <w:p w14:paraId="3F354218" w14:textId="77777777" w:rsidR="00B62344" w:rsidRPr="002365AC" w:rsidRDefault="00B62344" w:rsidP="00B62344">
      <w:pPr>
        <w:spacing w:before="120" w:after="120"/>
        <w:rPr>
          <w:szCs w:val="24"/>
        </w:rPr>
      </w:pPr>
    </w:p>
    <w:p w14:paraId="2C87703B" w14:textId="58673192" w:rsidR="004A7378" w:rsidRDefault="004A7378" w:rsidP="004A7378">
      <w:pPr>
        <w:spacing w:before="120" w:after="120"/>
        <w:rPr>
          <w:szCs w:val="24"/>
        </w:rPr>
      </w:pPr>
      <w:r>
        <w:rPr>
          <w:b/>
          <w:bCs/>
          <w:szCs w:val="24"/>
        </w:rPr>
        <w:t xml:space="preserve">Note: </w:t>
      </w:r>
      <w:r>
        <w:rPr>
          <w:szCs w:val="24"/>
        </w:rPr>
        <w:t xml:space="preserve">If the member is calling about a need for a future Prior Authorization or Exception due to a formulary change, </w:t>
      </w:r>
      <w:r>
        <w:rPr>
          <w:b/>
          <w:bCs/>
          <w:szCs w:val="24"/>
        </w:rPr>
        <w:t>do not</w:t>
      </w:r>
      <w:r>
        <w:rPr>
          <w:szCs w:val="24"/>
        </w:rPr>
        <w:t xml:space="preserve"> begin the ePA process. A test claim will show no PA/Exception required until the formulary change date, but the ePA system will reject the need for a PA before one is needed. We can assist the member/provider with the Prior Authorization or Exception once the date of the change occurs. </w:t>
      </w:r>
    </w:p>
    <w:p w14:paraId="4807CF4D" w14:textId="77777777" w:rsidR="004A7378" w:rsidRPr="002365AC" w:rsidRDefault="004A7378" w:rsidP="00B62344">
      <w:pPr>
        <w:spacing w:before="120" w:after="120"/>
        <w:rPr>
          <w:szCs w:val="24"/>
        </w:rPr>
      </w:pPr>
    </w:p>
    <w:p w14:paraId="0EBE1C37" w14:textId="59A9F557" w:rsidR="00B62344" w:rsidRPr="002365AC" w:rsidRDefault="00B62344" w:rsidP="00B62344">
      <w:pPr>
        <w:spacing w:before="120" w:after="120"/>
        <w:rPr>
          <w:szCs w:val="24"/>
        </w:rPr>
      </w:pPr>
      <w:r w:rsidRPr="002365AC">
        <w:rPr>
          <w:b/>
          <w:bCs/>
          <w:szCs w:val="24"/>
        </w:rPr>
        <w:t xml:space="preserve">Example: </w:t>
      </w:r>
      <w:r w:rsidRPr="002365AC">
        <w:rPr>
          <w:szCs w:val="24"/>
        </w:rPr>
        <w:t>Member calling due to receiving a letter notifying them about a formulary change that will happen but has not happened yet.</w:t>
      </w:r>
    </w:p>
    <w:p w14:paraId="2E4D1FDB" w14:textId="77777777" w:rsidR="00B62344" w:rsidRPr="002365AC" w:rsidRDefault="00B62344" w:rsidP="00B62344">
      <w:pPr>
        <w:spacing w:before="120" w:after="120"/>
        <w:rPr>
          <w:b/>
          <w:bCs/>
          <w:szCs w:val="24"/>
        </w:rPr>
      </w:pPr>
      <w:r w:rsidRPr="002365AC">
        <w:rPr>
          <w:szCs w:val="24"/>
        </w:rPr>
        <w:br/>
      </w:r>
      <w:r w:rsidRPr="002365AC">
        <w:rPr>
          <w:b/>
          <w:bCs/>
          <w:szCs w:val="24"/>
        </w:rPr>
        <w:t>Perform the Steps below:</w:t>
      </w:r>
    </w:p>
    <w:p w14:paraId="5FCBDF09" w14:textId="13E9808F" w:rsidR="00B62344" w:rsidRPr="002365AC" w:rsidRDefault="00B62344" w:rsidP="00B62344">
      <w:pPr>
        <w:spacing w:before="120" w:after="120"/>
        <w:rPr>
          <w:szCs w:val="24"/>
        </w:rPr>
      </w:pPr>
      <w:r w:rsidRPr="002365AC">
        <w:rPr>
          <w:noProof/>
        </w:rPr>
        <w:drawing>
          <wp:inline distT="0" distB="0" distL="0" distR="0" wp14:anchorId="4E1251AF" wp14:editId="13D600CD">
            <wp:extent cx="238125" cy="209550"/>
            <wp:effectExtent l="0" t="0" r="9525" b="0"/>
            <wp:docPr id="1047250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2365AC">
        <w:rPr>
          <w:szCs w:val="24"/>
        </w:rPr>
        <w:t xml:space="preserve"> Do </w:t>
      </w:r>
      <w:r w:rsidRPr="002365AC">
        <w:rPr>
          <w:b/>
          <w:bCs/>
          <w:szCs w:val="24"/>
        </w:rPr>
        <w:t>not</w:t>
      </w:r>
      <w:r w:rsidRPr="002365AC">
        <w:rPr>
          <w:szCs w:val="24"/>
        </w:rPr>
        <w:t xml:space="preserve"> file a PA or Clinical Exception until you have ensured a PA or Clinical Exception is appropriate.</w:t>
      </w:r>
    </w:p>
    <w:tbl>
      <w:tblPr>
        <w:tblStyle w:val="TableGrid"/>
        <w:tblW w:w="5000" w:type="pct"/>
        <w:tblLook w:val="04A0" w:firstRow="1" w:lastRow="0" w:firstColumn="1" w:lastColumn="0" w:noHBand="0" w:noVBand="1"/>
      </w:tblPr>
      <w:tblGrid>
        <w:gridCol w:w="824"/>
        <w:gridCol w:w="3318"/>
        <w:gridCol w:w="809"/>
        <w:gridCol w:w="2722"/>
        <w:gridCol w:w="4557"/>
      </w:tblGrid>
      <w:tr w:rsidR="00B62344" w:rsidRPr="002365AC" w14:paraId="295E5A07" w14:textId="77777777" w:rsidTr="004A7378">
        <w:tc>
          <w:tcPr>
            <w:tcW w:w="292" w:type="pct"/>
            <w:shd w:val="clear" w:color="auto" w:fill="D9D9D9" w:themeFill="background1" w:themeFillShade="D9"/>
          </w:tcPr>
          <w:p w14:paraId="2B384B3D" w14:textId="77777777" w:rsidR="00B62344" w:rsidRPr="002365AC" w:rsidRDefault="00B62344">
            <w:pPr>
              <w:spacing w:before="120" w:after="120"/>
              <w:jc w:val="center"/>
              <w:rPr>
                <w:b/>
                <w:bCs/>
                <w:szCs w:val="24"/>
              </w:rPr>
            </w:pPr>
            <w:r w:rsidRPr="002365AC">
              <w:rPr>
                <w:b/>
                <w:bCs/>
                <w:szCs w:val="24"/>
              </w:rPr>
              <w:t>Step</w:t>
            </w:r>
          </w:p>
        </w:tc>
        <w:tc>
          <w:tcPr>
            <w:tcW w:w="4708" w:type="pct"/>
            <w:gridSpan w:val="4"/>
            <w:shd w:val="clear" w:color="auto" w:fill="D9D9D9" w:themeFill="background1" w:themeFillShade="D9"/>
          </w:tcPr>
          <w:p w14:paraId="29AB3D60" w14:textId="77777777" w:rsidR="00B62344" w:rsidRPr="002365AC" w:rsidRDefault="00B62344">
            <w:pPr>
              <w:spacing w:before="120" w:after="120"/>
              <w:jc w:val="center"/>
              <w:rPr>
                <w:b/>
                <w:bCs/>
                <w:szCs w:val="24"/>
              </w:rPr>
            </w:pPr>
            <w:r w:rsidRPr="002365AC">
              <w:rPr>
                <w:b/>
                <w:bCs/>
                <w:szCs w:val="24"/>
              </w:rPr>
              <w:t>Action</w:t>
            </w:r>
          </w:p>
        </w:tc>
      </w:tr>
      <w:tr w:rsidR="00B62344" w:rsidRPr="002365AC" w14:paraId="11AEBC8A" w14:textId="77777777" w:rsidTr="004A7378">
        <w:trPr>
          <w:trHeight w:val="20"/>
        </w:trPr>
        <w:tc>
          <w:tcPr>
            <w:tcW w:w="292" w:type="pct"/>
            <w:vMerge w:val="restart"/>
          </w:tcPr>
          <w:p w14:paraId="23B08354" w14:textId="77777777" w:rsidR="00B62344" w:rsidRPr="002365AC" w:rsidRDefault="00B62344">
            <w:pPr>
              <w:spacing w:before="120" w:after="120"/>
              <w:jc w:val="center"/>
              <w:rPr>
                <w:b/>
                <w:bCs/>
                <w:szCs w:val="24"/>
              </w:rPr>
            </w:pPr>
            <w:r w:rsidRPr="002365AC">
              <w:rPr>
                <w:b/>
                <w:bCs/>
                <w:szCs w:val="24"/>
              </w:rPr>
              <w:t>1</w:t>
            </w:r>
          </w:p>
        </w:tc>
        <w:tc>
          <w:tcPr>
            <w:tcW w:w="4708" w:type="pct"/>
            <w:gridSpan w:val="4"/>
          </w:tcPr>
          <w:p w14:paraId="45AAFD9D" w14:textId="77777777" w:rsidR="00B62344" w:rsidRPr="002365AC" w:rsidRDefault="00B62344">
            <w:pPr>
              <w:spacing w:before="120" w:after="120"/>
              <w:rPr>
                <w:szCs w:val="24"/>
              </w:rPr>
            </w:pPr>
            <w:r w:rsidRPr="002365AC">
              <w:rPr>
                <w:szCs w:val="24"/>
              </w:rPr>
              <w:t xml:space="preserve">Determine if a PA or Clinical Exception is needed by running a </w:t>
            </w:r>
            <w:hyperlink r:id="rId22" w:anchor="!/view?docid=60c20ea0-1d07-46e3-809a-b54734b80fbe" w:history="1">
              <w:r w:rsidRPr="002365AC">
                <w:rPr>
                  <w:rStyle w:val="Hyperlink"/>
                </w:rPr>
                <w:t>Test Claim (050041)</w:t>
              </w:r>
            </w:hyperlink>
            <w:r w:rsidRPr="002365AC">
              <w:rPr>
                <w:szCs w:val="24"/>
              </w:rPr>
              <w:t xml:space="preserve">. </w:t>
            </w:r>
          </w:p>
          <w:p w14:paraId="4BD0508B" w14:textId="652864A5" w:rsidR="00B62344" w:rsidRPr="002365AC" w:rsidRDefault="00B62344">
            <w:pPr>
              <w:spacing w:before="120" w:after="120"/>
            </w:pPr>
            <w:r w:rsidRPr="002365AC">
              <w:rPr>
                <w:b/>
                <w:bCs/>
                <w:szCs w:val="24"/>
              </w:rPr>
              <w:t xml:space="preserve">Note: </w:t>
            </w:r>
            <w:r w:rsidRPr="002365AC">
              <w:rPr>
                <w:szCs w:val="24"/>
              </w:rPr>
              <w:t>Run your own fresh test claim to ensure accuracy; things may have changed.</w:t>
            </w:r>
          </w:p>
        </w:tc>
      </w:tr>
      <w:tr w:rsidR="00B62344" w:rsidRPr="002365AC" w14:paraId="4540FBEC" w14:textId="77777777" w:rsidTr="004A7378">
        <w:trPr>
          <w:trHeight w:val="26"/>
        </w:trPr>
        <w:tc>
          <w:tcPr>
            <w:tcW w:w="292" w:type="pct"/>
            <w:vMerge/>
          </w:tcPr>
          <w:p w14:paraId="7783BE04" w14:textId="77777777" w:rsidR="00B62344" w:rsidRPr="002365AC" w:rsidRDefault="00B62344">
            <w:pPr>
              <w:spacing w:before="120" w:after="120"/>
              <w:jc w:val="center"/>
              <w:rPr>
                <w:b/>
                <w:bCs/>
                <w:szCs w:val="24"/>
              </w:rPr>
            </w:pPr>
          </w:p>
        </w:tc>
        <w:tc>
          <w:tcPr>
            <w:tcW w:w="1368" w:type="pct"/>
            <w:shd w:val="clear" w:color="auto" w:fill="D9D9D9" w:themeFill="background1" w:themeFillShade="D9"/>
          </w:tcPr>
          <w:p w14:paraId="141D8F06" w14:textId="77777777" w:rsidR="00B62344" w:rsidRPr="002365AC" w:rsidRDefault="00B62344">
            <w:pPr>
              <w:spacing w:before="120" w:after="120"/>
              <w:jc w:val="center"/>
              <w:rPr>
                <w:b/>
                <w:szCs w:val="24"/>
              </w:rPr>
            </w:pPr>
            <w:r w:rsidRPr="002365AC">
              <w:rPr>
                <w:b/>
                <w:szCs w:val="24"/>
              </w:rPr>
              <w:t>If…</w:t>
            </w:r>
          </w:p>
        </w:tc>
        <w:tc>
          <w:tcPr>
            <w:tcW w:w="3340" w:type="pct"/>
            <w:gridSpan w:val="3"/>
            <w:shd w:val="clear" w:color="auto" w:fill="D9D9D9" w:themeFill="background1" w:themeFillShade="D9"/>
          </w:tcPr>
          <w:p w14:paraId="4D049E7D" w14:textId="77777777" w:rsidR="00B62344" w:rsidRPr="002365AC" w:rsidRDefault="00B62344">
            <w:pPr>
              <w:spacing w:before="120" w:after="120"/>
              <w:jc w:val="center"/>
              <w:rPr>
                <w:b/>
                <w:szCs w:val="24"/>
              </w:rPr>
            </w:pPr>
            <w:r w:rsidRPr="002365AC">
              <w:rPr>
                <w:b/>
                <w:szCs w:val="24"/>
              </w:rPr>
              <w:t>Then…</w:t>
            </w:r>
          </w:p>
        </w:tc>
      </w:tr>
      <w:tr w:rsidR="00B62344" w:rsidRPr="002365AC" w14:paraId="441FE96A" w14:textId="77777777" w:rsidTr="004A7378">
        <w:trPr>
          <w:trHeight w:val="26"/>
        </w:trPr>
        <w:tc>
          <w:tcPr>
            <w:tcW w:w="292" w:type="pct"/>
            <w:vMerge/>
          </w:tcPr>
          <w:p w14:paraId="690D76C1" w14:textId="77777777" w:rsidR="00B62344" w:rsidRPr="002365AC" w:rsidRDefault="00B62344">
            <w:pPr>
              <w:spacing w:before="120" w:after="120"/>
              <w:jc w:val="center"/>
              <w:rPr>
                <w:b/>
                <w:bCs/>
                <w:szCs w:val="24"/>
              </w:rPr>
            </w:pPr>
          </w:p>
        </w:tc>
        <w:tc>
          <w:tcPr>
            <w:tcW w:w="1368" w:type="pct"/>
          </w:tcPr>
          <w:p w14:paraId="4491CB24" w14:textId="77777777" w:rsidR="00B62344" w:rsidRPr="002365AC" w:rsidRDefault="00B62344">
            <w:pPr>
              <w:spacing w:before="120" w:after="120"/>
              <w:rPr>
                <w:szCs w:val="24"/>
              </w:rPr>
            </w:pPr>
            <w:r w:rsidRPr="002365AC">
              <w:rPr>
                <w:szCs w:val="24"/>
              </w:rPr>
              <w:t>Test claim accepts</w:t>
            </w:r>
          </w:p>
        </w:tc>
        <w:tc>
          <w:tcPr>
            <w:tcW w:w="3340" w:type="pct"/>
            <w:gridSpan w:val="3"/>
          </w:tcPr>
          <w:p w14:paraId="282AF5AD" w14:textId="77777777" w:rsidR="00B62344" w:rsidRPr="002365AC" w:rsidRDefault="00B62344">
            <w:pPr>
              <w:spacing w:before="120" w:after="120"/>
              <w:rPr>
                <w:szCs w:val="24"/>
              </w:rPr>
            </w:pPr>
            <w:r w:rsidRPr="002365AC">
              <w:rPr>
                <w:szCs w:val="24"/>
              </w:rPr>
              <w:t xml:space="preserve">No Prior Authorization is necessary </w:t>
            </w:r>
            <w:proofErr w:type="gramStart"/>
            <w:r w:rsidRPr="002365AC">
              <w:rPr>
                <w:szCs w:val="24"/>
              </w:rPr>
              <w:t>at this time</w:t>
            </w:r>
            <w:proofErr w:type="gramEnd"/>
            <w:r w:rsidRPr="002365AC">
              <w:rPr>
                <w:szCs w:val="24"/>
              </w:rPr>
              <w:t xml:space="preserve">. Assist </w:t>
            </w:r>
            <w:proofErr w:type="gramStart"/>
            <w:r w:rsidRPr="002365AC">
              <w:rPr>
                <w:szCs w:val="24"/>
              </w:rPr>
              <w:t>member</w:t>
            </w:r>
            <w:proofErr w:type="gramEnd"/>
            <w:r w:rsidRPr="002365AC">
              <w:rPr>
                <w:szCs w:val="24"/>
              </w:rPr>
              <w:t xml:space="preserve"> with medication needs.</w:t>
            </w:r>
          </w:p>
          <w:p w14:paraId="131FC046" w14:textId="77777777" w:rsidR="00B62344" w:rsidRPr="002365AC" w:rsidRDefault="00B62344">
            <w:pPr>
              <w:pStyle w:val="ListParagraph"/>
              <w:numPr>
                <w:ilvl w:val="0"/>
                <w:numId w:val="5"/>
              </w:numPr>
              <w:spacing w:before="120" w:after="120" w:line="240" w:lineRule="auto"/>
              <w:contextualSpacing/>
              <w:rPr>
                <w:szCs w:val="24"/>
              </w:rPr>
            </w:pPr>
            <w:r w:rsidRPr="002365AC">
              <w:rPr>
                <w:szCs w:val="24"/>
              </w:rPr>
              <w:t xml:space="preserve">If </w:t>
            </w:r>
            <w:proofErr w:type="gramStart"/>
            <w:r w:rsidRPr="002365AC">
              <w:rPr>
                <w:szCs w:val="24"/>
              </w:rPr>
              <w:t>member</w:t>
            </w:r>
            <w:proofErr w:type="gramEnd"/>
            <w:r w:rsidRPr="002365AC">
              <w:rPr>
                <w:szCs w:val="24"/>
              </w:rPr>
              <w:t xml:space="preserve"> would like additional information about their Prior Authorization, refer to </w:t>
            </w:r>
            <w:hyperlink w:anchor="PAIndex" w:history="1">
              <w:r w:rsidRPr="002365AC">
                <w:rPr>
                  <w:rStyle w:val="Hyperlink"/>
                </w:rPr>
                <w:t>PA, Exception, or Appeals Index</w:t>
              </w:r>
            </w:hyperlink>
            <w:r w:rsidRPr="002365AC">
              <w:rPr>
                <w:szCs w:val="24"/>
              </w:rPr>
              <w:t>.</w:t>
            </w:r>
          </w:p>
        </w:tc>
      </w:tr>
      <w:tr w:rsidR="00B62344" w:rsidRPr="002365AC" w14:paraId="3B1AFF75" w14:textId="77777777" w:rsidTr="004A7378">
        <w:trPr>
          <w:trHeight w:val="26"/>
        </w:trPr>
        <w:tc>
          <w:tcPr>
            <w:tcW w:w="292" w:type="pct"/>
            <w:vMerge/>
          </w:tcPr>
          <w:p w14:paraId="174A52E3" w14:textId="77777777" w:rsidR="00B62344" w:rsidRPr="002365AC" w:rsidRDefault="00B62344">
            <w:pPr>
              <w:spacing w:before="120" w:after="120"/>
              <w:jc w:val="center"/>
              <w:rPr>
                <w:b/>
                <w:bCs/>
                <w:szCs w:val="24"/>
              </w:rPr>
            </w:pPr>
          </w:p>
        </w:tc>
        <w:tc>
          <w:tcPr>
            <w:tcW w:w="1368" w:type="pct"/>
          </w:tcPr>
          <w:p w14:paraId="195A9DF7" w14:textId="77777777" w:rsidR="00B62344" w:rsidRPr="002365AC" w:rsidRDefault="00B62344">
            <w:pPr>
              <w:spacing w:before="120" w:after="120"/>
              <w:rPr>
                <w:b/>
                <w:bCs/>
                <w:noProof/>
                <w:szCs w:val="24"/>
              </w:rPr>
            </w:pPr>
            <w:r w:rsidRPr="002365AC">
              <w:rPr>
                <w:noProof/>
                <w:szCs w:val="24"/>
              </w:rPr>
              <w:t xml:space="preserve">Test claim denies and rejection is for reasons </w:t>
            </w:r>
            <w:r w:rsidRPr="002365AC">
              <w:rPr>
                <w:b/>
                <w:bCs/>
                <w:noProof/>
                <w:szCs w:val="24"/>
              </w:rPr>
              <w:t xml:space="preserve">other than: </w:t>
            </w:r>
          </w:p>
          <w:p w14:paraId="446ADBDB" w14:textId="77777777" w:rsidR="00B62344" w:rsidRPr="002365AC" w:rsidRDefault="00B62344">
            <w:pPr>
              <w:spacing w:before="120" w:after="120"/>
              <w:rPr>
                <w:noProof/>
                <w:szCs w:val="24"/>
              </w:rPr>
            </w:pPr>
            <w:r w:rsidRPr="002365AC">
              <w:rPr>
                <w:noProof/>
                <w:szCs w:val="24"/>
              </w:rPr>
              <w:t>Rejection codes 70, 75, 76, 606, or 608</w:t>
            </w:r>
          </w:p>
        </w:tc>
        <w:tc>
          <w:tcPr>
            <w:tcW w:w="3340" w:type="pct"/>
            <w:gridSpan w:val="3"/>
          </w:tcPr>
          <w:p w14:paraId="52813334" w14:textId="77777777" w:rsidR="00B62344" w:rsidRPr="002365AC" w:rsidRDefault="00B62344">
            <w:pPr>
              <w:spacing w:before="120" w:after="120"/>
              <w:rPr>
                <w:szCs w:val="24"/>
              </w:rPr>
            </w:pPr>
            <w:r w:rsidRPr="002365AC">
              <w:rPr>
                <w:szCs w:val="24"/>
              </w:rPr>
              <w:t xml:space="preserve">Prior Authorization or Clinical Exception is not appropriate. Research </w:t>
            </w:r>
            <w:proofErr w:type="gramStart"/>
            <w:r w:rsidRPr="002365AC">
              <w:rPr>
                <w:szCs w:val="24"/>
              </w:rPr>
              <w:t>based</w:t>
            </w:r>
            <w:proofErr w:type="gramEnd"/>
            <w:r w:rsidRPr="002365AC">
              <w:rPr>
                <w:szCs w:val="24"/>
              </w:rPr>
              <w:t xml:space="preserve"> on rejection code/reason and assist member.</w:t>
            </w:r>
          </w:p>
          <w:p w14:paraId="41963924" w14:textId="760C525C" w:rsidR="00B62344" w:rsidRPr="002365AC" w:rsidRDefault="00B62344">
            <w:pPr>
              <w:spacing w:before="120" w:after="120"/>
              <w:rPr>
                <w:szCs w:val="24"/>
              </w:rPr>
            </w:pPr>
            <w:r w:rsidRPr="002365AC">
              <w:rPr>
                <w:b/>
                <w:bCs/>
                <w:szCs w:val="24"/>
              </w:rPr>
              <w:t xml:space="preserve">Example: </w:t>
            </w:r>
            <w:r w:rsidRPr="002365AC">
              <w:rPr>
                <w:szCs w:val="24"/>
              </w:rPr>
              <w:t xml:space="preserve">Assist </w:t>
            </w:r>
            <w:proofErr w:type="gramStart"/>
            <w:r w:rsidRPr="002365AC">
              <w:rPr>
                <w:szCs w:val="24"/>
              </w:rPr>
              <w:t>member</w:t>
            </w:r>
            <w:proofErr w:type="gramEnd"/>
            <w:r w:rsidRPr="002365AC">
              <w:rPr>
                <w:szCs w:val="24"/>
              </w:rPr>
              <w:t xml:space="preserve"> with possible alternatives.</w:t>
            </w:r>
          </w:p>
        </w:tc>
      </w:tr>
      <w:tr w:rsidR="00B62344" w:rsidRPr="002365AC" w14:paraId="4459BAD7" w14:textId="77777777" w:rsidTr="004A7378">
        <w:trPr>
          <w:trHeight w:val="26"/>
        </w:trPr>
        <w:tc>
          <w:tcPr>
            <w:tcW w:w="292" w:type="pct"/>
            <w:vMerge/>
          </w:tcPr>
          <w:p w14:paraId="15C6FC21" w14:textId="77777777" w:rsidR="00B62344" w:rsidRPr="002365AC" w:rsidRDefault="00B62344">
            <w:pPr>
              <w:spacing w:before="120" w:after="120"/>
              <w:jc w:val="center"/>
              <w:rPr>
                <w:b/>
                <w:bCs/>
                <w:szCs w:val="24"/>
              </w:rPr>
            </w:pPr>
          </w:p>
        </w:tc>
        <w:tc>
          <w:tcPr>
            <w:tcW w:w="1368" w:type="pct"/>
          </w:tcPr>
          <w:p w14:paraId="0DC3428D" w14:textId="77777777" w:rsidR="00B62344" w:rsidRPr="002365AC" w:rsidRDefault="00B62344">
            <w:pPr>
              <w:spacing w:before="120" w:after="120"/>
              <w:rPr>
                <w:szCs w:val="24"/>
              </w:rPr>
            </w:pPr>
            <w:r w:rsidRPr="002365AC">
              <w:rPr>
                <w:szCs w:val="24"/>
              </w:rPr>
              <w:t>Test claim rejects for Prior Authorization or Clinical Exception Required</w:t>
            </w:r>
          </w:p>
          <w:p w14:paraId="16DCD66B" w14:textId="51C09BDE" w:rsidR="00B62344" w:rsidRPr="002365AC" w:rsidRDefault="00B62344">
            <w:pPr>
              <w:spacing w:before="120" w:after="120"/>
              <w:rPr>
                <w:szCs w:val="24"/>
              </w:rPr>
            </w:pPr>
            <w:r w:rsidRPr="002365AC">
              <w:rPr>
                <w:noProof/>
                <w:szCs w:val="24"/>
              </w:rPr>
              <w:t>Rejection codes</w:t>
            </w:r>
            <w:r w:rsidRPr="002365AC">
              <w:rPr>
                <w:szCs w:val="24"/>
              </w:rPr>
              <w:t xml:space="preserve"> 70, 75, 76, 606, or 608.</w:t>
            </w:r>
            <w:r w:rsidRPr="002365AC">
              <w:rPr>
                <w:szCs w:val="24"/>
              </w:rPr>
              <w:br/>
            </w:r>
            <w:r w:rsidRPr="002365AC">
              <w:rPr>
                <w:szCs w:val="24"/>
              </w:rPr>
              <w:br/>
            </w:r>
            <w:r w:rsidRPr="002365AC">
              <w:rPr>
                <w:b/>
                <w:bCs/>
                <w:szCs w:val="24"/>
              </w:rPr>
              <w:t>Note:</w:t>
            </w:r>
            <w:r w:rsidRPr="002365AC">
              <w:rPr>
                <w:szCs w:val="24"/>
              </w:rPr>
              <w:t xml:space="preserve"> Description field of rejection displays “PA or Prior Auth required, please call &lt;XXX&gt;’.</w:t>
            </w:r>
          </w:p>
        </w:tc>
        <w:tc>
          <w:tcPr>
            <w:tcW w:w="3340" w:type="pct"/>
            <w:gridSpan w:val="3"/>
          </w:tcPr>
          <w:p w14:paraId="311A8D61" w14:textId="77777777" w:rsidR="00B62344" w:rsidRPr="002365AC" w:rsidRDefault="00B62344">
            <w:pPr>
              <w:spacing w:before="120" w:after="120"/>
              <w:rPr>
                <w:szCs w:val="24"/>
              </w:rPr>
            </w:pPr>
            <w:r w:rsidRPr="002365AC">
              <w:rPr>
                <w:szCs w:val="24"/>
              </w:rPr>
              <w:t xml:space="preserve">Proceed to </w:t>
            </w:r>
            <w:proofErr w:type="gramStart"/>
            <w:r w:rsidRPr="002365AC">
              <w:rPr>
                <w:szCs w:val="24"/>
              </w:rPr>
              <w:t>next</w:t>
            </w:r>
            <w:proofErr w:type="gramEnd"/>
            <w:r w:rsidRPr="002365AC">
              <w:rPr>
                <w:szCs w:val="24"/>
              </w:rPr>
              <w:t xml:space="preserve"> step.</w:t>
            </w:r>
          </w:p>
          <w:p w14:paraId="62AE9927" w14:textId="77777777" w:rsidR="00B62344" w:rsidRPr="002365AC" w:rsidRDefault="00B62344">
            <w:pPr>
              <w:spacing w:before="120" w:after="120"/>
              <w:rPr>
                <w:szCs w:val="24"/>
              </w:rPr>
            </w:pPr>
          </w:p>
          <w:p w14:paraId="5F3661FB" w14:textId="4B60FABB" w:rsidR="00B62344" w:rsidRPr="002365AC" w:rsidRDefault="00B62344">
            <w:pPr>
              <w:spacing w:before="120" w:after="120"/>
              <w:rPr>
                <w:szCs w:val="24"/>
              </w:rPr>
            </w:pPr>
            <w:r w:rsidRPr="002365AC">
              <w:rPr>
                <w:noProof/>
              </w:rPr>
              <w:drawing>
                <wp:inline distT="0" distB="0" distL="0" distR="0" wp14:anchorId="2FD481EA" wp14:editId="5B439967">
                  <wp:extent cx="238125" cy="219075"/>
                  <wp:effectExtent l="0" t="0" r="9525" b="9525"/>
                  <wp:docPr id="1009840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2365AC">
              <w:t xml:space="preserve"> </w:t>
            </w:r>
            <w:r w:rsidRPr="002365AC">
              <w:rPr>
                <w:b/>
                <w:bCs/>
                <w:szCs w:val="24"/>
              </w:rPr>
              <w:t>Always</w:t>
            </w:r>
            <w:r w:rsidRPr="002365AC">
              <w:rPr>
                <w:szCs w:val="24"/>
              </w:rPr>
              <w:t xml:space="preserve"> refer the CIF to determine who handles Prior Authorizations and for any plan specific instructions.</w:t>
            </w:r>
          </w:p>
        </w:tc>
      </w:tr>
      <w:tr w:rsidR="00B62344" w:rsidRPr="002365AC" w14:paraId="15A4F22C" w14:textId="77777777" w:rsidTr="004A7378">
        <w:trPr>
          <w:trHeight w:val="27"/>
        </w:trPr>
        <w:tc>
          <w:tcPr>
            <w:tcW w:w="292" w:type="pct"/>
            <w:vMerge w:val="restart"/>
          </w:tcPr>
          <w:p w14:paraId="4161B015" w14:textId="77777777" w:rsidR="00B62344" w:rsidRPr="002365AC" w:rsidRDefault="00B62344">
            <w:pPr>
              <w:spacing w:before="120" w:after="120"/>
              <w:jc w:val="center"/>
              <w:rPr>
                <w:b/>
                <w:bCs/>
                <w:szCs w:val="24"/>
              </w:rPr>
            </w:pPr>
            <w:r w:rsidRPr="002365AC">
              <w:rPr>
                <w:b/>
                <w:bCs/>
                <w:szCs w:val="24"/>
              </w:rPr>
              <w:lastRenderedPageBreak/>
              <w:t>2</w:t>
            </w:r>
          </w:p>
        </w:tc>
        <w:tc>
          <w:tcPr>
            <w:tcW w:w="4708" w:type="pct"/>
            <w:gridSpan w:val="4"/>
          </w:tcPr>
          <w:p w14:paraId="72E68218" w14:textId="77777777" w:rsidR="00B62344" w:rsidRDefault="00B62344">
            <w:pPr>
              <w:spacing w:before="120" w:after="120"/>
              <w:rPr>
                <w:rStyle w:val="Hyperlink"/>
                <w:color w:val="auto"/>
              </w:rPr>
            </w:pPr>
            <w:r w:rsidRPr="002365AC">
              <w:rPr>
                <w:szCs w:val="24"/>
              </w:rPr>
              <w:t xml:space="preserve">From the Test Claim screen, assist members with possible drug alternatives. </w:t>
            </w:r>
            <w:r w:rsidRPr="002365AC">
              <w:br/>
            </w:r>
            <w:r w:rsidRPr="002365AC">
              <w:br/>
            </w:r>
            <w:r w:rsidRPr="002365AC">
              <w:rPr>
                <w:szCs w:val="24"/>
              </w:rPr>
              <w:t xml:space="preserve">Refer to </w:t>
            </w:r>
            <w:hyperlink r:id="rId23" w:anchor="!/view?docid=b3dbfb44-1c9e-47a6-b8f4-6010f553731b" w:history="1">
              <w:r w:rsidRPr="002365AC">
                <w:rPr>
                  <w:rStyle w:val="Hyperlink"/>
                </w:rPr>
                <w:t>Compass - Viewing and Running Test Claims for Alternative Rx(s) (056849)</w:t>
              </w:r>
            </w:hyperlink>
            <w:r w:rsidRPr="002365AC">
              <w:rPr>
                <w:rStyle w:val="Hyperlink"/>
                <w:color w:val="auto"/>
              </w:rPr>
              <w:t>.</w:t>
            </w:r>
          </w:p>
          <w:p w14:paraId="0BFE6929" w14:textId="77777777" w:rsidR="004A7378" w:rsidRDefault="004A7378" w:rsidP="004A7378">
            <w:pPr>
              <w:spacing w:before="120" w:after="120"/>
              <w:rPr>
                <w:b/>
                <w:bCs/>
                <w:szCs w:val="24"/>
              </w:rPr>
            </w:pPr>
          </w:p>
          <w:p w14:paraId="34FB5B3A" w14:textId="1D1F64B5" w:rsidR="004A7378" w:rsidRDefault="004A7378" w:rsidP="004A7378">
            <w:pPr>
              <w:spacing w:before="120" w:after="120"/>
              <w:rPr>
                <w:szCs w:val="24"/>
              </w:rPr>
            </w:pPr>
            <w:r w:rsidRPr="00D904BF">
              <w:rPr>
                <w:b/>
                <w:bCs/>
                <w:szCs w:val="24"/>
              </w:rPr>
              <w:t>Reminder:</w:t>
            </w:r>
            <w:r w:rsidRPr="00D904BF">
              <w:rPr>
                <w:szCs w:val="24"/>
              </w:rPr>
              <w:t xml:space="preserve"> Ask how much medication member has on hand.</w:t>
            </w:r>
            <w:r>
              <w:rPr>
                <w:szCs w:val="24"/>
              </w:rPr>
              <w:t xml:space="preserve"> </w:t>
            </w:r>
            <w:r w:rsidRPr="00D23674">
              <w:rPr>
                <w:szCs w:val="24"/>
              </w:rPr>
              <w:t xml:space="preserve">If the member has five (5) days or less of medication on hand, determine </w:t>
            </w:r>
            <w:r>
              <w:rPr>
                <w:szCs w:val="24"/>
              </w:rPr>
              <w:t xml:space="preserve">all </w:t>
            </w:r>
            <w:r w:rsidRPr="00D23674">
              <w:rPr>
                <w:szCs w:val="24"/>
              </w:rPr>
              <w:t xml:space="preserve">alternative </w:t>
            </w:r>
            <w:r>
              <w:rPr>
                <w:szCs w:val="24"/>
              </w:rPr>
              <w:t>options</w:t>
            </w:r>
            <w:r w:rsidRPr="00D23674">
              <w:rPr>
                <w:szCs w:val="24"/>
              </w:rPr>
              <w:t xml:space="preserve"> to obtain the medication</w:t>
            </w:r>
            <w:r>
              <w:rPr>
                <w:szCs w:val="24"/>
              </w:rPr>
              <w:t xml:space="preserve"> for the member. Refer to </w:t>
            </w:r>
            <w:hyperlink r:id="rId24" w:anchor="!/view?docid=91f73b9d-e568-48dd-9ab4-88cb2654d4c9" w:history="1">
              <w:r w:rsidRPr="00D15934">
                <w:rPr>
                  <w:rStyle w:val="Hyperlink"/>
                </w:rPr>
                <w:t>Compass - Member Low or Out of Medication (063003)</w:t>
              </w:r>
            </w:hyperlink>
            <w:r>
              <w:rPr>
                <w:szCs w:val="24"/>
              </w:rPr>
              <w:t>.</w:t>
            </w:r>
          </w:p>
          <w:p w14:paraId="5BACF7A2" w14:textId="77777777" w:rsidR="004A7378" w:rsidRPr="002365AC" w:rsidRDefault="004A7378">
            <w:pPr>
              <w:spacing w:before="120" w:after="120"/>
              <w:rPr>
                <w:szCs w:val="24"/>
              </w:rPr>
            </w:pPr>
          </w:p>
        </w:tc>
      </w:tr>
      <w:tr w:rsidR="00B62344" w:rsidRPr="002365AC" w14:paraId="4B6F23C5" w14:textId="77777777" w:rsidTr="004A7378">
        <w:trPr>
          <w:trHeight w:val="26"/>
        </w:trPr>
        <w:tc>
          <w:tcPr>
            <w:tcW w:w="292" w:type="pct"/>
            <w:vMerge/>
          </w:tcPr>
          <w:p w14:paraId="73EB402C" w14:textId="77777777" w:rsidR="00B62344" w:rsidRPr="002365AC" w:rsidRDefault="00B62344">
            <w:pPr>
              <w:spacing w:before="120" w:after="120"/>
              <w:jc w:val="center"/>
              <w:rPr>
                <w:b/>
                <w:bCs/>
                <w:szCs w:val="24"/>
              </w:rPr>
            </w:pPr>
          </w:p>
        </w:tc>
        <w:tc>
          <w:tcPr>
            <w:tcW w:w="1710" w:type="pct"/>
            <w:gridSpan w:val="2"/>
            <w:shd w:val="clear" w:color="auto" w:fill="D9D9D9" w:themeFill="background1" w:themeFillShade="D9"/>
          </w:tcPr>
          <w:p w14:paraId="2309CF0C" w14:textId="77777777" w:rsidR="00B62344" w:rsidRPr="002365AC" w:rsidRDefault="00B62344">
            <w:pPr>
              <w:spacing w:before="120" w:after="120"/>
              <w:jc w:val="center"/>
              <w:rPr>
                <w:b/>
                <w:bCs/>
                <w:szCs w:val="24"/>
              </w:rPr>
            </w:pPr>
            <w:r w:rsidRPr="002365AC">
              <w:rPr>
                <w:b/>
                <w:bCs/>
                <w:szCs w:val="24"/>
              </w:rPr>
              <w:t>If…</w:t>
            </w:r>
          </w:p>
        </w:tc>
        <w:tc>
          <w:tcPr>
            <w:tcW w:w="2998" w:type="pct"/>
            <w:gridSpan w:val="2"/>
            <w:shd w:val="clear" w:color="auto" w:fill="D9D9D9" w:themeFill="background1" w:themeFillShade="D9"/>
          </w:tcPr>
          <w:p w14:paraId="4A58CAF6" w14:textId="77777777" w:rsidR="00B62344" w:rsidRPr="002365AC" w:rsidRDefault="00B62344">
            <w:pPr>
              <w:spacing w:before="120" w:after="120"/>
              <w:jc w:val="center"/>
              <w:rPr>
                <w:b/>
                <w:bCs/>
                <w:szCs w:val="24"/>
              </w:rPr>
            </w:pPr>
            <w:r w:rsidRPr="002365AC">
              <w:rPr>
                <w:b/>
                <w:bCs/>
                <w:szCs w:val="24"/>
              </w:rPr>
              <w:t>Then…</w:t>
            </w:r>
          </w:p>
        </w:tc>
      </w:tr>
      <w:tr w:rsidR="00B62344" w:rsidRPr="002365AC" w14:paraId="48E2EC00" w14:textId="77777777" w:rsidTr="004A7378">
        <w:trPr>
          <w:trHeight w:val="26"/>
        </w:trPr>
        <w:tc>
          <w:tcPr>
            <w:tcW w:w="292" w:type="pct"/>
            <w:vMerge/>
          </w:tcPr>
          <w:p w14:paraId="01BC25B2" w14:textId="77777777" w:rsidR="00B62344" w:rsidRPr="002365AC" w:rsidRDefault="00B62344">
            <w:pPr>
              <w:spacing w:before="120" w:after="120"/>
              <w:jc w:val="center"/>
              <w:rPr>
                <w:b/>
                <w:bCs/>
                <w:szCs w:val="24"/>
              </w:rPr>
            </w:pPr>
          </w:p>
        </w:tc>
        <w:tc>
          <w:tcPr>
            <w:tcW w:w="1710" w:type="pct"/>
            <w:gridSpan w:val="2"/>
          </w:tcPr>
          <w:p w14:paraId="29FECB13" w14:textId="77777777" w:rsidR="00B62344" w:rsidRPr="002365AC" w:rsidRDefault="00B62344">
            <w:pPr>
              <w:spacing w:before="120" w:after="120"/>
              <w:rPr>
                <w:szCs w:val="24"/>
              </w:rPr>
            </w:pPr>
            <w:proofErr w:type="gramStart"/>
            <w:r w:rsidRPr="002365AC">
              <w:rPr>
                <w:szCs w:val="24"/>
              </w:rPr>
              <w:t>Member is</w:t>
            </w:r>
            <w:proofErr w:type="gramEnd"/>
            <w:r w:rsidRPr="002365AC">
              <w:rPr>
                <w:szCs w:val="24"/>
              </w:rPr>
              <w:t xml:space="preserve"> satisfied with alternatives</w:t>
            </w:r>
          </w:p>
        </w:tc>
        <w:tc>
          <w:tcPr>
            <w:tcW w:w="2998" w:type="pct"/>
            <w:gridSpan w:val="2"/>
          </w:tcPr>
          <w:p w14:paraId="2EC14E3B" w14:textId="77777777" w:rsidR="00B62344" w:rsidRPr="002365AC" w:rsidRDefault="00B62344">
            <w:pPr>
              <w:spacing w:before="120" w:after="120"/>
              <w:rPr>
                <w:szCs w:val="24"/>
              </w:rPr>
            </w:pPr>
            <w:r w:rsidRPr="002365AC">
              <w:rPr>
                <w:szCs w:val="24"/>
              </w:rPr>
              <w:t>No ePA is needed.</w:t>
            </w:r>
          </w:p>
        </w:tc>
      </w:tr>
      <w:tr w:rsidR="00B62344" w:rsidRPr="002365AC" w14:paraId="1C748B48" w14:textId="77777777" w:rsidTr="004A7378">
        <w:trPr>
          <w:trHeight w:val="26"/>
        </w:trPr>
        <w:tc>
          <w:tcPr>
            <w:tcW w:w="292" w:type="pct"/>
            <w:vMerge/>
          </w:tcPr>
          <w:p w14:paraId="4484892D" w14:textId="77777777" w:rsidR="00B62344" w:rsidRPr="002365AC" w:rsidRDefault="00B62344">
            <w:pPr>
              <w:spacing w:before="120" w:after="120"/>
              <w:jc w:val="center"/>
              <w:rPr>
                <w:b/>
                <w:bCs/>
                <w:szCs w:val="24"/>
              </w:rPr>
            </w:pPr>
          </w:p>
        </w:tc>
        <w:tc>
          <w:tcPr>
            <w:tcW w:w="1710" w:type="pct"/>
            <w:gridSpan w:val="2"/>
          </w:tcPr>
          <w:p w14:paraId="2B8F60A3" w14:textId="77777777" w:rsidR="00B62344" w:rsidRPr="002365AC" w:rsidRDefault="00B62344">
            <w:pPr>
              <w:spacing w:before="120" w:after="120"/>
              <w:rPr>
                <w:szCs w:val="24"/>
              </w:rPr>
            </w:pPr>
            <w:proofErr w:type="gramStart"/>
            <w:r w:rsidRPr="002365AC">
              <w:rPr>
                <w:szCs w:val="24"/>
              </w:rPr>
              <w:t>Member</w:t>
            </w:r>
            <w:proofErr w:type="gramEnd"/>
            <w:r w:rsidRPr="002365AC">
              <w:rPr>
                <w:szCs w:val="24"/>
              </w:rPr>
              <w:t xml:space="preserve"> would like to start Prior Authorization or Clinical Exception process</w:t>
            </w:r>
          </w:p>
        </w:tc>
        <w:tc>
          <w:tcPr>
            <w:tcW w:w="2998" w:type="pct"/>
            <w:gridSpan w:val="2"/>
          </w:tcPr>
          <w:p w14:paraId="367B0629" w14:textId="77777777" w:rsidR="00B62344" w:rsidRPr="002365AC" w:rsidRDefault="00B62344">
            <w:pPr>
              <w:spacing w:before="120" w:after="120"/>
              <w:rPr>
                <w:szCs w:val="24"/>
              </w:rPr>
            </w:pPr>
            <w:r w:rsidRPr="002365AC">
              <w:rPr>
                <w:szCs w:val="24"/>
              </w:rPr>
              <w:t xml:space="preserve">Proceed to </w:t>
            </w:r>
            <w:proofErr w:type="gramStart"/>
            <w:r w:rsidRPr="002365AC">
              <w:rPr>
                <w:szCs w:val="24"/>
              </w:rPr>
              <w:t>next</w:t>
            </w:r>
            <w:proofErr w:type="gramEnd"/>
            <w:r w:rsidRPr="002365AC">
              <w:rPr>
                <w:szCs w:val="24"/>
              </w:rPr>
              <w:t xml:space="preserve"> step.</w:t>
            </w:r>
          </w:p>
          <w:p w14:paraId="28A82E89" w14:textId="77777777" w:rsidR="00B62344" w:rsidRPr="002365AC" w:rsidRDefault="00B62344">
            <w:pPr>
              <w:spacing w:before="120" w:after="120"/>
              <w:rPr>
                <w:szCs w:val="24"/>
              </w:rPr>
            </w:pPr>
          </w:p>
          <w:p w14:paraId="570DF6DD" w14:textId="1D2B037A" w:rsidR="00B62344" w:rsidRPr="002365AC" w:rsidRDefault="00B62344">
            <w:pPr>
              <w:spacing w:before="120" w:after="120"/>
              <w:rPr>
                <w:szCs w:val="24"/>
              </w:rPr>
            </w:pPr>
            <w:r w:rsidRPr="002365AC">
              <w:rPr>
                <w:b/>
                <w:bCs/>
                <w:szCs w:val="24"/>
              </w:rPr>
              <w:t>Notes:</w:t>
            </w:r>
            <w:r w:rsidRPr="002365AC">
              <w:rPr>
                <w:szCs w:val="24"/>
              </w:rPr>
              <w:t xml:space="preserve"> When a plan’s </w:t>
            </w:r>
            <w:proofErr w:type="gramStart"/>
            <w:r w:rsidRPr="002365AC">
              <w:rPr>
                <w:szCs w:val="24"/>
              </w:rPr>
              <w:t>formulary is</w:t>
            </w:r>
            <w:proofErr w:type="gramEnd"/>
            <w:r w:rsidRPr="002365AC">
              <w:rPr>
                <w:szCs w:val="24"/>
              </w:rPr>
              <w:t xml:space="preserve"> set to change in the future but hasn’t yet been updated, members may receive a letter informing them of the upcoming change. This letter will detail the medication affected and explain that a PA will be needed for that medication after the specified date.</w:t>
            </w:r>
          </w:p>
          <w:p w14:paraId="4DC465DC" w14:textId="77777777" w:rsidR="00B62344" w:rsidRPr="002365AC" w:rsidRDefault="00B62344">
            <w:pPr>
              <w:pStyle w:val="ListParagraph"/>
              <w:numPr>
                <w:ilvl w:val="0"/>
                <w:numId w:val="5"/>
              </w:numPr>
              <w:spacing w:before="120" w:after="120" w:line="240" w:lineRule="auto"/>
              <w:contextualSpacing/>
              <w:rPr>
                <w:szCs w:val="24"/>
              </w:rPr>
            </w:pPr>
            <w:r w:rsidRPr="002365AC">
              <w:rPr>
                <w:szCs w:val="24"/>
              </w:rPr>
              <w:t xml:space="preserve">Until the actual date of change, the member’s plan remains coded according to the current plan rules and formulary. </w:t>
            </w:r>
          </w:p>
          <w:p w14:paraId="02848024" w14:textId="77777777" w:rsidR="00B62344" w:rsidRPr="002365AC" w:rsidRDefault="00B62344">
            <w:pPr>
              <w:pStyle w:val="ListParagraph"/>
              <w:numPr>
                <w:ilvl w:val="0"/>
                <w:numId w:val="5"/>
              </w:numPr>
              <w:spacing w:before="120" w:after="120" w:line="240" w:lineRule="auto"/>
              <w:contextualSpacing/>
              <w:rPr>
                <w:szCs w:val="24"/>
              </w:rPr>
            </w:pPr>
            <w:r w:rsidRPr="002365AC">
              <w:rPr>
                <w:szCs w:val="24"/>
              </w:rPr>
              <w:lastRenderedPageBreak/>
              <w:t xml:space="preserve">Due to this, if you run test claims, including future dated test claims, the results will not reflect correctly. </w:t>
            </w:r>
          </w:p>
          <w:p w14:paraId="3034A90A" w14:textId="77777777" w:rsidR="00B62344" w:rsidRPr="002365AC" w:rsidRDefault="00B62344">
            <w:pPr>
              <w:pStyle w:val="ListParagraph"/>
              <w:numPr>
                <w:ilvl w:val="0"/>
                <w:numId w:val="5"/>
              </w:numPr>
              <w:spacing w:before="120" w:after="120" w:line="240" w:lineRule="auto"/>
              <w:contextualSpacing/>
              <w:rPr>
                <w:szCs w:val="24"/>
              </w:rPr>
            </w:pPr>
            <w:r w:rsidRPr="002365AC">
              <w:rPr>
                <w:szCs w:val="24"/>
              </w:rPr>
              <w:t>Only on/after the actual date of the change will the systems be updated, and test claims will provide accurate information.</w:t>
            </w:r>
          </w:p>
          <w:p w14:paraId="6F45B4CE" w14:textId="77777777" w:rsidR="00B62344" w:rsidRPr="002365AC" w:rsidRDefault="00B62344">
            <w:pPr>
              <w:pStyle w:val="ListParagraph"/>
              <w:numPr>
                <w:ilvl w:val="0"/>
                <w:numId w:val="5"/>
              </w:numPr>
              <w:spacing w:before="120" w:after="120" w:line="240" w:lineRule="auto"/>
              <w:contextualSpacing/>
              <w:rPr>
                <w:szCs w:val="24"/>
              </w:rPr>
            </w:pPr>
            <w:r w:rsidRPr="002365AC">
              <w:rPr>
                <w:szCs w:val="24"/>
              </w:rPr>
              <w:t xml:space="preserve">We </w:t>
            </w:r>
            <w:r w:rsidRPr="002365AC">
              <w:rPr>
                <w:b/>
                <w:bCs/>
                <w:szCs w:val="24"/>
              </w:rPr>
              <w:t>cannot</w:t>
            </w:r>
            <w:r w:rsidRPr="002365AC">
              <w:rPr>
                <w:szCs w:val="24"/>
              </w:rPr>
              <w:t xml:space="preserve"> start the PA process until the actual date of the change. </w:t>
            </w:r>
          </w:p>
          <w:p w14:paraId="256AE23C" w14:textId="77777777" w:rsidR="00B62344" w:rsidRDefault="00B62344">
            <w:pPr>
              <w:pStyle w:val="ListParagraph"/>
              <w:numPr>
                <w:ilvl w:val="0"/>
                <w:numId w:val="5"/>
              </w:numPr>
              <w:spacing w:before="120" w:after="120" w:line="240" w:lineRule="auto"/>
              <w:contextualSpacing/>
              <w:rPr>
                <w:szCs w:val="24"/>
              </w:rPr>
            </w:pPr>
            <w:r w:rsidRPr="002365AC">
              <w:rPr>
                <w:szCs w:val="24"/>
              </w:rPr>
              <w:t>These notes also apply to Caremark.com.</w:t>
            </w:r>
          </w:p>
          <w:p w14:paraId="60364150" w14:textId="77777777" w:rsidR="004A7378" w:rsidRPr="004A7378" w:rsidRDefault="004A7378" w:rsidP="00BB74F5">
            <w:pPr>
              <w:spacing w:before="120" w:after="120" w:line="240" w:lineRule="auto"/>
              <w:contextualSpacing/>
              <w:rPr>
                <w:szCs w:val="24"/>
              </w:rPr>
            </w:pPr>
          </w:p>
        </w:tc>
      </w:tr>
      <w:tr w:rsidR="00B62344" w:rsidRPr="002365AC" w14:paraId="3F66B660" w14:textId="77777777" w:rsidTr="004A7378">
        <w:trPr>
          <w:trHeight w:val="30"/>
        </w:trPr>
        <w:tc>
          <w:tcPr>
            <w:tcW w:w="292" w:type="pct"/>
            <w:vMerge w:val="restart"/>
          </w:tcPr>
          <w:p w14:paraId="3E100E3E" w14:textId="77777777" w:rsidR="00B62344" w:rsidRPr="002365AC" w:rsidRDefault="00B62344">
            <w:pPr>
              <w:spacing w:before="120" w:after="120"/>
              <w:jc w:val="center"/>
              <w:rPr>
                <w:b/>
                <w:bCs/>
                <w:szCs w:val="24"/>
              </w:rPr>
            </w:pPr>
            <w:r w:rsidRPr="002365AC">
              <w:rPr>
                <w:b/>
                <w:bCs/>
                <w:szCs w:val="24"/>
              </w:rPr>
              <w:lastRenderedPageBreak/>
              <w:t>3</w:t>
            </w:r>
          </w:p>
        </w:tc>
        <w:tc>
          <w:tcPr>
            <w:tcW w:w="4708" w:type="pct"/>
            <w:gridSpan w:val="4"/>
          </w:tcPr>
          <w:p w14:paraId="08FF2623" w14:textId="77777777" w:rsidR="00B62344" w:rsidRPr="002365AC" w:rsidRDefault="00B62344">
            <w:pPr>
              <w:spacing w:before="120" w:after="120"/>
              <w:rPr>
                <w:szCs w:val="24"/>
              </w:rPr>
            </w:pPr>
            <w:r w:rsidRPr="002365AC">
              <w:rPr>
                <w:szCs w:val="24"/>
              </w:rPr>
              <w:t xml:space="preserve">Review for an existing Prior Authorization or Clinical Exception request. </w:t>
            </w:r>
          </w:p>
        </w:tc>
      </w:tr>
      <w:tr w:rsidR="00B62344" w:rsidRPr="002365AC" w14:paraId="0CDCB85E" w14:textId="77777777" w:rsidTr="004A7378">
        <w:trPr>
          <w:trHeight w:val="30"/>
        </w:trPr>
        <w:tc>
          <w:tcPr>
            <w:tcW w:w="292" w:type="pct"/>
            <w:vMerge/>
          </w:tcPr>
          <w:p w14:paraId="626F5A6A" w14:textId="77777777" w:rsidR="00B62344" w:rsidRPr="002365AC" w:rsidRDefault="00B62344">
            <w:pPr>
              <w:spacing w:before="120" w:after="120"/>
              <w:jc w:val="center"/>
              <w:rPr>
                <w:b/>
                <w:bCs/>
                <w:szCs w:val="24"/>
              </w:rPr>
            </w:pPr>
          </w:p>
        </w:tc>
        <w:tc>
          <w:tcPr>
            <w:tcW w:w="1710" w:type="pct"/>
            <w:gridSpan w:val="2"/>
            <w:shd w:val="clear" w:color="auto" w:fill="D9D9D9" w:themeFill="background1" w:themeFillShade="D9"/>
          </w:tcPr>
          <w:p w14:paraId="64EC70AB" w14:textId="77777777" w:rsidR="00B62344" w:rsidRPr="002365AC" w:rsidRDefault="00B62344">
            <w:pPr>
              <w:spacing w:before="120" w:after="120"/>
              <w:jc w:val="center"/>
              <w:rPr>
                <w:b/>
                <w:bCs/>
                <w:szCs w:val="24"/>
              </w:rPr>
            </w:pPr>
            <w:r w:rsidRPr="002365AC">
              <w:rPr>
                <w:b/>
                <w:bCs/>
                <w:szCs w:val="24"/>
              </w:rPr>
              <w:t>If…</w:t>
            </w:r>
          </w:p>
        </w:tc>
        <w:tc>
          <w:tcPr>
            <w:tcW w:w="2998" w:type="pct"/>
            <w:gridSpan w:val="2"/>
            <w:shd w:val="clear" w:color="auto" w:fill="D9D9D9" w:themeFill="background1" w:themeFillShade="D9"/>
          </w:tcPr>
          <w:p w14:paraId="5DAB39FE" w14:textId="77777777" w:rsidR="00B62344" w:rsidRPr="002365AC" w:rsidRDefault="00B62344">
            <w:pPr>
              <w:spacing w:before="120" w:after="120"/>
              <w:jc w:val="center"/>
              <w:rPr>
                <w:b/>
                <w:bCs/>
                <w:szCs w:val="24"/>
              </w:rPr>
            </w:pPr>
            <w:r w:rsidRPr="002365AC">
              <w:rPr>
                <w:b/>
                <w:bCs/>
                <w:szCs w:val="24"/>
              </w:rPr>
              <w:t>Then…</w:t>
            </w:r>
          </w:p>
        </w:tc>
      </w:tr>
      <w:tr w:rsidR="00B62344" w:rsidRPr="002365AC" w14:paraId="485263BA" w14:textId="77777777" w:rsidTr="004A7378">
        <w:trPr>
          <w:trHeight w:val="30"/>
        </w:trPr>
        <w:tc>
          <w:tcPr>
            <w:tcW w:w="292" w:type="pct"/>
            <w:vMerge/>
          </w:tcPr>
          <w:p w14:paraId="0A99A1A1" w14:textId="77777777" w:rsidR="00B62344" w:rsidRPr="002365AC" w:rsidRDefault="00B62344">
            <w:pPr>
              <w:spacing w:before="120" w:after="120"/>
              <w:jc w:val="center"/>
              <w:rPr>
                <w:b/>
                <w:bCs/>
                <w:szCs w:val="24"/>
              </w:rPr>
            </w:pPr>
          </w:p>
        </w:tc>
        <w:tc>
          <w:tcPr>
            <w:tcW w:w="1710" w:type="pct"/>
            <w:gridSpan w:val="2"/>
          </w:tcPr>
          <w:p w14:paraId="42DA48CC" w14:textId="77777777" w:rsidR="00B62344" w:rsidRPr="002365AC" w:rsidRDefault="00B62344">
            <w:pPr>
              <w:spacing w:before="120" w:after="120"/>
              <w:rPr>
                <w:szCs w:val="24"/>
              </w:rPr>
            </w:pPr>
            <w:r w:rsidRPr="002365AC">
              <w:rPr>
                <w:szCs w:val="24"/>
              </w:rPr>
              <w:t>Member has a PA or Clinical Exception on file</w:t>
            </w:r>
          </w:p>
        </w:tc>
        <w:tc>
          <w:tcPr>
            <w:tcW w:w="2998" w:type="pct"/>
            <w:gridSpan w:val="2"/>
          </w:tcPr>
          <w:p w14:paraId="4B279380" w14:textId="77777777" w:rsidR="00B62344" w:rsidRPr="002365AC" w:rsidRDefault="00B62344">
            <w:pPr>
              <w:spacing w:before="120" w:after="120"/>
              <w:rPr>
                <w:szCs w:val="24"/>
              </w:rPr>
            </w:pPr>
            <w:r w:rsidRPr="002365AC">
              <w:rPr>
                <w:szCs w:val="24"/>
              </w:rPr>
              <w:t xml:space="preserve">Refer to </w:t>
            </w:r>
            <w:hyperlink r:id="rId25" w:anchor="!/view?docid=6d3aac37-46a9-4417-ac20-fa3a32337652" w:history="1">
              <w:r w:rsidRPr="002365AC">
                <w:rPr>
                  <w:rStyle w:val="Hyperlink"/>
                </w:rPr>
                <w:t>Compass – Viewing and Advising on Prior Authorization (PA) or Clinical Exception Status (056368)</w:t>
              </w:r>
            </w:hyperlink>
            <w:r w:rsidRPr="002365AC">
              <w:rPr>
                <w:szCs w:val="24"/>
              </w:rPr>
              <w:t>.</w:t>
            </w:r>
          </w:p>
        </w:tc>
      </w:tr>
      <w:tr w:rsidR="00B62344" w:rsidRPr="002365AC" w14:paraId="116ACF9C" w14:textId="77777777" w:rsidTr="004A7378">
        <w:trPr>
          <w:trHeight w:val="30"/>
        </w:trPr>
        <w:tc>
          <w:tcPr>
            <w:tcW w:w="292" w:type="pct"/>
            <w:vMerge/>
          </w:tcPr>
          <w:p w14:paraId="1BC8A253" w14:textId="77777777" w:rsidR="00B62344" w:rsidRPr="002365AC" w:rsidRDefault="00B62344">
            <w:pPr>
              <w:spacing w:before="120" w:after="120"/>
              <w:jc w:val="center"/>
              <w:rPr>
                <w:b/>
                <w:bCs/>
                <w:szCs w:val="24"/>
              </w:rPr>
            </w:pPr>
          </w:p>
        </w:tc>
        <w:tc>
          <w:tcPr>
            <w:tcW w:w="1710" w:type="pct"/>
            <w:gridSpan w:val="2"/>
          </w:tcPr>
          <w:p w14:paraId="7B081620" w14:textId="77777777" w:rsidR="00B62344" w:rsidRPr="002365AC" w:rsidRDefault="00B62344">
            <w:pPr>
              <w:spacing w:before="120" w:after="120"/>
              <w:rPr>
                <w:szCs w:val="24"/>
              </w:rPr>
            </w:pPr>
            <w:r w:rsidRPr="002365AC">
              <w:rPr>
                <w:szCs w:val="24"/>
              </w:rPr>
              <w:t>Member does not have PA or Clinical Exception on file</w:t>
            </w:r>
          </w:p>
        </w:tc>
        <w:tc>
          <w:tcPr>
            <w:tcW w:w="2998" w:type="pct"/>
            <w:gridSpan w:val="2"/>
          </w:tcPr>
          <w:p w14:paraId="0045D0E0" w14:textId="77777777" w:rsidR="00B62344" w:rsidRPr="002365AC" w:rsidRDefault="00B62344">
            <w:pPr>
              <w:spacing w:before="120" w:after="120"/>
              <w:rPr>
                <w:szCs w:val="24"/>
              </w:rPr>
            </w:pPr>
            <w:r w:rsidRPr="002365AC">
              <w:rPr>
                <w:szCs w:val="24"/>
              </w:rPr>
              <w:t xml:space="preserve">Proceed to </w:t>
            </w:r>
            <w:proofErr w:type="gramStart"/>
            <w:r w:rsidRPr="002365AC">
              <w:rPr>
                <w:szCs w:val="24"/>
              </w:rPr>
              <w:t>next</w:t>
            </w:r>
            <w:proofErr w:type="gramEnd"/>
            <w:r w:rsidRPr="002365AC">
              <w:rPr>
                <w:szCs w:val="24"/>
              </w:rPr>
              <w:t xml:space="preserve"> step.</w:t>
            </w:r>
          </w:p>
        </w:tc>
      </w:tr>
      <w:tr w:rsidR="00B62344" w:rsidRPr="002365AC" w14:paraId="6684F4E2" w14:textId="77777777" w:rsidTr="004A7378">
        <w:trPr>
          <w:trHeight w:val="26"/>
        </w:trPr>
        <w:tc>
          <w:tcPr>
            <w:tcW w:w="292" w:type="pct"/>
            <w:vMerge w:val="restart"/>
          </w:tcPr>
          <w:p w14:paraId="49AB49EC" w14:textId="77777777" w:rsidR="00B62344" w:rsidRPr="002365AC" w:rsidRDefault="00B62344">
            <w:pPr>
              <w:spacing w:before="120" w:after="120"/>
              <w:jc w:val="center"/>
              <w:rPr>
                <w:b/>
                <w:bCs/>
                <w:szCs w:val="24"/>
              </w:rPr>
            </w:pPr>
            <w:r w:rsidRPr="002365AC">
              <w:rPr>
                <w:b/>
                <w:bCs/>
                <w:szCs w:val="24"/>
              </w:rPr>
              <w:t>4</w:t>
            </w:r>
          </w:p>
        </w:tc>
        <w:tc>
          <w:tcPr>
            <w:tcW w:w="4708" w:type="pct"/>
            <w:gridSpan w:val="4"/>
          </w:tcPr>
          <w:p w14:paraId="4B3FB80F" w14:textId="7F73EBD3" w:rsidR="00B62344" w:rsidRPr="002365AC" w:rsidRDefault="00B62344">
            <w:pPr>
              <w:spacing w:before="120" w:after="120"/>
              <w:rPr>
                <w:szCs w:val="24"/>
              </w:rPr>
            </w:pPr>
            <w:r w:rsidRPr="002365AC">
              <w:rPr>
                <w:szCs w:val="24"/>
              </w:rPr>
              <w:t>Assist member with Prior Authorization or Clinical Exception request as follows:</w:t>
            </w:r>
            <w:r w:rsidRPr="002365AC">
              <w:rPr>
                <w:szCs w:val="24"/>
              </w:rPr>
              <w:br/>
            </w:r>
            <w:r w:rsidRPr="002365AC">
              <w:rPr>
                <w:szCs w:val="24"/>
              </w:rPr>
              <w:br/>
            </w:r>
            <w:r w:rsidRPr="002365AC">
              <w:rPr>
                <w:b/>
                <w:bCs/>
                <w:szCs w:val="24"/>
              </w:rPr>
              <w:t>Note: Always</w:t>
            </w:r>
            <w:r w:rsidRPr="002365AC">
              <w:rPr>
                <w:szCs w:val="24"/>
              </w:rPr>
              <w:t xml:space="preserve"> refer to the CIF to determine who handles Prior Authorizations and for any plan specific instructions.</w:t>
            </w:r>
          </w:p>
        </w:tc>
      </w:tr>
      <w:tr w:rsidR="00B62344" w:rsidRPr="002365AC" w14:paraId="4C5A73D3" w14:textId="77777777" w:rsidTr="004A7378">
        <w:trPr>
          <w:trHeight w:val="26"/>
        </w:trPr>
        <w:tc>
          <w:tcPr>
            <w:tcW w:w="292" w:type="pct"/>
            <w:vMerge/>
          </w:tcPr>
          <w:p w14:paraId="15B36F5A" w14:textId="77777777" w:rsidR="00B62344" w:rsidRPr="002365AC" w:rsidRDefault="00B62344">
            <w:pPr>
              <w:spacing w:before="120" w:after="120"/>
              <w:jc w:val="center"/>
              <w:rPr>
                <w:b/>
                <w:bCs/>
                <w:szCs w:val="24"/>
              </w:rPr>
            </w:pPr>
          </w:p>
        </w:tc>
        <w:tc>
          <w:tcPr>
            <w:tcW w:w="1368" w:type="pct"/>
            <w:shd w:val="clear" w:color="auto" w:fill="D9D9D9" w:themeFill="background1" w:themeFillShade="D9"/>
          </w:tcPr>
          <w:p w14:paraId="1FC37CBB" w14:textId="77777777" w:rsidR="00B62344" w:rsidRPr="002365AC" w:rsidRDefault="00B62344">
            <w:pPr>
              <w:spacing w:before="120" w:after="120"/>
              <w:jc w:val="center"/>
              <w:rPr>
                <w:szCs w:val="24"/>
              </w:rPr>
            </w:pPr>
            <w:r w:rsidRPr="002365AC">
              <w:rPr>
                <w:b/>
                <w:bCs/>
                <w:szCs w:val="24"/>
              </w:rPr>
              <w:t>If…</w:t>
            </w:r>
          </w:p>
        </w:tc>
        <w:tc>
          <w:tcPr>
            <w:tcW w:w="3340" w:type="pct"/>
            <w:gridSpan w:val="3"/>
            <w:shd w:val="clear" w:color="auto" w:fill="D9D9D9" w:themeFill="background1" w:themeFillShade="D9"/>
          </w:tcPr>
          <w:p w14:paraId="2994CBC8" w14:textId="77777777" w:rsidR="00B62344" w:rsidRPr="002365AC" w:rsidRDefault="00B62344">
            <w:pPr>
              <w:spacing w:before="120" w:after="120"/>
              <w:jc w:val="center"/>
              <w:rPr>
                <w:szCs w:val="24"/>
              </w:rPr>
            </w:pPr>
            <w:r w:rsidRPr="002365AC">
              <w:rPr>
                <w:b/>
                <w:bCs/>
                <w:szCs w:val="24"/>
              </w:rPr>
              <w:t>Then…</w:t>
            </w:r>
          </w:p>
        </w:tc>
      </w:tr>
      <w:tr w:rsidR="00B62344" w:rsidRPr="002365AC" w14:paraId="35306CA1" w14:textId="77777777" w:rsidTr="004A7378">
        <w:trPr>
          <w:trHeight w:val="26"/>
        </w:trPr>
        <w:tc>
          <w:tcPr>
            <w:tcW w:w="292" w:type="pct"/>
            <w:vMerge/>
          </w:tcPr>
          <w:p w14:paraId="451A3A06" w14:textId="77777777" w:rsidR="00B62344" w:rsidRPr="002365AC" w:rsidRDefault="00B62344">
            <w:pPr>
              <w:spacing w:before="120" w:after="120"/>
              <w:jc w:val="center"/>
              <w:rPr>
                <w:b/>
                <w:bCs/>
                <w:szCs w:val="24"/>
              </w:rPr>
            </w:pPr>
          </w:p>
        </w:tc>
        <w:tc>
          <w:tcPr>
            <w:tcW w:w="1368" w:type="pct"/>
          </w:tcPr>
          <w:p w14:paraId="1A30BFE4" w14:textId="77777777" w:rsidR="00B62344" w:rsidRPr="002365AC" w:rsidRDefault="00B62344">
            <w:pPr>
              <w:spacing w:before="120" w:after="120"/>
              <w:rPr>
                <w:szCs w:val="24"/>
              </w:rPr>
            </w:pPr>
            <w:r w:rsidRPr="002365AC">
              <w:rPr>
                <w:szCs w:val="24"/>
              </w:rPr>
              <w:t>Medication is a specialty medication</w:t>
            </w:r>
          </w:p>
          <w:p w14:paraId="5B3E3AC9" w14:textId="77777777" w:rsidR="00B62344" w:rsidRPr="002365AC" w:rsidRDefault="00B62344">
            <w:pPr>
              <w:spacing w:before="120" w:after="120"/>
              <w:rPr>
                <w:szCs w:val="24"/>
              </w:rPr>
            </w:pPr>
          </w:p>
        </w:tc>
        <w:tc>
          <w:tcPr>
            <w:tcW w:w="3340" w:type="pct"/>
            <w:gridSpan w:val="3"/>
          </w:tcPr>
          <w:p w14:paraId="7D620A41" w14:textId="77777777" w:rsidR="00B62344" w:rsidRPr="002365AC" w:rsidRDefault="00B62344">
            <w:pPr>
              <w:spacing w:before="120" w:after="120"/>
              <w:rPr>
                <w:szCs w:val="24"/>
              </w:rPr>
            </w:pPr>
            <w:r w:rsidRPr="002365AC">
              <w:rPr>
                <w:szCs w:val="24"/>
              </w:rPr>
              <w:t xml:space="preserve">Specialty handles its own medication authorization. Refer to </w:t>
            </w:r>
            <w:hyperlink r:id="rId26" w:anchor="!/view?docid=845064bd-8ae0-4d30-af0a-e21d6d81933c" w:history="1">
              <w:r w:rsidRPr="002365AC">
                <w:rPr>
                  <w:rStyle w:val="Hyperlink"/>
                </w:rPr>
                <w:t>Compass - Specialty Pharmacy (CTS – Caremark Therapeutic Pharmacy Services) Call Handling (058175)</w:t>
              </w:r>
            </w:hyperlink>
            <w:r w:rsidRPr="002365AC">
              <w:rPr>
                <w:szCs w:val="24"/>
              </w:rPr>
              <w:t>.</w:t>
            </w:r>
          </w:p>
        </w:tc>
      </w:tr>
      <w:tr w:rsidR="00B62344" w:rsidRPr="002365AC" w14:paraId="3C20853C" w14:textId="77777777" w:rsidTr="004A7378">
        <w:trPr>
          <w:trHeight w:val="26"/>
        </w:trPr>
        <w:tc>
          <w:tcPr>
            <w:tcW w:w="292" w:type="pct"/>
            <w:vMerge/>
          </w:tcPr>
          <w:p w14:paraId="1DC430A3" w14:textId="77777777" w:rsidR="00B62344" w:rsidRPr="002365AC" w:rsidRDefault="00B62344">
            <w:pPr>
              <w:spacing w:before="120" w:after="120"/>
              <w:jc w:val="center"/>
              <w:rPr>
                <w:b/>
                <w:bCs/>
                <w:szCs w:val="24"/>
              </w:rPr>
            </w:pPr>
          </w:p>
        </w:tc>
        <w:tc>
          <w:tcPr>
            <w:tcW w:w="1368" w:type="pct"/>
          </w:tcPr>
          <w:p w14:paraId="0A8A9005" w14:textId="77777777" w:rsidR="00B62344" w:rsidRPr="002365AC" w:rsidRDefault="00B62344">
            <w:pPr>
              <w:spacing w:before="120" w:after="120"/>
              <w:rPr>
                <w:szCs w:val="24"/>
              </w:rPr>
            </w:pPr>
            <w:r w:rsidRPr="002365AC">
              <w:rPr>
                <w:szCs w:val="24"/>
              </w:rPr>
              <w:t>PA or Clinical Exception is on file, but for future date.</w:t>
            </w:r>
          </w:p>
          <w:p w14:paraId="00C3C924" w14:textId="77777777" w:rsidR="00B62344" w:rsidRPr="002365AC" w:rsidRDefault="00B62344">
            <w:pPr>
              <w:spacing w:before="120" w:after="120"/>
              <w:rPr>
                <w:szCs w:val="24"/>
              </w:rPr>
            </w:pPr>
            <w:r w:rsidRPr="002365AC">
              <w:rPr>
                <w:szCs w:val="24"/>
              </w:rPr>
              <w:br/>
            </w:r>
          </w:p>
        </w:tc>
        <w:tc>
          <w:tcPr>
            <w:tcW w:w="3340" w:type="pct"/>
            <w:gridSpan w:val="3"/>
          </w:tcPr>
          <w:p w14:paraId="72081BD4" w14:textId="77777777" w:rsidR="00B62344" w:rsidRPr="002365AC" w:rsidRDefault="00B62344">
            <w:pPr>
              <w:spacing w:before="120" w:after="120"/>
              <w:rPr>
                <w:szCs w:val="24"/>
              </w:rPr>
            </w:pPr>
            <w:r w:rsidRPr="002365AC">
              <w:rPr>
                <w:szCs w:val="24"/>
              </w:rPr>
              <w:t xml:space="preserve">Refer to </w:t>
            </w:r>
            <w:hyperlink r:id="rId27" w:anchor="!/view?docid=b3ab218b-4ed8-445b-955e-eaae57a8a8ed" w:history="1">
              <w:r w:rsidRPr="002365AC">
                <w:rPr>
                  <w:rStyle w:val="Hyperlink"/>
                </w:rPr>
                <w:t>Prior Authorization or Clinical Exception Urgent, Duplicate, and Back Dating Requests (059538)</w:t>
              </w:r>
            </w:hyperlink>
            <w:r w:rsidRPr="002365AC">
              <w:rPr>
                <w:szCs w:val="24"/>
              </w:rPr>
              <w:t>.</w:t>
            </w:r>
          </w:p>
        </w:tc>
      </w:tr>
      <w:tr w:rsidR="00B62344" w:rsidRPr="002365AC" w14:paraId="52412510" w14:textId="77777777" w:rsidTr="004A7378">
        <w:trPr>
          <w:trHeight w:val="20"/>
        </w:trPr>
        <w:tc>
          <w:tcPr>
            <w:tcW w:w="292" w:type="pct"/>
            <w:vMerge/>
          </w:tcPr>
          <w:p w14:paraId="46A41F7F" w14:textId="77777777" w:rsidR="00B62344" w:rsidRPr="002365AC" w:rsidRDefault="00B62344">
            <w:pPr>
              <w:spacing w:before="120" w:after="120"/>
              <w:jc w:val="center"/>
              <w:rPr>
                <w:b/>
                <w:bCs/>
                <w:szCs w:val="24"/>
              </w:rPr>
            </w:pPr>
          </w:p>
        </w:tc>
        <w:tc>
          <w:tcPr>
            <w:tcW w:w="1368" w:type="pct"/>
            <w:vMerge w:val="restart"/>
          </w:tcPr>
          <w:p w14:paraId="215916AB" w14:textId="77777777" w:rsidR="00B62344" w:rsidRPr="002365AC" w:rsidRDefault="00B62344">
            <w:pPr>
              <w:spacing w:before="120" w:after="120"/>
              <w:rPr>
                <w:szCs w:val="24"/>
              </w:rPr>
            </w:pPr>
            <w:r w:rsidRPr="002365AC">
              <w:rPr>
                <w:szCs w:val="24"/>
              </w:rPr>
              <w:t xml:space="preserve">PA or Clinical Exception is required, and </w:t>
            </w:r>
            <w:r w:rsidRPr="002365AC">
              <w:rPr>
                <w:b/>
                <w:bCs/>
                <w:szCs w:val="24"/>
              </w:rPr>
              <w:t>no</w:t>
            </w:r>
            <w:r w:rsidRPr="002365AC">
              <w:rPr>
                <w:szCs w:val="24"/>
              </w:rPr>
              <w:t xml:space="preserve"> PA is on file</w:t>
            </w:r>
          </w:p>
          <w:p w14:paraId="71C75531" w14:textId="77777777" w:rsidR="00B62344" w:rsidRPr="002365AC" w:rsidRDefault="00B62344">
            <w:pPr>
              <w:spacing w:before="120" w:after="120"/>
              <w:rPr>
                <w:szCs w:val="24"/>
              </w:rPr>
            </w:pPr>
          </w:p>
        </w:tc>
        <w:tc>
          <w:tcPr>
            <w:tcW w:w="1466" w:type="pct"/>
            <w:gridSpan w:val="2"/>
            <w:shd w:val="clear" w:color="auto" w:fill="D9D9D9" w:themeFill="background1" w:themeFillShade="D9"/>
          </w:tcPr>
          <w:p w14:paraId="071C260D" w14:textId="77777777" w:rsidR="00B62344" w:rsidRPr="002365AC" w:rsidRDefault="00B62344">
            <w:pPr>
              <w:spacing w:before="120" w:after="120"/>
              <w:jc w:val="center"/>
              <w:rPr>
                <w:b/>
                <w:bCs/>
                <w:szCs w:val="24"/>
              </w:rPr>
            </w:pPr>
            <w:r w:rsidRPr="002365AC">
              <w:rPr>
                <w:b/>
                <w:bCs/>
                <w:szCs w:val="24"/>
              </w:rPr>
              <w:t>If the CIF indicates that our PBM…</w:t>
            </w:r>
          </w:p>
        </w:tc>
        <w:tc>
          <w:tcPr>
            <w:tcW w:w="1874" w:type="pct"/>
            <w:shd w:val="clear" w:color="auto" w:fill="D9D9D9" w:themeFill="background1" w:themeFillShade="D9"/>
          </w:tcPr>
          <w:p w14:paraId="5DEC6DE7" w14:textId="77777777" w:rsidR="00B62344" w:rsidRPr="002365AC" w:rsidRDefault="00B62344">
            <w:pPr>
              <w:spacing w:before="120" w:after="120"/>
              <w:jc w:val="center"/>
              <w:rPr>
                <w:b/>
                <w:bCs/>
                <w:szCs w:val="24"/>
              </w:rPr>
            </w:pPr>
            <w:r w:rsidRPr="002365AC">
              <w:rPr>
                <w:b/>
                <w:bCs/>
                <w:szCs w:val="24"/>
              </w:rPr>
              <w:t>Then…</w:t>
            </w:r>
          </w:p>
        </w:tc>
      </w:tr>
      <w:tr w:rsidR="00B62344" w:rsidRPr="002365AC" w14:paraId="1606A420" w14:textId="77777777" w:rsidTr="004A7378">
        <w:trPr>
          <w:trHeight w:val="20"/>
        </w:trPr>
        <w:tc>
          <w:tcPr>
            <w:tcW w:w="292" w:type="pct"/>
            <w:vMerge/>
          </w:tcPr>
          <w:p w14:paraId="2837B11A" w14:textId="77777777" w:rsidR="00B62344" w:rsidRPr="002365AC" w:rsidRDefault="00B62344">
            <w:pPr>
              <w:spacing w:before="120" w:after="120"/>
              <w:jc w:val="center"/>
              <w:rPr>
                <w:b/>
                <w:bCs/>
                <w:szCs w:val="24"/>
              </w:rPr>
            </w:pPr>
          </w:p>
        </w:tc>
        <w:tc>
          <w:tcPr>
            <w:tcW w:w="1368" w:type="pct"/>
            <w:vMerge/>
          </w:tcPr>
          <w:p w14:paraId="7B92078F" w14:textId="77777777" w:rsidR="00B62344" w:rsidRPr="002365AC" w:rsidRDefault="00B62344">
            <w:pPr>
              <w:spacing w:before="120" w:after="120"/>
              <w:rPr>
                <w:szCs w:val="24"/>
              </w:rPr>
            </w:pPr>
          </w:p>
        </w:tc>
        <w:tc>
          <w:tcPr>
            <w:tcW w:w="1466" w:type="pct"/>
            <w:gridSpan w:val="2"/>
          </w:tcPr>
          <w:p w14:paraId="2C390657" w14:textId="77777777" w:rsidR="00B62344" w:rsidRPr="002365AC" w:rsidRDefault="00B62344">
            <w:pPr>
              <w:spacing w:before="120" w:after="120"/>
              <w:rPr>
                <w:szCs w:val="24"/>
              </w:rPr>
            </w:pPr>
            <w:r w:rsidRPr="002365AC">
              <w:rPr>
                <w:szCs w:val="24"/>
              </w:rPr>
              <w:t xml:space="preserve">Handles and the </w:t>
            </w:r>
            <w:r w:rsidRPr="002365AC">
              <w:rPr>
                <w:b/>
                <w:bCs/>
                <w:szCs w:val="24"/>
              </w:rPr>
              <w:t>member</w:t>
            </w:r>
            <w:r w:rsidRPr="002365AC">
              <w:rPr>
                <w:szCs w:val="24"/>
              </w:rPr>
              <w:t xml:space="preserve"> is calling</w:t>
            </w:r>
          </w:p>
        </w:tc>
        <w:tc>
          <w:tcPr>
            <w:tcW w:w="1874" w:type="pct"/>
          </w:tcPr>
          <w:p w14:paraId="22B50828" w14:textId="77777777" w:rsidR="00B62344" w:rsidRPr="002365AC" w:rsidRDefault="00B62344">
            <w:pPr>
              <w:spacing w:before="120" w:after="120"/>
              <w:rPr>
                <w:szCs w:val="24"/>
              </w:rPr>
            </w:pPr>
            <w:r w:rsidRPr="002365AC">
              <w:rPr>
                <w:szCs w:val="24"/>
              </w:rPr>
              <w:t xml:space="preserve">Refer to </w:t>
            </w:r>
            <w:hyperlink r:id="rId28" w:anchor="!/view?docid=18bb86b7-af5b-4f25-af23-9c635e8a0aa4" w:history="1">
              <w:r w:rsidRPr="002365AC">
                <w:rPr>
                  <w:rStyle w:val="Hyperlink"/>
                </w:rPr>
                <w:t>Compass – Initiating an ePA Request (055814)</w:t>
              </w:r>
            </w:hyperlink>
            <w:r w:rsidRPr="002365AC">
              <w:rPr>
                <w:rStyle w:val="Hyperlink"/>
                <w:color w:val="auto"/>
              </w:rPr>
              <w:t>.</w:t>
            </w:r>
          </w:p>
        </w:tc>
      </w:tr>
      <w:tr w:rsidR="00B62344" w:rsidRPr="002365AC" w14:paraId="55478BD5" w14:textId="77777777" w:rsidTr="004A7378">
        <w:trPr>
          <w:trHeight w:val="20"/>
        </w:trPr>
        <w:tc>
          <w:tcPr>
            <w:tcW w:w="292" w:type="pct"/>
            <w:vMerge/>
          </w:tcPr>
          <w:p w14:paraId="17D31EF1" w14:textId="77777777" w:rsidR="00B62344" w:rsidRPr="002365AC" w:rsidRDefault="00B62344">
            <w:pPr>
              <w:spacing w:before="120" w:after="120"/>
              <w:jc w:val="center"/>
              <w:rPr>
                <w:b/>
                <w:bCs/>
                <w:szCs w:val="24"/>
              </w:rPr>
            </w:pPr>
          </w:p>
        </w:tc>
        <w:tc>
          <w:tcPr>
            <w:tcW w:w="1368" w:type="pct"/>
            <w:vMerge/>
          </w:tcPr>
          <w:p w14:paraId="1956C9B0" w14:textId="77777777" w:rsidR="00B62344" w:rsidRPr="002365AC" w:rsidRDefault="00B62344">
            <w:pPr>
              <w:spacing w:before="120" w:after="120"/>
              <w:rPr>
                <w:szCs w:val="24"/>
              </w:rPr>
            </w:pPr>
          </w:p>
        </w:tc>
        <w:tc>
          <w:tcPr>
            <w:tcW w:w="1466" w:type="pct"/>
            <w:gridSpan w:val="2"/>
          </w:tcPr>
          <w:p w14:paraId="31841904" w14:textId="77777777" w:rsidR="00B62344" w:rsidRPr="002365AC" w:rsidRDefault="00B62344">
            <w:pPr>
              <w:spacing w:before="120" w:after="120"/>
              <w:rPr>
                <w:szCs w:val="24"/>
              </w:rPr>
            </w:pPr>
            <w:r w:rsidRPr="002365AC">
              <w:rPr>
                <w:szCs w:val="24"/>
              </w:rPr>
              <w:t xml:space="preserve">Handles and the </w:t>
            </w:r>
            <w:r w:rsidRPr="002365AC">
              <w:rPr>
                <w:b/>
                <w:bCs/>
                <w:szCs w:val="24"/>
              </w:rPr>
              <w:t>prescriber’s office</w:t>
            </w:r>
            <w:r w:rsidRPr="002365AC">
              <w:rPr>
                <w:szCs w:val="24"/>
              </w:rPr>
              <w:t xml:space="preserve"> is calling</w:t>
            </w:r>
          </w:p>
          <w:p w14:paraId="33C06B25" w14:textId="77777777" w:rsidR="00B62344" w:rsidRPr="002365AC" w:rsidRDefault="00B62344">
            <w:pPr>
              <w:tabs>
                <w:tab w:val="left" w:pos="1890"/>
              </w:tabs>
              <w:spacing w:before="120" w:after="120"/>
              <w:rPr>
                <w:b/>
                <w:bCs/>
                <w:szCs w:val="24"/>
              </w:rPr>
            </w:pPr>
            <w:r w:rsidRPr="002365AC">
              <w:rPr>
                <w:szCs w:val="24"/>
              </w:rPr>
              <w:tab/>
            </w:r>
          </w:p>
        </w:tc>
        <w:tc>
          <w:tcPr>
            <w:tcW w:w="1874" w:type="pct"/>
          </w:tcPr>
          <w:p w14:paraId="77DB4939" w14:textId="45C964B5" w:rsidR="00B62344" w:rsidRPr="002365AC" w:rsidRDefault="00B62344">
            <w:pPr>
              <w:spacing w:before="120" w:after="120"/>
              <w:rPr>
                <w:szCs w:val="24"/>
              </w:rPr>
            </w:pPr>
            <w:r w:rsidRPr="002365AC">
              <w:rPr>
                <w:szCs w:val="24"/>
              </w:rPr>
              <w:t xml:space="preserve">Provide the phone number listed in the test claim rejection and offer to </w:t>
            </w:r>
            <w:bookmarkStart w:id="8" w:name="OLE_LINK3"/>
            <w:r w:rsidRPr="002365AC">
              <w:rPr>
                <w:szCs w:val="24"/>
              </w:rPr>
              <w:t>warm transfer</w:t>
            </w:r>
            <w:bookmarkEnd w:id="8"/>
            <w:r w:rsidRPr="002365AC">
              <w:rPr>
                <w:szCs w:val="24"/>
              </w:rPr>
              <w:t xml:space="preserve">. If there is no phone number in the reject or the CIF, </w:t>
            </w:r>
            <w:proofErr w:type="gramStart"/>
            <w:r w:rsidRPr="002365AC">
              <w:rPr>
                <w:szCs w:val="24"/>
              </w:rPr>
              <w:t>warm</w:t>
            </w:r>
            <w:proofErr w:type="gramEnd"/>
            <w:r w:rsidRPr="002365AC">
              <w:rPr>
                <w:szCs w:val="24"/>
              </w:rPr>
              <w:t xml:space="preserve"> transfer to </w:t>
            </w:r>
            <w:r w:rsidRPr="002365AC">
              <w:rPr>
                <w:b/>
                <w:bCs/>
                <w:szCs w:val="24"/>
              </w:rPr>
              <w:t>1-800-294-5979</w:t>
            </w:r>
            <w:r w:rsidRPr="002365AC">
              <w:rPr>
                <w:szCs w:val="24"/>
              </w:rPr>
              <w:t>.</w:t>
            </w:r>
          </w:p>
          <w:p w14:paraId="3295074B" w14:textId="77777777" w:rsidR="00B62344" w:rsidRPr="002365AC" w:rsidRDefault="00B62344">
            <w:pPr>
              <w:spacing w:before="120" w:after="120"/>
              <w:rPr>
                <w:szCs w:val="24"/>
              </w:rPr>
            </w:pPr>
          </w:p>
          <w:p w14:paraId="1A459E31" w14:textId="2DADCBE5" w:rsidR="00B62344" w:rsidRPr="002365AC" w:rsidRDefault="00B62344">
            <w:pPr>
              <w:spacing w:before="120" w:after="120"/>
              <w:rPr>
                <w:szCs w:val="24"/>
              </w:rPr>
            </w:pPr>
            <w:r w:rsidRPr="002365AC">
              <w:rPr>
                <w:b/>
                <w:bCs/>
                <w:szCs w:val="24"/>
              </w:rPr>
              <w:t xml:space="preserve">Note: </w:t>
            </w:r>
            <w:r w:rsidRPr="002365AC">
              <w:rPr>
                <w:szCs w:val="24"/>
              </w:rPr>
              <w:t xml:space="preserve">If after business hours, offer to submit the ePA via Compass. </w:t>
            </w:r>
          </w:p>
          <w:p w14:paraId="7BD27E63" w14:textId="77777777" w:rsidR="00B62344" w:rsidRPr="002365AC" w:rsidRDefault="00B62344">
            <w:pPr>
              <w:spacing w:before="120" w:after="120"/>
              <w:rPr>
                <w:szCs w:val="24"/>
              </w:rPr>
            </w:pPr>
            <w:r w:rsidRPr="002365AC">
              <w:rPr>
                <w:szCs w:val="24"/>
              </w:rPr>
              <w:t xml:space="preserve">Refer to </w:t>
            </w:r>
            <w:hyperlink r:id="rId29" w:anchor="!/view?docid=18bb86b7-af5b-4f25-af23-9c635e8a0aa4" w:history="1">
              <w:r w:rsidRPr="002365AC">
                <w:rPr>
                  <w:rStyle w:val="Hyperlink"/>
                </w:rPr>
                <w:t>Compass – Initiating an ePA Request (055814)</w:t>
              </w:r>
            </w:hyperlink>
            <w:r w:rsidRPr="002365AC">
              <w:rPr>
                <w:rStyle w:val="Hyperlink"/>
                <w:color w:val="auto"/>
              </w:rPr>
              <w:t>.</w:t>
            </w:r>
          </w:p>
        </w:tc>
      </w:tr>
      <w:tr w:rsidR="00B62344" w:rsidRPr="002365AC" w14:paraId="571CFA94" w14:textId="77777777" w:rsidTr="004A7378">
        <w:trPr>
          <w:trHeight w:val="20"/>
        </w:trPr>
        <w:tc>
          <w:tcPr>
            <w:tcW w:w="292" w:type="pct"/>
            <w:vMerge/>
          </w:tcPr>
          <w:p w14:paraId="34CC4B90" w14:textId="77777777" w:rsidR="00B62344" w:rsidRPr="002365AC" w:rsidRDefault="00B62344">
            <w:pPr>
              <w:spacing w:before="120" w:after="120"/>
              <w:jc w:val="center"/>
              <w:rPr>
                <w:b/>
                <w:bCs/>
                <w:szCs w:val="24"/>
              </w:rPr>
            </w:pPr>
          </w:p>
        </w:tc>
        <w:tc>
          <w:tcPr>
            <w:tcW w:w="1368" w:type="pct"/>
            <w:vMerge/>
          </w:tcPr>
          <w:p w14:paraId="1C7B9D58" w14:textId="77777777" w:rsidR="00B62344" w:rsidRPr="002365AC" w:rsidRDefault="00B62344">
            <w:pPr>
              <w:spacing w:before="120" w:after="120"/>
              <w:rPr>
                <w:szCs w:val="24"/>
              </w:rPr>
            </w:pPr>
          </w:p>
        </w:tc>
        <w:tc>
          <w:tcPr>
            <w:tcW w:w="1466" w:type="pct"/>
            <w:gridSpan w:val="2"/>
          </w:tcPr>
          <w:p w14:paraId="4D4FFE21" w14:textId="77777777" w:rsidR="00B62344" w:rsidRPr="002365AC" w:rsidRDefault="00B62344">
            <w:pPr>
              <w:spacing w:before="120" w:after="120"/>
              <w:rPr>
                <w:szCs w:val="24"/>
              </w:rPr>
            </w:pPr>
            <w:r w:rsidRPr="002365AC">
              <w:rPr>
                <w:szCs w:val="24"/>
              </w:rPr>
              <w:t>Does not handle</w:t>
            </w:r>
          </w:p>
        </w:tc>
        <w:tc>
          <w:tcPr>
            <w:tcW w:w="1874" w:type="pct"/>
          </w:tcPr>
          <w:p w14:paraId="10D50491" w14:textId="77777777" w:rsidR="00B62344" w:rsidRPr="002365AC" w:rsidRDefault="00B62344">
            <w:pPr>
              <w:spacing w:before="120" w:after="120"/>
              <w:rPr>
                <w:szCs w:val="24"/>
              </w:rPr>
            </w:pPr>
            <w:r w:rsidRPr="002365AC">
              <w:rPr>
                <w:szCs w:val="24"/>
              </w:rPr>
              <w:t xml:space="preserve">Advise who handles the PA or Clinical Exception. Provide information from the CIF on who to contact for the PA or Clinical </w:t>
            </w:r>
            <w:r w:rsidRPr="002365AC">
              <w:rPr>
                <w:szCs w:val="24"/>
              </w:rPr>
              <w:lastRenderedPageBreak/>
              <w:t>Exception and instructions for who should call (usually prescriber).</w:t>
            </w:r>
          </w:p>
        </w:tc>
      </w:tr>
    </w:tbl>
    <w:p w14:paraId="0DC5D9AF" w14:textId="77777777" w:rsidR="00B62344" w:rsidRPr="002365AC" w:rsidRDefault="00B62344" w:rsidP="00B62344">
      <w:pPr>
        <w:spacing w:before="120" w:after="120"/>
        <w:rPr>
          <w:szCs w:val="24"/>
        </w:rPr>
      </w:pPr>
    </w:p>
    <w:p w14:paraId="554BC731" w14:textId="77777777" w:rsidR="00AC1BCD" w:rsidRPr="002365AC" w:rsidRDefault="00AC1BCD" w:rsidP="00AC1BCD">
      <w:pPr>
        <w:spacing w:before="120" w:after="120"/>
        <w:jc w:val="right"/>
        <w:rPr>
          <w:szCs w:val="24"/>
        </w:rPr>
      </w:pPr>
      <w:hyperlink w:anchor="_top" w:history="1">
        <w:r w:rsidRPr="00AC1BCD">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12230"/>
      </w:tblGrid>
      <w:tr w:rsidR="00B62344" w:rsidRPr="002365AC" w14:paraId="4F18E3FB" w14:textId="77777777">
        <w:tc>
          <w:tcPr>
            <w:tcW w:w="5000" w:type="pct"/>
            <w:shd w:val="clear" w:color="auto" w:fill="BFBFBF" w:themeFill="background1" w:themeFillShade="BF"/>
          </w:tcPr>
          <w:p w14:paraId="07BF4078" w14:textId="77777777" w:rsidR="00B62344" w:rsidRPr="002365AC" w:rsidRDefault="00B62344">
            <w:pPr>
              <w:pStyle w:val="Heading2"/>
              <w:spacing w:before="120" w:after="120"/>
              <w:rPr>
                <w:sz w:val="24"/>
                <w:szCs w:val="24"/>
              </w:rPr>
            </w:pPr>
            <w:bookmarkStart w:id="9" w:name="_Toc193466222"/>
            <w:r w:rsidRPr="002365AC">
              <w:t>P</w:t>
            </w:r>
            <w:bookmarkStart w:id="10" w:name="PAIndex"/>
            <w:bookmarkEnd w:id="10"/>
            <w:r w:rsidRPr="002365AC">
              <w:t>A, Exception, or Appeals Index</w:t>
            </w:r>
            <w:bookmarkEnd w:id="9"/>
          </w:p>
        </w:tc>
      </w:tr>
    </w:tbl>
    <w:p w14:paraId="08EEEA5B" w14:textId="77777777" w:rsidR="00B62344" w:rsidRPr="002365AC" w:rsidRDefault="00B62344" w:rsidP="00B62344">
      <w:pPr>
        <w:pStyle w:val="ListParagraph"/>
        <w:spacing w:before="120" w:after="120" w:line="240" w:lineRule="auto"/>
        <w:rPr>
          <w:rFonts w:eastAsia="Times New Roman" w:cs="Times New Roman"/>
          <w:color w:val="000000"/>
          <w:szCs w:val="24"/>
        </w:rPr>
      </w:pPr>
    </w:p>
    <w:p w14:paraId="50A15430" w14:textId="77777777" w:rsidR="00B62344" w:rsidRPr="002365AC" w:rsidRDefault="00B62344" w:rsidP="00B62344">
      <w:pPr>
        <w:pStyle w:val="ListParagraph"/>
        <w:numPr>
          <w:ilvl w:val="0"/>
          <w:numId w:val="6"/>
        </w:numPr>
        <w:spacing w:before="120" w:after="120" w:line="240" w:lineRule="auto"/>
        <w:contextualSpacing/>
        <w:rPr>
          <w:rStyle w:val="Hyperlink"/>
          <w:rFonts w:eastAsia="Times New Roman" w:cs="Times New Roman"/>
          <w:color w:val="000000"/>
        </w:rPr>
      </w:pPr>
      <w:hyperlink w:anchor="WIsForCompass" w:history="1">
        <w:r w:rsidRPr="002365AC">
          <w:rPr>
            <w:rStyle w:val="Hyperlink"/>
            <w:rFonts w:eastAsia="Times New Roman" w:cs="Times New Roman"/>
          </w:rPr>
          <w:t>Work Instructions for Compass</w:t>
        </w:r>
      </w:hyperlink>
    </w:p>
    <w:p w14:paraId="582798F1" w14:textId="77777777" w:rsidR="00B62344" w:rsidRPr="002365AC" w:rsidRDefault="00B62344" w:rsidP="00B62344">
      <w:pPr>
        <w:pStyle w:val="ListParagraph"/>
        <w:numPr>
          <w:ilvl w:val="0"/>
          <w:numId w:val="6"/>
        </w:numPr>
        <w:spacing w:before="120" w:after="120" w:line="240" w:lineRule="auto"/>
        <w:contextualSpacing/>
        <w:rPr>
          <w:rFonts w:eastAsia="Times New Roman" w:cs="Times New Roman"/>
          <w:color w:val="000000"/>
          <w:szCs w:val="24"/>
        </w:rPr>
      </w:pPr>
      <w:hyperlink w:anchor="GenPAWIs" w:history="1">
        <w:r w:rsidRPr="002365AC">
          <w:rPr>
            <w:rStyle w:val="Hyperlink"/>
            <w:rFonts w:eastAsia="Times New Roman" w:cs="Times New Roman"/>
          </w:rPr>
          <w:t xml:space="preserve">General PA or Exceptions Work Instructions </w:t>
        </w:r>
      </w:hyperlink>
    </w:p>
    <w:p w14:paraId="022337C9" w14:textId="77777777" w:rsidR="00B62344" w:rsidRPr="002365AC" w:rsidRDefault="00B62344" w:rsidP="00B62344">
      <w:pPr>
        <w:pStyle w:val="ListParagraph"/>
        <w:spacing w:before="120" w:after="120" w:line="240" w:lineRule="auto"/>
        <w:rPr>
          <w:rFonts w:eastAsia="Times New Roman" w:cs="Times New Roman"/>
          <w:color w:val="000000"/>
          <w:szCs w:val="24"/>
        </w:rPr>
      </w:pPr>
    </w:p>
    <w:p w14:paraId="1C1FD285" w14:textId="77777777" w:rsidR="00B62344" w:rsidRPr="002365AC" w:rsidRDefault="00B62344" w:rsidP="00B62344">
      <w:pPr>
        <w:pStyle w:val="ListParagraph"/>
        <w:spacing w:before="120" w:after="120" w:line="240" w:lineRule="auto"/>
        <w:rPr>
          <w:rFonts w:eastAsia="Times New Roman" w:cs="Times New Roman"/>
          <w:color w:val="000000"/>
          <w:szCs w:val="24"/>
        </w:rPr>
      </w:pPr>
    </w:p>
    <w:p w14:paraId="0BDBEA26" w14:textId="77777777" w:rsidR="00B62344" w:rsidRPr="002365AC" w:rsidRDefault="00B62344" w:rsidP="00B62344">
      <w:pPr>
        <w:spacing w:before="120" w:after="120" w:line="240" w:lineRule="auto"/>
        <w:rPr>
          <w:rFonts w:eastAsia="Times New Roman" w:cs="Times New Roman"/>
          <w:color w:val="000000"/>
          <w:szCs w:val="24"/>
        </w:rPr>
      </w:pPr>
      <w:r w:rsidRPr="002365AC">
        <w:rPr>
          <w:rFonts w:eastAsia="Times New Roman" w:cs="Times New Roman"/>
          <w:color w:val="000000"/>
          <w:szCs w:val="24"/>
        </w:rPr>
        <w:t>For links to each specific document with a brief description of that document,</w:t>
      </w:r>
      <w:r w:rsidRPr="002365AC">
        <w:rPr>
          <w:rFonts w:eastAsia="Times New Roman" w:cs="Times New Roman"/>
          <w:b/>
          <w:bCs/>
          <w:color w:val="000000"/>
          <w:szCs w:val="24"/>
        </w:rPr>
        <w:t xml:space="preserve"> </w:t>
      </w:r>
      <w:r w:rsidRPr="002365AC">
        <w:rPr>
          <w:rFonts w:eastAsia="Times New Roman" w:cs="Times New Roman"/>
          <w:color w:val="000000"/>
          <w:szCs w:val="24"/>
        </w:rPr>
        <w:t>refer to the table below:</w:t>
      </w:r>
    </w:p>
    <w:tbl>
      <w:tblPr>
        <w:tblStyle w:val="TableGrid"/>
        <w:tblW w:w="5000" w:type="pct"/>
        <w:tblLook w:val="04A0" w:firstRow="1" w:lastRow="0" w:firstColumn="1" w:lastColumn="0" w:noHBand="0" w:noVBand="1"/>
      </w:tblPr>
      <w:tblGrid>
        <w:gridCol w:w="3493"/>
        <w:gridCol w:w="8737"/>
      </w:tblGrid>
      <w:tr w:rsidR="00B62344" w:rsidRPr="002365AC" w14:paraId="33E2868A" w14:textId="77777777">
        <w:tc>
          <w:tcPr>
            <w:tcW w:w="1428" w:type="pct"/>
            <w:shd w:val="clear" w:color="auto" w:fill="D9D9D9" w:themeFill="background1" w:themeFillShade="D9"/>
          </w:tcPr>
          <w:p w14:paraId="0EB27645" w14:textId="77777777" w:rsidR="00B62344" w:rsidRPr="002365AC" w:rsidRDefault="00B62344">
            <w:pPr>
              <w:spacing w:before="120" w:after="120"/>
              <w:jc w:val="center"/>
              <w:rPr>
                <w:rFonts w:eastAsia="Times New Roman" w:cs="Times New Roman"/>
                <w:b/>
                <w:bCs/>
                <w:color w:val="000000"/>
                <w:szCs w:val="24"/>
              </w:rPr>
            </w:pPr>
            <w:r w:rsidRPr="002365AC">
              <w:rPr>
                <w:rFonts w:eastAsia="Times New Roman" w:cs="Times New Roman"/>
                <w:b/>
                <w:bCs/>
                <w:color w:val="000000"/>
                <w:szCs w:val="24"/>
              </w:rPr>
              <w:t>Title</w:t>
            </w:r>
          </w:p>
        </w:tc>
        <w:tc>
          <w:tcPr>
            <w:tcW w:w="3572" w:type="pct"/>
            <w:shd w:val="clear" w:color="auto" w:fill="D9D9D9" w:themeFill="background1" w:themeFillShade="D9"/>
          </w:tcPr>
          <w:p w14:paraId="6F6FECF6" w14:textId="77777777" w:rsidR="00B62344" w:rsidRPr="002365AC" w:rsidRDefault="00B62344">
            <w:pPr>
              <w:spacing w:before="120" w:after="120"/>
              <w:jc w:val="center"/>
              <w:rPr>
                <w:rFonts w:eastAsia="Times New Roman" w:cs="Times New Roman"/>
                <w:b/>
                <w:bCs/>
                <w:color w:val="000000"/>
                <w:szCs w:val="24"/>
              </w:rPr>
            </w:pPr>
            <w:r w:rsidRPr="002365AC">
              <w:rPr>
                <w:rFonts w:eastAsia="Times New Roman" w:cs="Times New Roman"/>
                <w:b/>
                <w:bCs/>
                <w:color w:val="000000"/>
                <w:szCs w:val="24"/>
              </w:rPr>
              <w:t>Description</w:t>
            </w:r>
          </w:p>
        </w:tc>
      </w:tr>
      <w:tr w:rsidR="00B62344" w:rsidRPr="002365AC" w14:paraId="6233BA26" w14:textId="77777777">
        <w:trPr>
          <w:trHeight w:val="638"/>
        </w:trPr>
        <w:tc>
          <w:tcPr>
            <w:tcW w:w="5000" w:type="pct"/>
            <w:gridSpan w:val="2"/>
            <w:shd w:val="clear" w:color="auto" w:fill="D9D9D9" w:themeFill="background1" w:themeFillShade="D9"/>
            <w:vAlign w:val="center"/>
          </w:tcPr>
          <w:p w14:paraId="145028A3" w14:textId="77777777" w:rsidR="00B62344" w:rsidRPr="002365AC" w:rsidRDefault="00B62344">
            <w:pPr>
              <w:spacing w:before="120" w:after="120"/>
              <w:jc w:val="center"/>
              <w:rPr>
                <w:rFonts w:eastAsia="Times New Roman" w:cs="Times New Roman"/>
                <w:b/>
                <w:bCs/>
                <w:color w:val="000000"/>
                <w:szCs w:val="24"/>
              </w:rPr>
            </w:pPr>
            <w:bookmarkStart w:id="11" w:name="WIsForCompass"/>
            <w:r w:rsidRPr="002365AC">
              <w:rPr>
                <w:rFonts w:eastAsia="Times New Roman" w:cs="Times New Roman"/>
                <w:b/>
                <w:bCs/>
                <w:szCs w:val="24"/>
              </w:rPr>
              <w:t xml:space="preserve">Work Instructions for Compass </w:t>
            </w:r>
            <w:bookmarkEnd w:id="11"/>
          </w:p>
        </w:tc>
      </w:tr>
      <w:tr w:rsidR="00B62344" w:rsidRPr="002365AC" w14:paraId="7351CE73" w14:textId="77777777">
        <w:trPr>
          <w:trHeight w:val="638"/>
        </w:trPr>
        <w:tc>
          <w:tcPr>
            <w:tcW w:w="1428" w:type="pct"/>
          </w:tcPr>
          <w:p w14:paraId="757921D6" w14:textId="77777777" w:rsidR="00B62344" w:rsidRPr="002365AC" w:rsidRDefault="00B62344">
            <w:pPr>
              <w:spacing w:before="120" w:after="120"/>
              <w:rPr>
                <w:rFonts w:eastAsia="Times New Roman" w:cs="Times New Roman"/>
                <w:b/>
                <w:bCs/>
                <w:color w:val="000000"/>
                <w:szCs w:val="24"/>
              </w:rPr>
            </w:pPr>
            <w:hyperlink r:id="rId30" w:anchor="!/view?docid=18bb86b7-af5b-4f25-af23-9c635e8a0aa4" w:history="1">
              <w:r w:rsidRPr="002365AC">
                <w:rPr>
                  <w:rStyle w:val="Hyperlink"/>
                </w:rPr>
                <w:t>Compass – Initiating an ePA Request (055814)</w:t>
              </w:r>
            </w:hyperlink>
          </w:p>
        </w:tc>
        <w:tc>
          <w:tcPr>
            <w:tcW w:w="3572" w:type="pct"/>
          </w:tcPr>
          <w:p w14:paraId="43140D5F" w14:textId="77777777" w:rsidR="00B62344" w:rsidRPr="002365AC" w:rsidRDefault="00B62344">
            <w:pPr>
              <w:spacing w:before="120" w:after="120"/>
              <w:rPr>
                <w:rFonts w:eastAsia="Times New Roman" w:cs="Times New Roman"/>
                <w:b/>
                <w:bCs/>
                <w:color w:val="000000"/>
                <w:szCs w:val="24"/>
              </w:rPr>
            </w:pPr>
            <w:r w:rsidRPr="002365AC">
              <w:rPr>
                <w:szCs w:val="24"/>
              </w:rPr>
              <w:t>This document outlines how to initiate an ePA (electronic Prior Authorization) request in Compass.</w:t>
            </w:r>
          </w:p>
        </w:tc>
      </w:tr>
      <w:tr w:rsidR="00B62344" w:rsidRPr="002365AC" w14:paraId="786495AA" w14:textId="77777777">
        <w:trPr>
          <w:trHeight w:val="638"/>
        </w:trPr>
        <w:tc>
          <w:tcPr>
            <w:tcW w:w="1428" w:type="pct"/>
            <w:vAlign w:val="center"/>
          </w:tcPr>
          <w:p w14:paraId="246A02EC" w14:textId="77777777" w:rsidR="00B62344" w:rsidRPr="002365AC" w:rsidRDefault="00B62344">
            <w:pPr>
              <w:spacing w:before="120" w:after="120"/>
              <w:rPr>
                <w:rFonts w:eastAsia="Times New Roman" w:cs="Times New Roman"/>
                <w:b/>
                <w:bCs/>
                <w:color w:val="000000"/>
                <w:szCs w:val="24"/>
              </w:rPr>
            </w:pPr>
            <w:hyperlink r:id="rId31" w:anchor="!/view?docid=6d3aac37-46a9-4417-ac20-fa3a32337652" w:history="1">
              <w:r w:rsidRPr="002365AC">
                <w:rPr>
                  <w:rStyle w:val="Hyperlink"/>
                </w:rPr>
                <w:t>Compass – Viewing and Advising on Prior Authorization (PA) or Clinical Exception Status (056368)</w:t>
              </w:r>
            </w:hyperlink>
          </w:p>
        </w:tc>
        <w:tc>
          <w:tcPr>
            <w:tcW w:w="3572" w:type="pct"/>
            <w:vAlign w:val="center"/>
          </w:tcPr>
          <w:p w14:paraId="11FED601" w14:textId="77777777" w:rsidR="00B62344" w:rsidRPr="002365AC" w:rsidRDefault="00B62344">
            <w:pPr>
              <w:spacing w:before="120" w:after="120"/>
              <w:rPr>
                <w:rFonts w:eastAsia="Times New Roman" w:cs="Times New Roman"/>
                <w:b/>
                <w:bCs/>
                <w:color w:val="000000"/>
                <w:szCs w:val="24"/>
              </w:rPr>
            </w:pPr>
            <w:r w:rsidRPr="002365AC">
              <w:rPr>
                <w:color w:val="000000"/>
                <w:szCs w:val="24"/>
              </w:rPr>
              <w:t>This document provides information on how to obtain a Prior Authorization (PA or Clinical Exception, which may allow for a prescription to be covered that initially does not meet guidelines in Compass.</w:t>
            </w:r>
          </w:p>
        </w:tc>
      </w:tr>
      <w:tr w:rsidR="00B62344" w:rsidRPr="002365AC" w14:paraId="2156F4CB" w14:textId="77777777">
        <w:trPr>
          <w:trHeight w:val="638"/>
        </w:trPr>
        <w:tc>
          <w:tcPr>
            <w:tcW w:w="1428" w:type="pct"/>
          </w:tcPr>
          <w:p w14:paraId="45CE8887" w14:textId="77777777" w:rsidR="00B62344" w:rsidRPr="002365AC" w:rsidRDefault="00B62344">
            <w:pPr>
              <w:spacing w:before="120" w:after="120"/>
              <w:rPr>
                <w:rFonts w:eastAsia="Times New Roman" w:cs="Times New Roman"/>
                <w:b/>
                <w:bCs/>
                <w:color w:val="000000"/>
                <w:szCs w:val="24"/>
              </w:rPr>
            </w:pPr>
            <w:hyperlink r:id="rId32" w:anchor="!/view?docid=2afb93f5-6068-48b7-af0f-e04000f90426" w:history="1">
              <w:r w:rsidRPr="002365AC">
                <w:rPr>
                  <w:rStyle w:val="Hyperlink"/>
                </w:rPr>
                <w:t>Compass - Appeals (057981)</w:t>
              </w:r>
            </w:hyperlink>
          </w:p>
        </w:tc>
        <w:tc>
          <w:tcPr>
            <w:tcW w:w="3572" w:type="pct"/>
          </w:tcPr>
          <w:p w14:paraId="1F5880EE" w14:textId="77777777" w:rsidR="00B62344" w:rsidRPr="002365AC" w:rsidRDefault="00B62344" w:rsidP="00BD3386">
            <w:pPr>
              <w:spacing w:before="120" w:after="120"/>
              <w:rPr>
                <w:rFonts w:eastAsia="Times New Roman" w:cs="Times New Roman"/>
                <w:b/>
                <w:bCs/>
                <w:color w:val="000000"/>
                <w:szCs w:val="24"/>
              </w:rPr>
            </w:pPr>
            <w:r w:rsidRPr="002365AC">
              <w:rPr>
                <w:color w:val="000000"/>
                <w:szCs w:val="24"/>
              </w:rPr>
              <w:t>Instructions for when an Appeal is requested. An Appeal is a request for the plan to re-review a decision made regarding the coverage of a drug.</w:t>
            </w:r>
          </w:p>
        </w:tc>
      </w:tr>
      <w:tr w:rsidR="00B62344" w:rsidRPr="002365AC" w14:paraId="74FE9F21" w14:textId="77777777">
        <w:trPr>
          <w:trHeight w:val="638"/>
        </w:trPr>
        <w:tc>
          <w:tcPr>
            <w:tcW w:w="1428" w:type="pct"/>
          </w:tcPr>
          <w:p w14:paraId="1FF9CA6B" w14:textId="4298CF6C" w:rsidR="00B62344" w:rsidRPr="002365AC" w:rsidRDefault="00B62344">
            <w:pPr>
              <w:spacing w:before="120" w:after="120"/>
              <w:rPr>
                <w:rFonts w:eastAsia="Times New Roman" w:cs="Times New Roman"/>
                <w:b/>
                <w:bCs/>
                <w:color w:val="000000"/>
                <w:szCs w:val="24"/>
              </w:rPr>
            </w:pPr>
            <w:hyperlink r:id="rId33" w:anchor="!/view?docid=5ba551ac-8755-4e68-813b-00c6de948c3f" w:history="1">
              <w:r w:rsidR="008772CD">
                <w:rPr>
                  <w:rStyle w:val="Hyperlink"/>
                </w:rPr>
                <w:t>Compass – Prior Authorization &amp; Appeal Written Notification Task for Different Languages (063993)</w:t>
              </w:r>
            </w:hyperlink>
          </w:p>
        </w:tc>
        <w:tc>
          <w:tcPr>
            <w:tcW w:w="3572" w:type="pct"/>
          </w:tcPr>
          <w:p w14:paraId="4CD726F7" w14:textId="47495BD0" w:rsidR="00B62344" w:rsidRPr="002365AC" w:rsidRDefault="00B62344">
            <w:pPr>
              <w:spacing w:before="120" w:after="120"/>
              <w:rPr>
                <w:rFonts w:eastAsia="Times New Roman" w:cs="Times New Roman"/>
                <w:b/>
                <w:bCs/>
                <w:color w:val="000000"/>
                <w:szCs w:val="24"/>
              </w:rPr>
            </w:pPr>
            <w:r w:rsidRPr="002365AC">
              <w:rPr>
                <w:color w:val="000000"/>
                <w:szCs w:val="24"/>
              </w:rPr>
              <w:t xml:space="preserve">This process is to be used in Compass for members that have received a Prior Authorization or Appeal </w:t>
            </w:r>
            <w:r w:rsidRPr="002365AC">
              <w:rPr>
                <w:bCs/>
                <w:color w:val="000000"/>
                <w:szCs w:val="24"/>
              </w:rPr>
              <w:t>Denial letter</w:t>
            </w:r>
            <w:r w:rsidRPr="002365AC">
              <w:rPr>
                <w:color w:val="000000"/>
                <w:szCs w:val="24"/>
              </w:rPr>
              <w:t xml:space="preserve"> in English and are calling in to request a translation of the </w:t>
            </w:r>
            <w:r w:rsidRPr="002365AC">
              <w:rPr>
                <w:bCs/>
                <w:color w:val="000000"/>
                <w:szCs w:val="24"/>
              </w:rPr>
              <w:t>denial letter</w:t>
            </w:r>
            <w:r w:rsidRPr="002365AC">
              <w:rPr>
                <w:color w:val="000000"/>
                <w:szCs w:val="24"/>
              </w:rPr>
              <w:t xml:space="preserve"> in </w:t>
            </w:r>
            <w:r w:rsidRPr="002365AC">
              <w:rPr>
                <w:b/>
                <w:bCs/>
                <w:color w:val="000000"/>
                <w:szCs w:val="24"/>
              </w:rPr>
              <w:t>one of the following languages</w:t>
            </w:r>
            <w:r w:rsidR="00AC1BCD">
              <w:rPr>
                <w:b/>
                <w:bCs/>
                <w:color w:val="000000"/>
                <w:szCs w:val="24"/>
              </w:rPr>
              <w:t xml:space="preserve">: </w:t>
            </w:r>
            <w:r w:rsidRPr="002365AC">
              <w:rPr>
                <w:color w:val="000000"/>
                <w:szCs w:val="24"/>
              </w:rPr>
              <w:t>Chinese, Spanish, Navajo, or Tagalog.</w:t>
            </w:r>
          </w:p>
        </w:tc>
      </w:tr>
      <w:tr w:rsidR="00B62344" w:rsidRPr="002365AC" w14:paraId="330AA3CB" w14:textId="77777777">
        <w:trPr>
          <w:trHeight w:val="638"/>
        </w:trPr>
        <w:tc>
          <w:tcPr>
            <w:tcW w:w="1428" w:type="pct"/>
          </w:tcPr>
          <w:p w14:paraId="672BA72D" w14:textId="77777777" w:rsidR="00B62344" w:rsidRPr="002365AC" w:rsidRDefault="00B62344">
            <w:pPr>
              <w:spacing w:before="120" w:after="120"/>
              <w:rPr>
                <w:rFonts w:eastAsia="Times New Roman" w:cs="Times New Roman"/>
                <w:b/>
                <w:bCs/>
                <w:color w:val="000000"/>
                <w:szCs w:val="24"/>
              </w:rPr>
            </w:pPr>
            <w:hyperlink r:id="rId34" w:anchor="!/view?docid=b08257d0-52bb-437a-9659-b51f2b20836b" w:history="1">
              <w:r w:rsidRPr="002365AC">
                <w:rPr>
                  <w:rStyle w:val="Hyperlink"/>
                </w:rPr>
                <w:t>Compass - Quantity Versus Time Limit (QVT) (066445)</w:t>
              </w:r>
            </w:hyperlink>
          </w:p>
        </w:tc>
        <w:tc>
          <w:tcPr>
            <w:tcW w:w="3572" w:type="pct"/>
          </w:tcPr>
          <w:p w14:paraId="10B962A9" w14:textId="77777777" w:rsidR="00B62344" w:rsidRPr="002365AC" w:rsidRDefault="00B62344">
            <w:pPr>
              <w:spacing w:before="120" w:after="120"/>
              <w:rPr>
                <w:rFonts w:eastAsia="Times New Roman" w:cs="Times New Roman"/>
                <w:b/>
                <w:bCs/>
                <w:color w:val="000000"/>
                <w:szCs w:val="24"/>
              </w:rPr>
            </w:pPr>
            <w:r w:rsidRPr="002365AC">
              <w:rPr>
                <w:color w:val="000000"/>
                <w:szCs w:val="24"/>
              </w:rPr>
              <w:t>Provides Reject Code information, how to view Prior Authorization Drug Limitations in Compass, and Examples for when a plan allows a maximum quantity of medication to be filled within a specific time frame, referred to as a Quantity Versus Time limit (QVT) or a Therapy Protocol Quantity Limit.</w:t>
            </w:r>
          </w:p>
        </w:tc>
      </w:tr>
      <w:tr w:rsidR="00B62344" w:rsidRPr="002365AC" w14:paraId="2F7DCFDD" w14:textId="77777777">
        <w:trPr>
          <w:trHeight w:val="638"/>
        </w:trPr>
        <w:tc>
          <w:tcPr>
            <w:tcW w:w="1428" w:type="pct"/>
            <w:vAlign w:val="center"/>
          </w:tcPr>
          <w:p w14:paraId="3A3A77A4" w14:textId="77777777" w:rsidR="00B62344" w:rsidRPr="002365AC" w:rsidRDefault="00B62344">
            <w:pPr>
              <w:spacing w:before="120" w:after="120"/>
              <w:rPr>
                <w:rFonts w:eastAsia="Times New Roman" w:cs="Times New Roman"/>
                <w:b/>
                <w:bCs/>
                <w:color w:val="000000"/>
                <w:szCs w:val="24"/>
              </w:rPr>
            </w:pPr>
            <w:hyperlink r:id="rId35" w:anchor="!/view?docid=e9806d7f-4057-41c8-89a3-078ae3933885" w:history="1">
              <w:r w:rsidRPr="002365AC">
                <w:rPr>
                  <w:rStyle w:val="Hyperlink"/>
                  <w:rFonts w:eastAsia="Times New Roman" w:cs="Times New Roman"/>
                </w:rPr>
                <w:t>Compass – PA and Appeals Rejection Codes and Screenshots (074009)</w:t>
              </w:r>
            </w:hyperlink>
          </w:p>
        </w:tc>
        <w:tc>
          <w:tcPr>
            <w:tcW w:w="3572" w:type="pct"/>
            <w:vAlign w:val="center"/>
          </w:tcPr>
          <w:p w14:paraId="700CA0B2" w14:textId="77777777" w:rsidR="00B62344" w:rsidRPr="002365AC" w:rsidRDefault="00B62344">
            <w:pPr>
              <w:spacing w:before="120" w:after="120"/>
              <w:rPr>
                <w:rFonts w:eastAsia="Times New Roman" w:cs="Times New Roman"/>
                <w:b/>
                <w:bCs/>
                <w:color w:val="000000"/>
                <w:szCs w:val="24"/>
              </w:rPr>
            </w:pPr>
            <w:r w:rsidRPr="002365AC">
              <w:rPr>
                <w:color w:val="000000"/>
              </w:rPr>
              <w:t>Provides rejection codes that may be received when a PA may be required and the associated screenshots in Compass.</w:t>
            </w:r>
          </w:p>
        </w:tc>
      </w:tr>
      <w:tr w:rsidR="00B62344" w:rsidRPr="002365AC" w14:paraId="6A7FB8AC" w14:textId="77777777">
        <w:trPr>
          <w:trHeight w:val="638"/>
        </w:trPr>
        <w:tc>
          <w:tcPr>
            <w:tcW w:w="5000" w:type="pct"/>
            <w:gridSpan w:val="2"/>
            <w:shd w:val="clear" w:color="auto" w:fill="D9D9D9" w:themeFill="background1" w:themeFillShade="D9"/>
            <w:vAlign w:val="center"/>
          </w:tcPr>
          <w:p w14:paraId="089C2D3A" w14:textId="77777777" w:rsidR="00B62344" w:rsidRPr="002365AC" w:rsidRDefault="00B62344">
            <w:pPr>
              <w:spacing w:before="120" w:after="120"/>
              <w:jc w:val="center"/>
              <w:rPr>
                <w:rFonts w:eastAsia="Times New Roman" w:cs="Times New Roman"/>
                <w:b/>
                <w:bCs/>
                <w:color w:val="000000"/>
                <w:szCs w:val="24"/>
              </w:rPr>
            </w:pPr>
            <w:bookmarkStart w:id="12" w:name="GeneralLinks"/>
            <w:bookmarkStart w:id="13" w:name="GenPAWIs"/>
            <w:r w:rsidRPr="002365AC">
              <w:rPr>
                <w:rFonts w:eastAsia="Times New Roman" w:cs="Times New Roman"/>
                <w:b/>
                <w:bCs/>
                <w:color w:val="000000"/>
                <w:szCs w:val="24"/>
              </w:rPr>
              <w:t>General PA or Exceptions Work Instructions</w:t>
            </w:r>
            <w:bookmarkEnd w:id="12"/>
            <w:bookmarkEnd w:id="13"/>
          </w:p>
        </w:tc>
      </w:tr>
      <w:tr w:rsidR="00B62344" w:rsidRPr="002365AC" w14:paraId="2AC4F228" w14:textId="77777777">
        <w:tc>
          <w:tcPr>
            <w:tcW w:w="1428" w:type="pct"/>
          </w:tcPr>
          <w:p w14:paraId="40DC9DF0" w14:textId="77777777" w:rsidR="00B62344" w:rsidRPr="002365AC" w:rsidRDefault="00B62344">
            <w:pPr>
              <w:spacing w:before="120" w:after="120"/>
              <w:rPr>
                <w:rFonts w:eastAsia="Times New Roman" w:cs="Times New Roman"/>
                <w:color w:val="000000"/>
                <w:szCs w:val="24"/>
              </w:rPr>
            </w:pPr>
            <w:hyperlink r:id="rId36" w:anchor="!/view?docid=c0bef465-4a70-4ebe-aced-908aad7eec38" w:history="1">
              <w:r w:rsidRPr="002365AC">
                <w:rPr>
                  <w:rStyle w:val="Hyperlink"/>
                </w:rPr>
                <w:t>When to Contact the Prior Authorization Team (063998)</w:t>
              </w:r>
            </w:hyperlink>
          </w:p>
        </w:tc>
        <w:tc>
          <w:tcPr>
            <w:tcW w:w="3572" w:type="pct"/>
          </w:tcPr>
          <w:p w14:paraId="6AA3D8E6" w14:textId="77777777" w:rsidR="00B62344" w:rsidRPr="002365AC" w:rsidRDefault="00B62344">
            <w:pPr>
              <w:spacing w:before="120" w:after="120"/>
              <w:rPr>
                <w:szCs w:val="24"/>
              </w:rPr>
            </w:pPr>
            <w:r w:rsidRPr="002365AC">
              <w:rPr>
                <w:szCs w:val="24"/>
              </w:rPr>
              <w:t>This document contains information on when to contact the Prior Authorization Team, including referring to the CIF to determine who handles Prior Authorizations, and contacting the Specialty Prior Authorization team.</w:t>
            </w:r>
          </w:p>
        </w:tc>
      </w:tr>
      <w:tr w:rsidR="00B62344" w:rsidRPr="002365AC" w14:paraId="25C580E1" w14:textId="77777777">
        <w:tc>
          <w:tcPr>
            <w:tcW w:w="1428" w:type="pct"/>
          </w:tcPr>
          <w:p w14:paraId="608AB302" w14:textId="77777777" w:rsidR="00B62344" w:rsidRPr="002365AC" w:rsidRDefault="00B62344">
            <w:pPr>
              <w:spacing w:before="120" w:after="120"/>
              <w:rPr>
                <w:rFonts w:eastAsia="Times New Roman" w:cs="Times New Roman"/>
                <w:color w:val="000000"/>
                <w:szCs w:val="24"/>
              </w:rPr>
            </w:pPr>
            <w:hyperlink r:id="rId37" w:anchor="!/view?docid=b3ab218b-4ed8-445b-955e-eaae57a8a8ed" w:history="1">
              <w:r w:rsidRPr="002365AC">
                <w:rPr>
                  <w:rStyle w:val="Hyperlink"/>
                </w:rPr>
                <w:t xml:space="preserve">Prior Authorization or Clinical Exception Urgent, </w:t>
              </w:r>
              <w:r w:rsidRPr="002365AC">
                <w:rPr>
                  <w:rStyle w:val="Hyperlink"/>
                </w:rPr>
                <w:lastRenderedPageBreak/>
                <w:t>Duplicate, and Back Dating Requests (059538)</w:t>
              </w:r>
            </w:hyperlink>
          </w:p>
        </w:tc>
        <w:tc>
          <w:tcPr>
            <w:tcW w:w="3572" w:type="pct"/>
          </w:tcPr>
          <w:p w14:paraId="440242B2" w14:textId="744EBCE0" w:rsidR="00B62344" w:rsidRPr="002365AC" w:rsidRDefault="00B62344">
            <w:pPr>
              <w:spacing w:before="120" w:after="120"/>
              <w:rPr>
                <w:szCs w:val="24"/>
              </w:rPr>
            </w:pPr>
            <w:r w:rsidRPr="002365AC">
              <w:rPr>
                <w:szCs w:val="24"/>
              </w:rPr>
              <w:lastRenderedPageBreak/>
              <w:t xml:space="preserve">Provides process and information on Prior Authorization or Clinical Exception urgent, duplicate, and back dating requests. </w:t>
            </w:r>
            <w:r w:rsidRPr="002365AC">
              <w:rPr>
                <w:szCs w:val="24"/>
              </w:rPr>
              <w:br/>
            </w:r>
            <w:r w:rsidRPr="002365AC">
              <w:rPr>
                <w:szCs w:val="24"/>
              </w:rPr>
              <w:br/>
            </w:r>
            <w:r w:rsidRPr="002365AC">
              <w:rPr>
                <w:b/>
                <w:bCs/>
                <w:szCs w:val="24"/>
              </w:rPr>
              <w:lastRenderedPageBreak/>
              <w:t xml:space="preserve">Note: </w:t>
            </w:r>
            <w:r w:rsidRPr="002365AC">
              <w:rPr>
                <w:szCs w:val="24"/>
              </w:rPr>
              <w:t>This document is not specific to Compass or PeopleSafe. All agents can utilize these processes.</w:t>
            </w:r>
          </w:p>
        </w:tc>
      </w:tr>
      <w:tr w:rsidR="00B62344" w:rsidRPr="002365AC" w14:paraId="663E1722" w14:textId="77777777">
        <w:tc>
          <w:tcPr>
            <w:tcW w:w="1428" w:type="pct"/>
          </w:tcPr>
          <w:p w14:paraId="24EE05E4" w14:textId="77777777" w:rsidR="00B62344" w:rsidRPr="002365AC" w:rsidRDefault="00B62344">
            <w:pPr>
              <w:spacing w:before="120" w:after="120"/>
              <w:rPr>
                <w:rFonts w:eastAsia="Times New Roman" w:cs="Times New Roman"/>
                <w:color w:val="000000"/>
                <w:szCs w:val="24"/>
              </w:rPr>
            </w:pPr>
            <w:hyperlink r:id="rId38" w:anchor="!/view?docid=1606b044-3af6-43bf-bf37-188c2355eed3" w:history="1">
              <w:r w:rsidRPr="002365AC">
                <w:rPr>
                  <w:rStyle w:val="Hyperlink"/>
                </w:rPr>
                <w:t xml:space="preserve">Prior Authorization (PA) or Clinical Exception Opioid DUR Hard Reject for Above 200 </w:t>
              </w:r>
              <w:proofErr w:type="spellStart"/>
              <w:r w:rsidRPr="002365AC">
                <w:rPr>
                  <w:rStyle w:val="Hyperlink"/>
                </w:rPr>
                <w:t>MME</w:t>
              </w:r>
              <w:proofErr w:type="spellEnd"/>
              <w:r w:rsidRPr="002365AC">
                <w:rPr>
                  <w:rStyle w:val="Hyperlink"/>
                </w:rPr>
                <w:t>/Day Job Aid (059540)</w:t>
              </w:r>
            </w:hyperlink>
          </w:p>
        </w:tc>
        <w:tc>
          <w:tcPr>
            <w:tcW w:w="3572" w:type="pct"/>
          </w:tcPr>
          <w:p w14:paraId="5A64C09C" w14:textId="77777777" w:rsidR="00B62344" w:rsidRPr="002365AC" w:rsidRDefault="00B62344">
            <w:pPr>
              <w:spacing w:before="120" w:after="120"/>
              <w:rPr>
                <w:rFonts w:eastAsia="Times New Roman" w:cs="Times New Roman"/>
                <w:color w:val="000000"/>
                <w:szCs w:val="24"/>
              </w:rPr>
            </w:pPr>
            <w:r w:rsidRPr="002365AC">
              <w:rPr>
                <w:szCs w:val="24"/>
              </w:rPr>
              <w:t xml:space="preserve">Information for when a member or prescriber calls requesting more information about Opioid DUR Hard Reject for above 200 </w:t>
            </w:r>
            <w:proofErr w:type="spellStart"/>
            <w:r w:rsidRPr="002365AC">
              <w:rPr>
                <w:szCs w:val="24"/>
              </w:rPr>
              <w:t>MME</w:t>
            </w:r>
            <w:proofErr w:type="spellEnd"/>
            <w:r w:rsidRPr="002365AC">
              <w:rPr>
                <w:szCs w:val="24"/>
              </w:rPr>
              <w:t xml:space="preserve">/day. </w:t>
            </w:r>
          </w:p>
        </w:tc>
      </w:tr>
      <w:tr w:rsidR="00B62344" w:rsidRPr="002365AC" w14:paraId="4AF225B1" w14:textId="77777777">
        <w:tc>
          <w:tcPr>
            <w:tcW w:w="1428" w:type="pct"/>
          </w:tcPr>
          <w:p w14:paraId="770A53DB" w14:textId="0A06D4ED" w:rsidR="00B62344" w:rsidRPr="002365AC" w:rsidRDefault="00B62344">
            <w:pPr>
              <w:spacing w:before="120" w:after="120"/>
            </w:pPr>
            <w:hyperlink r:id="rId39" w:anchor="!/view?docid=9021840a-7c83-4652-921a-9fdf6373137a" w:history="1">
              <w:r w:rsidRPr="002365AC">
                <w:rPr>
                  <w:rStyle w:val="Hyperlink"/>
                </w:rPr>
                <w:t>Member Education Talking Points</w:t>
              </w:r>
              <w:r w:rsidR="00AC1BCD">
                <w:rPr>
                  <w:rStyle w:val="Hyperlink"/>
                </w:rPr>
                <w:t xml:space="preserve">: </w:t>
              </w:r>
              <w:r w:rsidRPr="002365AC">
                <w:rPr>
                  <w:rStyle w:val="Hyperlink"/>
                </w:rPr>
                <w:t>Prior Authorizations / Exceptions (074020)</w:t>
              </w:r>
            </w:hyperlink>
          </w:p>
        </w:tc>
        <w:tc>
          <w:tcPr>
            <w:tcW w:w="3572" w:type="pct"/>
          </w:tcPr>
          <w:p w14:paraId="623FF6F6" w14:textId="77777777" w:rsidR="00B62344" w:rsidRPr="002365AC" w:rsidRDefault="00B62344">
            <w:pPr>
              <w:spacing w:before="120" w:after="120"/>
              <w:rPr>
                <w:szCs w:val="24"/>
              </w:rPr>
            </w:pPr>
            <w:r w:rsidRPr="002365AC">
              <w:rPr>
                <w:szCs w:val="24"/>
              </w:rPr>
              <w:t>This document contains a list of frequently asked questions received from callers and suggested talk tracks to respond to them.</w:t>
            </w:r>
          </w:p>
        </w:tc>
      </w:tr>
      <w:tr w:rsidR="00B62344" w:rsidRPr="002365AC" w14:paraId="39BCFA3F" w14:textId="77777777">
        <w:tc>
          <w:tcPr>
            <w:tcW w:w="1428" w:type="pct"/>
          </w:tcPr>
          <w:p w14:paraId="469CC779" w14:textId="77777777" w:rsidR="00B62344" w:rsidRPr="002365AC" w:rsidRDefault="00B62344">
            <w:pPr>
              <w:spacing w:before="120" w:after="120"/>
              <w:rPr>
                <w:rFonts w:eastAsia="Times New Roman" w:cs="Times New Roman"/>
                <w:color w:val="000000"/>
                <w:szCs w:val="24"/>
              </w:rPr>
            </w:pPr>
            <w:hyperlink r:id="rId40" w:anchor="!/view?docid=309dc876-14ef-40f4-907d-d604d0125e8e" w:history="1">
              <w:proofErr w:type="spellStart"/>
              <w:r w:rsidRPr="002365AC">
                <w:rPr>
                  <w:rStyle w:val="Hyperlink"/>
                </w:rPr>
                <w:t>PAs</w:t>
              </w:r>
              <w:proofErr w:type="spellEnd"/>
              <w:r w:rsidRPr="002365AC">
                <w:rPr>
                  <w:rStyle w:val="Hyperlink"/>
                </w:rPr>
                <w:t xml:space="preserve"> and Appeals Flow Chart (074015)</w:t>
              </w:r>
            </w:hyperlink>
          </w:p>
        </w:tc>
        <w:tc>
          <w:tcPr>
            <w:tcW w:w="3572" w:type="pct"/>
          </w:tcPr>
          <w:p w14:paraId="079D5470" w14:textId="77777777" w:rsidR="00B62344" w:rsidRPr="002365AC" w:rsidRDefault="00B62344">
            <w:pPr>
              <w:spacing w:before="120" w:after="120"/>
              <w:rPr>
                <w:szCs w:val="24"/>
              </w:rPr>
            </w:pPr>
            <w:r w:rsidRPr="002365AC">
              <w:rPr>
                <w:szCs w:val="24"/>
              </w:rPr>
              <w:t>PA Flow Chart layout for Care process.</w:t>
            </w:r>
          </w:p>
        </w:tc>
      </w:tr>
      <w:tr w:rsidR="00B62344" w:rsidRPr="002365AC" w14:paraId="35104C67" w14:textId="77777777">
        <w:tc>
          <w:tcPr>
            <w:tcW w:w="1428" w:type="pct"/>
          </w:tcPr>
          <w:p w14:paraId="21D90726" w14:textId="77777777" w:rsidR="00B62344" w:rsidRPr="002365AC" w:rsidRDefault="00B62344">
            <w:pPr>
              <w:spacing w:before="120" w:after="120"/>
            </w:pPr>
            <w:hyperlink r:id="rId41" w:anchor="!/view?docid=498a0f7a-f045-4c18-97ec-b597171dafe8" w:history="1">
              <w:r w:rsidRPr="002365AC">
                <w:rPr>
                  <w:rStyle w:val="Hyperlink"/>
                </w:rPr>
                <w:t>Prior Authorization, Exceptions, Exchanges Glossary of Terms (074021)</w:t>
              </w:r>
            </w:hyperlink>
          </w:p>
        </w:tc>
        <w:tc>
          <w:tcPr>
            <w:tcW w:w="3572" w:type="pct"/>
          </w:tcPr>
          <w:p w14:paraId="1DF4027E" w14:textId="2EE630BD" w:rsidR="00B62344" w:rsidRPr="002365AC" w:rsidRDefault="00B62344">
            <w:pPr>
              <w:spacing w:before="120" w:after="120"/>
            </w:pPr>
            <w:r w:rsidRPr="002365AC">
              <w:t>Provides a list of definition is relations to PA, Exceptions, and Appeals</w:t>
            </w:r>
            <w:r w:rsidR="00BB74F5">
              <w:t>.</w:t>
            </w:r>
          </w:p>
        </w:tc>
      </w:tr>
      <w:tr w:rsidR="00B62344" w:rsidRPr="002365AC" w14:paraId="71D4E024" w14:textId="77777777">
        <w:tc>
          <w:tcPr>
            <w:tcW w:w="1428" w:type="pct"/>
          </w:tcPr>
          <w:p w14:paraId="4D4FE0D6" w14:textId="77777777" w:rsidR="00B62344" w:rsidRPr="002365AC" w:rsidRDefault="00B62344">
            <w:pPr>
              <w:spacing w:before="120" w:after="120"/>
            </w:pPr>
            <w:hyperlink r:id="rId42" w:anchor="!/view?docid=e1f9ddb2-60d2-4249-96b5-6d0b2b1849bf" w:history="1">
              <w:r w:rsidRPr="002365AC">
                <w:rPr>
                  <w:rStyle w:val="Hyperlink"/>
                </w:rPr>
                <w:t>Prior Authorization Questions and Answer (074022)</w:t>
              </w:r>
            </w:hyperlink>
          </w:p>
        </w:tc>
        <w:tc>
          <w:tcPr>
            <w:tcW w:w="3572" w:type="pct"/>
          </w:tcPr>
          <w:p w14:paraId="0C714E48" w14:textId="26C2481E" w:rsidR="00B62344" w:rsidRPr="002365AC" w:rsidRDefault="00B62344">
            <w:pPr>
              <w:spacing w:before="120" w:after="120"/>
              <w:rPr>
                <w:rFonts w:eastAsia="Times New Roman" w:cs="Times New Roman"/>
                <w:color w:val="000000"/>
                <w:szCs w:val="24"/>
              </w:rPr>
            </w:pPr>
            <w:r w:rsidRPr="002365AC">
              <w:t xml:space="preserve">Provides </w:t>
            </w:r>
            <w:r w:rsidR="004A7378">
              <w:t>questions</w:t>
            </w:r>
            <w:r w:rsidRPr="002365AC">
              <w:t xml:space="preserve"> and answers for handling PA processes, including submission, status updates, denials, and appeals.</w:t>
            </w:r>
          </w:p>
        </w:tc>
      </w:tr>
      <w:tr w:rsidR="00B62344" w:rsidRPr="002365AC" w14:paraId="01FD1F80" w14:textId="77777777">
        <w:tc>
          <w:tcPr>
            <w:tcW w:w="1428" w:type="pct"/>
          </w:tcPr>
          <w:p w14:paraId="0EA7C9EE" w14:textId="184B7000" w:rsidR="00B62344" w:rsidRPr="002365AC" w:rsidRDefault="00C05E78">
            <w:pPr>
              <w:spacing w:before="120" w:after="120"/>
              <w:rPr>
                <w:szCs w:val="24"/>
              </w:rPr>
            </w:pPr>
            <w:hyperlink r:id="rId43" w:anchor="!/view?docid=fb502149-98f6-43eb-935c-8d467702a50c" w:history="1">
              <w:r>
                <w:rPr>
                  <w:rStyle w:val="Hyperlink"/>
                </w:rPr>
                <w:t>Prior Authorization and Clinical Exceptions Scenarios (063995)</w:t>
              </w:r>
            </w:hyperlink>
            <w:r w:rsidR="00B62344" w:rsidRPr="002365AC">
              <w:rPr>
                <w:rStyle w:val="Hyperlink"/>
              </w:rPr>
              <w:t xml:space="preserve"> </w:t>
            </w:r>
          </w:p>
        </w:tc>
        <w:tc>
          <w:tcPr>
            <w:tcW w:w="3572" w:type="pct"/>
          </w:tcPr>
          <w:p w14:paraId="55FA64E2" w14:textId="77777777" w:rsidR="00B62344" w:rsidRPr="002365AC" w:rsidRDefault="00B62344">
            <w:pPr>
              <w:spacing w:before="120" w:after="120"/>
              <w:rPr>
                <w:rFonts w:eastAsia="Times New Roman" w:cs="Times New Roman"/>
                <w:color w:val="000000"/>
                <w:szCs w:val="24"/>
              </w:rPr>
            </w:pPr>
            <w:r w:rsidRPr="002365AC">
              <w:rPr>
                <w:rFonts w:eastAsia="Times New Roman" w:cs="Times New Roman"/>
                <w:color w:val="000000"/>
                <w:szCs w:val="24"/>
              </w:rPr>
              <w:t>This document contains scenarios and questions that agents may commonly be asked about.</w:t>
            </w:r>
          </w:p>
        </w:tc>
      </w:tr>
    </w:tbl>
    <w:p w14:paraId="66AE2C77" w14:textId="77777777" w:rsidR="00B62344" w:rsidRPr="002365AC" w:rsidRDefault="00B62344" w:rsidP="00B62344">
      <w:pPr>
        <w:spacing w:before="120" w:after="120" w:line="240" w:lineRule="auto"/>
        <w:rPr>
          <w:rFonts w:eastAsia="Times New Roman" w:cs="Times New Roman"/>
          <w:color w:val="000000"/>
          <w:szCs w:val="24"/>
        </w:rPr>
      </w:pPr>
    </w:p>
    <w:p w14:paraId="5C6C80A9" w14:textId="77777777" w:rsidR="00AC1BCD" w:rsidRPr="002365AC" w:rsidRDefault="00AC1BCD" w:rsidP="00AC1BCD">
      <w:pPr>
        <w:spacing w:before="120" w:after="120"/>
        <w:jc w:val="right"/>
        <w:rPr>
          <w:szCs w:val="24"/>
        </w:rPr>
      </w:pPr>
      <w:hyperlink w:anchor="_top" w:history="1">
        <w:r w:rsidRPr="00AC1BCD">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12230"/>
      </w:tblGrid>
      <w:tr w:rsidR="00B62344" w:rsidRPr="002365AC" w14:paraId="63C7110E" w14:textId="77777777">
        <w:tc>
          <w:tcPr>
            <w:tcW w:w="5000" w:type="pct"/>
            <w:shd w:val="clear" w:color="auto" w:fill="BFBFBF" w:themeFill="background1" w:themeFillShade="BF"/>
          </w:tcPr>
          <w:p w14:paraId="11E39B3C" w14:textId="77777777" w:rsidR="00B62344" w:rsidRPr="002365AC" w:rsidRDefault="00B62344">
            <w:pPr>
              <w:pStyle w:val="Heading2"/>
              <w:spacing w:before="120" w:after="120"/>
              <w:rPr>
                <w:sz w:val="24"/>
                <w:szCs w:val="24"/>
              </w:rPr>
            </w:pPr>
            <w:bookmarkStart w:id="14" w:name="_Toc193466223"/>
            <w:bookmarkStart w:id="15" w:name="OLE_LINK63"/>
            <w:r w:rsidRPr="002365AC">
              <w:t>Turnaround Times</w:t>
            </w:r>
            <w:bookmarkEnd w:id="14"/>
          </w:p>
        </w:tc>
      </w:tr>
    </w:tbl>
    <w:p w14:paraId="66E63221" w14:textId="52D05B87" w:rsidR="00B62344" w:rsidRPr="002365AC" w:rsidRDefault="00B62344" w:rsidP="00B62344">
      <w:pPr>
        <w:spacing w:before="120" w:after="120"/>
        <w:rPr>
          <w:szCs w:val="24"/>
        </w:rPr>
      </w:pPr>
      <w:r w:rsidRPr="002365AC">
        <w:rPr>
          <w:noProof/>
          <w:szCs w:val="24"/>
        </w:rPr>
        <w:drawing>
          <wp:inline distT="0" distB="0" distL="0" distR="0" wp14:anchorId="24DCC09F" wp14:editId="1E542515">
            <wp:extent cx="23812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2365AC">
        <w:rPr>
          <w:szCs w:val="24"/>
        </w:rPr>
        <w:t xml:space="preserve"> </w:t>
      </w:r>
      <w:r w:rsidRPr="002365AC">
        <w:rPr>
          <w:b/>
          <w:bCs/>
          <w:szCs w:val="24"/>
        </w:rPr>
        <w:t>Internal only (Do not disclose to member):</w:t>
      </w:r>
      <w:r w:rsidRPr="002365AC">
        <w:rPr>
          <w:szCs w:val="24"/>
        </w:rPr>
        <w:t xml:space="preserve"> Many factors can affect prior authorization processing time, including state or federal laws or client requirements.</w:t>
      </w:r>
      <w:r w:rsidR="004A7378">
        <w:rPr>
          <w:szCs w:val="24"/>
        </w:rPr>
        <w:t xml:space="preserve"> Review the CIF to see if there is a client-specific TAT. </w:t>
      </w:r>
      <w:r w:rsidRPr="002365AC">
        <w:rPr>
          <w:szCs w:val="24"/>
        </w:rPr>
        <w:t xml:space="preserve">The time frames listed </w:t>
      </w:r>
      <w:r w:rsidR="004A7378">
        <w:rPr>
          <w:szCs w:val="24"/>
        </w:rPr>
        <w:t xml:space="preserve">below </w:t>
      </w:r>
      <w:r w:rsidRPr="002365AC">
        <w:rPr>
          <w:szCs w:val="24"/>
        </w:rPr>
        <w:t xml:space="preserve">are for guidance only. </w:t>
      </w:r>
    </w:p>
    <w:p w14:paraId="281E1958" w14:textId="0A2A698D" w:rsidR="00B62344" w:rsidRPr="002365AC" w:rsidRDefault="00B62344" w:rsidP="00B62344">
      <w:pPr>
        <w:spacing w:before="120" w:after="120"/>
        <w:rPr>
          <w:szCs w:val="24"/>
        </w:rPr>
      </w:pPr>
      <w:r w:rsidRPr="002365AC">
        <w:rPr>
          <w:noProof/>
        </w:rPr>
        <w:drawing>
          <wp:inline distT="0" distB="0" distL="0" distR="0" wp14:anchorId="0688B199" wp14:editId="754599CE">
            <wp:extent cx="238125" cy="209550"/>
            <wp:effectExtent l="0" t="0" r="9525" b="0"/>
            <wp:docPr id="1018327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2365AC">
        <w:rPr>
          <w:szCs w:val="24"/>
        </w:rPr>
        <w:t xml:space="preserve"> </w:t>
      </w:r>
      <w:r w:rsidRPr="002365AC">
        <w:rPr>
          <w:b/>
          <w:bCs/>
          <w:szCs w:val="24"/>
        </w:rPr>
        <w:t>Do not</w:t>
      </w:r>
      <w:r w:rsidRPr="002365AC">
        <w:rPr>
          <w:szCs w:val="24"/>
        </w:rPr>
        <w:t xml:space="preserve"> provide guaranteed turnaround. </w:t>
      </w:r>
    </w:p>
    <w:p w14:paraId="25BF1A64" w14:textId="77777777" w:rsidR="00B62344" w:rsidRPr="002365AC" w:rsidRDefault="00B62344" w:rsidP="00B62344">
      <w:pPr>
        <w:spacing w:before="120" w:after="120"/>
        <w:rPr>
          <w:szCs w:val="24"/>
        </w:rPr>
      </w:pPr>
    </w:p>
    <w:p w14:paraId="2F642481" w14:textId="77777777" w:rsidR="00B62344" w:rsidRPr="002365AC" w:rsidRDefault="00B62344" w:rsidP="00B62344">
      <w:pPr>
        <w:spacing w:before="120" w:after="120"/>
        <w:rPr>
          <w:b/>
          <w:bCs/>
          <w:szCs w:val="24"/>
        </w:rPr>
      </w:pPr>
      <w:r w:rsidRPr="002365AC">
        <w:rPr>
          <w:b/>
          <w:bCs/>
          <w:szCs w:val="24"/>
        </w:rPr>
        <w:t>Refer to the following:</w:t>
      </w:r>
    </w:p>
    <w:tbl>
      <w:tblPr>
        <w:tblStyle w:val="TableGrid"/>
        <w:tblW w:w="5000" w:type="pct"/>
        <w:tblLook w:val="04A0" w:firstRow="1" w:lastRow="0" w:firstColumn="1" w:lastColumn="0" w:noHBand="0" w:noVBand="1"/>
      </w:tblPr>
      <w:tblGrid>
        <w:gridCol w:w="1989"/>
        <w:gridCol w:w="10241"/>
      </w:tblGrid>
      <w:tr w:rsidR="00B62344" w:rsidRPr="002365AC" w14:paraId="79101BEC" w14:textId="77777777" w:rsidTr="004A7378">
        <w:tc>
          <w:tcPr>
            <w:tcW w:w="813" w:type="pct"/>
            <w:shd w:val="clear" w:color="auto" w:fill="D9D9D9" w:themeFill="background1" w:themeFillShade="D9"/>
          </w:tcPr>
          <w:p w14:paraId="2FD928DA" w14:textId="77777777" w:rsidR="00B62344" w:rsidRPr="002365AC" w:rsidRDefault="00B62344">
            <w:pPr>
              <w:spacing w:before="120" w:after="120"/>
              <w:jc w:val="center"/>
              <w:rPr>
                <w:b/>
                <w:bCs/>
                <w:szCs w:val="24"/>
              </w:rPr>
            </w:pPr>
            <w:r w:rsidRPr="002365AC">
              <w:rPr>
                <w:b/>
                <w:bCs/>
                <w:szCs w:val="24"/>
              </w:rPr>
              <w:t>Type</w:t>
            </w:r>
          </w:p>
        </w:tc>
        <w:tc>
          <w:tcPr>
            <w:tcW w:w="4187" w:type="pct"/>
            <w:shd w:val="clear" w:color="auto" w:fill="D9D9D9" w:themeFill="background1" w:themeFillShade="D9"/>
          </w:tcPr>
          <w:p w14:paraId="390111AE" w14:textId="77777777" w:rsidR="00B62344" w:rsidRPr="002365AC" w:rsidRDefault="00B62344">
            <w:pPr>
              <w:spacing w:before="120" w:after="120"/>
              <w:jc w:val="center"/>
              <w:rPr>
                <w:b/>
                <w:bCs/>
                <w:szCs w:val="24"/>
              </w:rPr>
            </w:pPr>
            <w:r w:rsidRPr="002365AC">
              <w:rPr>
                <w:b/>
                <w:bCs/>
                <w:szCs w:val="24"/>
              </w:rPr>
              <w:t>Turnaround Time</w:t>
            </w:r>
          </w:p>
        </w:tc>
      </w:tr>
      <w:tr w:rsidR="00B62344" w:rsidRPr="002365AC" w14:paraId="07450EF4" w14:textId="77777777" w:rsidTr="004A7378">
        <w:tc>
          <w:tcPr>
            <w:tcW w:w="813" w:type="pct"/>
          </w:tcPr>
          <w:p w14:paraId="7A0C1328" w14:textId="77777777" w:rsidR="00B62344" w:rsidRPr="002365AC" w:rsidRDefault="00B62344">
            <w:pPr>
              <w:spacing w:before="120" w:after="120"/>
              <w:rPr>
                <w:b/>
                <w:bCs/>
                <w:szCs w:val="24"/>
              </w:rPr>
            </w:pPr>
            <w:r w:rsidRPr="002365AC">
              <w:rPr>
                <w:b/>
                <w:bCs/>
                <w:szCs w:val="24"/>
              </w:rPr>
              <w:t>Urgent PA Request</w:t>
            </w:r>
          </w:p>
        </w:tc>
        <w:tc>
          <w:tcPr>
            <w:tcW w:w="4187" w:type="pct"/>
          </w:tcPr>
          <w:p w14:paraId="3C47F16C" w14:textId="1897AB94" w:rsidR="00B62344" w:rsidRPr="002365AC" w:rsidRDefault="00B62344">
            <w:pPr>
              <w:spacing w:before="120" w:after="120"/>
              <w:rPr>
                <w:szCs w:val="24"/>
              </w:rPr>
            </w:pPr>
            <w:r w:rsidRPr="002365AC">
              <w:rPr>
                <w:noProof/>
                <w:szCs w:val="24"/>
              </w:rPr>
              <w:drawing>
                <wp:inline distT="0" distB="0" distL="0" distR="0" wp14:anchorId="1271530E" wp14:editId="208BF211">
                  <wp:extent cx="23812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2365AC">
              <w:rPr>
                <w:szCs w:val="24"/>
              </w:rPr>
              <w:t xml:space="preserve"> Although </w:t>
            </w:r>
            <w:r w:rsidR="004A7378">
              <w:rPr>
                <w:szCs w:val="24"/>
              </w:rPr>
              <w:t>I am</w:t>
            </w:r>
            <w:r w:rsidR="004A7378" w:rsidRPr="002365AC">
              <w:rPr>
                <w:szCs w:val="24"/>
              </w:rPr>
              <w:t xml:space="preserve"> </w:t>
            </w:r>
            <w:r w:rsidRPr="002365AC">
              <w:rPr>
                <w:szCs w:val="24"/>
              </w:rPr>
              <w:t xml:space="preserve">unable to provide a guaranteed turnaround time, requests can be decided as soon as 1 business day after all </w:t>
            </w:r>
            <w:proofErr w:type="gramStart"/>
            <w:r w:rsidRPr="002365AC">
              <w:rPr>
                <w:szCs w:val="24"/>
              </w:rPr>
              <w:t>information</w:t>
            </w:r>
            <w:proofErr w:type="gramEnd"/>
            <w:r w:rsidRPr="002365AC">
              <w:rPr>
                <w:szCs w:val="24"/>
              </w:rPr>
              <w:t xml:space="preserve"> is received from your prescriber.</w:t>
            </w:r>
          </w:p>
          <w:p w14:paraId="2F059ADF" w14:textId="3CEA42F5" w:rsidR="00B62344" w:rsidRPr="002365AC" w:rsidRDefault="00B62344">
            <w:pPr>
              <w:pStyle w:val="ListParagraph"/>
              <w:numPr>
                <w:ilvl w:val="0"/>
                <w:numId w:val="1"/>
              </w:numPr>
              <w:spacing w:before="120" w:after="120" w:line="240" w:lineRule="auto"/>
              <w:contextualSpacing/>
              <w:rPr>
                <w:szCs w:val="24"/>
              </w:rPr>
            </w:pPr>
            <w:r w:rsidRPr="002365AC">
              <w:rPr>
                <w:szCs w:val="24"/>
              </w:rPr>
              <w:t xml:space="preserve">The origin of the PA request can be </w:t>
            </w:r>
            <w:r w:rsidRPr="002365AC">
              <w:rPr>
                <w:b/>
                <w:bCs/>
                <w:szCs w:val="24"/>
              </w:rPr>
              <w:t>one of the following</w:t>
            </w:r>
            <w:r w:rsidR="00AC1BCD">
              <w:rPr>
                <w:b/>
                <w:bCs/>
                <w:szCs w:val="24"/>
              </w:rPr>
              <w:t xml:space="preserve">: </w:t>
            </w:r>
            <w:r w:rsidRPr="002365AC">
              <w:rPr>
                <w:szCs w:val="24"/>
              </w:rPr>
              <w:t xml:space="preserve">ePA, fax, or phone/verbal requests. </w:t>
            </w:r>
          </w:p>
          <w:p w14:paraId="0513204D" w14:textId="77777777" w:rsidR="00B62344" w:rsidRPr="002365AC" w:rsidRDefault="00B62344">
            <w:pPr>
              <w:pStyle w:val="ListParagraph"/>
              <w:numPr>
                <w:ilvl w:val="0"/>
                <w:numId w:val="1"/>
              </w:numPr>
              <w:spacing w:before="120" w:after="120" w:line="240" w:lineRule="auto"/>
              <w:contextualSpacing/>
              <w:rPr>
                <w:szCs w:val="24"/>
              </w:rPr>
            </w:pPr>
            <w:r w:rsidRPr="002365AC">
              <w:rPr>
                <w:szCs w:val="24"/>
              </w:rPr>
              <w:t xml:space="preserve">These requests can be decided within 1 business day </w:t>
            </w:r>
            <w:r w:rsidRPr="002365AC">
              <w:rPr>
                <w:b/>
                <w:bCs/>
                <w:szCs w:val="24"/>
              </w:rPr>
              <w:t>after full clinical information is received from the prescriber</w:t>
            </w:r>
            <w:r w:rsidRPr="002365AC">
              <w:rPr>
                <w:szCs w:val="24"/>
              </w:rPr>
              <w:t>.</w:t>
            </w:r>
            <w:r w:rsidRPr="002365AC">
              <w:rPr>
                <w:b/>
                <w:bCs/>
                <w:szCs w:val="24"/>
              </w:rPr>
              <w:t xml:space="preserve"> </w:t>
            </w:r>
          </w:p>
          <w:p w14:paraId="49CAE1CB" w14:textId="77777777" w:rsidR="00B62344" w:rsidRPr="002365AC" w:rsidRDefault="00B62344">
            <w:pPr>
              <w:pStyle w:val="ListParagraph"/>
              <w:numPr>
                <w:ilvl w:val="0"/>
                <w:numId w:val="1"/>
              </w:numPr>
              <w:spacing w:before="120" w:after="120" w:line="240" w:lineRule="auto"/>
              <w:contextualSpacing/>
              <w:rPr>
                <w:szCs w:val="24"/>
              </w:rPr>
            </w:pPr>
            <w:r w:rsidRPr="002365AC">
              <w:rPr>
                <w:szCs w:val="24"/>
              </w:rPr>
              <w:t xml:space="preserve">It is ONLY considered urgent if the prescriber writes “URGENT” on the faxed document(s), or over the phone states it is urgent. </w:t>
            </w:r>
            <w:r w:rsidRPr="00BB74F5">
              <w:rPr>
                <w:b/>
                <w:bCs/>
                <w:szCs w:val="24"/>
              </w:rPr>
              <w:t>DO NOT</w:t>
            </w:r>
            <w:r w:rsidRPr="002365AC">
              <w:rPr>
                <w:szCs w:val="24"/>
              </w:rPr>
              <w:t xml:space="preserve"> proactively advise members to tell their Dr. to submit requests as urgent. </w:t>
            </w:r>
          </w:p>
        </w:tc>
      </w:tr>
      <w:tr w:rsidR="00B62344" w:rsidRPr="002365AC" w14:paraId="24925517" w14:textId="77777777" w:rsidTr="004A7378">
        <w:tc>
          <w:tcPr>
            <w:tcW w:w="813" w:type="pct"/>
          </w:tcPr>
          <w:p w14:paraId="7F5B50D2" w14:textId="77777777" w:rsidR="00B62344" w:rsidRPr="002365AC" w:rsidRDefault="00B62344">
            <w:pPr>
              <w:spacing w:before="120" w:after="120"/>
              <w:rPr>
                <w:b/>
                <w:bCs/>
                <w:szCs w:val="24"/>
              </w:rPr>
            </w:pPr>
            <w:r w:rsidRPr="002365AC">
              <w:rPr>
                <w:b/>
                <w:bCs/>
                <w:szCs w:val="24"/>
              </w:rPr>
              <w:t>Non-urgent PA request</w:t>
            </w:r>
          </w:p>
        </w:tc>
        <w:tc>
          <w:tcPr>
            <w:tcW w:w="4187" w:type="pct"/>
          </w:tcPr>
          <w:p w14:paraId="6D38929B" w14:textId="0D9E0065" w:rsidR="00B62344" w:rsidRPr="002365AC" w:rsidRDefault="00B62344">
            <w:pPr>
              <w:spacing w:before="120" w:after="120"/>
              <w:rPr>
                <w:szCs w:val="24"/>
              </w:rPr>
            </w:pPr>
            <w:r w:rsidRPr="002365AC">
              <w:rPr>
                <w:noProof/>
                <w:szCs w:val="24"/>
              </w:rPr>
              <w:drawing>
                <wp:inline distT="0" distB="0" distL="0" distR="0" wp14:anchorId="33D22F92" wp14:editId="2177D320">
                  <wp:extent cx="238125" cy="209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2365AC">
              <w:rPr>
                <w:szCs w:val="24"/>
              </w:rPr>
              <w:t xml:space="preserve"> Although </w:t>
            </w:r>
            <w:r w:rsidR="004A7378">
              <w:rPr>
                <w:szCs w:val="24"/>
              </w:rPr>
              <w:t>I am</w:t>
            </w:r>
            <w:r w:rsidR="004A7378" w:rsidRPr="002365AC">
              <w:rPr>
                <w:szCs w:val="24"/>
              </w:rPr>
              <w:t xml:space="preserve"> </w:t>
            </w:r>
            <w:r w:rsidRPr="002365AC">
              <w:rPr>
                <w:szCs w:val="24"/>
              </w:rPr>
              <w:t xml:space="preserve">unable to provide a guaranteed turnaround time, requests can be decided as soon as 3 business days after all </w:t>
            </w:r>
            <w:proofErr w:type="gramStart"/>
            <w:r w:rsidRPr="002365AC">
              <w:rPr>
                <w:szCs w:val="24"/>
              </w:rPr>
              <w:t>information</w:t>
            </w:r>
            <w:proofErr w:type="gramEnd"/>
            <w:r w:rsidRPr="002365AC">
              <w:rPr>
                <w:szCs w:val="24"/>
              </w:rPr>
              <w:t xml:space="preserve"> is received from your prescriber. </w:t>
            </w:r>
          </w:p>
          <w:p w14:paraId="2E5D2A23" w14:textId="5D1F27AA" w:rsidR="00B62344" w:rsidRPr="002365AC" w:rsidRDefault="00B62344">
            <w:pPr>
              <w:pStyle w:val="ListParagraph"/>
              <w:numPr>
                <w:ilvl w:val="0"/>
                <w:numId w:val="2"/>
              </w:numPr>
              <w:spacing w:before="120" w:after="120" w:line="240" w:lineRule="auto"/>
              <w:contextualSpacing/>
              <w:rPr>
                <w:szCs w:val="24"/>
              </w:rPr>
            </w:pPr>
            <w:r w:rsidRPr="002365AC">
              <w:rPr>
                <w:szCs w:val="24"/>
              </w:rPr>
              <w:lastRenderedPageBreak/>
              <w:t>The origin of the PA request can be one of the following</w:t>
            </w:r>
            <w:r w:rsidR="00AC1BCD">
              <w:rPr>
                <w:szCs w:val="24"/>
              </w:rPr>
              <w:t xml:space="preserve">: </w:t>
            </w:r>
            <w:r w:rsidRPr="002365AC">
              <w:rPr>
                <w:szCs w:val="24"/>
              </w:rPr>
              <w:t xml:space="preserve">ePA, fax, or phone/verbal requests. </w:t>
            </w:r>
          </w:p>
          <w:p w14:paraId="472654DC" w14:textId="77777777" w:rsidR="00B62344" w:rsidRPr="002365AC" w:rsidRDefault="00B62344">
            <w:pPr>
              <w:pStyle w:val="ListParagraph"/>
              <w:numPr>
                <w:ilvl w:val="0"/>
                <w:numId w:val="2"/>
              </w:numPr>
              <w:spacing w:before="120" w:after="120" w:line="240" w:lineRule="auto"/>
              <w:contextualSpacing/>
              <w:rPr>
                <w:szCs w:val="24"/>
              </w:rPr>
            </w:pPr>
            <w:r w:rsidRPr="002365AC">
              <w:rPr>
                <w:szCs w:val="24"/>
              </w:rPr>
              <w:t xml:space="preserve">These requests can be decided within 3 business days </w:t>
            </w:r>
            <w:r w:rsidRPr="002365AC">
              <w:rPr>
                <w:b/>
                <w:bCs/>
                <w:szCs w:val="24"/>
              </w:rPr>
              <w:t>after full clinical information is received from the prescriber</w:t>
            </w:r>
            <w:r w:rsidRPr="002365AC">
              <w:rPr>
                <w:szCs w:val="24"/>
              </w:rPr>
              <w:t>.</w:t>
            </w:r>
            <w:r w:rsidRPr="002365AC">
              <w:rPr>
                <w:b/>
                <w:bCs/>
                <w:szCs w:val="24"/>
              </w:rPr>
              <w:t xml:space="preserve"> </w:t>
            </w:r>
          </w:p>
        </w:tc>
      </w:tr>
      <w:tr w:rsidR="00B62344" w:rsidRPr="002365AC" w14:paraId="71C23FDF" w14:textId="77777777" w:rsidTr="004A7378">
        <w:tc>
          <w:tcPr>
            <w:tcW w:w="813" w:type="pct"/>
          </w:tcPr>
          <w:p w14:paraId="1CD70CAE" w14:textId="77777777" w:rsidR="00B62344" w:rsidRPr="002365AC" w:rsidRDefault="00B62344">
            <w:pPr>
              <w:spacing w:before="120" w:after="120"/>
              <w:rPr>
                <w:b/>
                <w:bCs/>
                <w:szCs w:val="24"/>
              </w:rPr>
            </w:pPr>
            <w:proofErr w:type="gramStart"/>
            <w:r w:rsidRPr="002365AC">
              <w:rPr>
                <w:b/>
                <w:bCs/>
                <w:szCs w:val="24"/>
              </w:rPr>
              <w:lastRenderedPageBreak/>
              <w:t>Exception</w:t>
            </w:r>
            <w:proofErr w:type="gramEnd"/>
            <w:r w:rsidRPr="002365AC">
              <w:rPr>
                <w:b/>
                <w:bCs/>
                <w:szCs w:val="24"/>
              </w:rPr>
              <w:t xml:space="preserve"> Review</w:t>
            </w:r>
          </w:p>
        </w:tc>
        <w:tc>
          <w:tcPr>
            <w:tcW w:w="4187" w:type="pct"/>
          </w:tcPr>
          <w:p w14:paraId="010E20F8" w14:textId="77777777" w:rsidR="00B62344" w:rsidRPr="002365AC" w:rsidRDefault="00B62344">
            <w:pPr>
              <w:pStyle w:val="ListParagraph"/>
              <w:numPr>
                <w:ilvl w:val="0"/>
                <w:numId w:val="3"/>
              </w:numPr>
              <w:spacing w:before="120" w:after="120" w:line="240" w:lineRule="auto"/>
              <w:contextualSpacing/>
              <w:rPr>
                <w:szCs w:val="24"/>
              </w:rPr>
            </w:pPr>
            <w:r w:rsidRPr="002365AC">
              <w:rPr>
                <w:szCs w:val="24"/>
              </w:rPr>
              <w:t xml:space="preserve">Clinical Exception Review requests can only be done by ePA or fax. </w:t>
            </w:r>
          </w:p>
          <w:p w14:paraId="16136E96" w14:textId="77777777" w:rsidR="00B62344" w:rsidRPr="002365AC" w:rsidRDefault="00B62344">
            <w:pPr>
              <w:pStyle w:val="ListParagraph"/>
              <w:numPr>
                <w:ilvl w:val="0"/>
                <w:numId w:val="3"/>
              </w:numPr>
              <w:spacing w:before="120" w:after="120" w:line="240" w:lineRule="auto"/>
              <w:contextualSpacing/>
              <w:rPr>
                <w:szCs w:val="24"/>
              </w:rPr>
            </w:pPr>
            <w:r w:rsidRPr="002365AC">
              <w:rPr>
                <w:szCs w:val="24"/>
              </w:rPr>
              <w:t xml:space="preserve">Urgent Requests can be decided within one business day </w:t>
            </w:r>
            <w:r w:rsidRPr="002365AC">
              <w:rPr>
                <w:b/>
                <w:bCs/>
                <w:szCs w:val="24"/>
              </w:rPr>
              <w:t>after full clinical information is received from the prescriber</w:t>
            </w:r>
            <w:r w:rsidRPr="002365AC">
              <w:rPr>
                <w:szCs w:val="24"/>
              </w:rPr>
              <w:t xml:space="preserve">. </w:t>
            </w:r>
          </w:p>
          <w:p w14:paraId="02863595" w14:textId="77777777" w:rsidR="00B62344" w:rsidRPr="002365AC" w:rsidRDefault="00B62344">
            <w:pPr>
              <w:pStyle w:val="ListParagraph"/>
              <w:numPr>
                <w:ilvl w:val="0"/>
                <w:numId w:val="3"/>
              </w:numPr>
              <w:spacing w:before="120" w:after="120" w:line="240" w:lineRule="auto"/>
              <w:contextualSpacing/>
              <w:rPr>
                <w:szCs w:val="24"/>
              </w:rPr>
            </w:pPr>
            <w:r w:rsidRPr="002365AC">
              <w:rPr>
                <w:szCs w:val="24"/>
              </w:rPr>
              <w:t xml:space="preserve">Standard requests can be decided within 3 business days </w:t>
            </w:r>
            <w:r w:rsidRPr="002365AC">
              <w:rPr>
                <w:b/>
                <w:bCs/>
                <w:szCs w:val="24"/>
              </w:rPr>
              <w:t>after full clinical information is received from the prescriber</w:t>
            </w:r>
            <w:r w:rsidRPr="002365AC">
              <w:rPr>
                <w:szCs w:val="24"/>
              </w:rPr>
              <w:t xml:space="preserve">. </w:t>
            </w:r>
          </w:p>
        </w:tc>
      </w:tr>
      <w:tr w:rsidR="00B62344" w:rsidRPr="002365AC" w14:paraId="36AF071C" w14:textId="77777777" w:rsidTr="004A7378">
        <w:tc>
          <w:tcPr>
            <w:tcW w:w="813" w:type="pct"/>
          </w:tcPr>
          <w:p w14:paraId="4419530D" w14:textId="77777777" w:rsidR="00B62344" w:rsidRPr="002365AC" w:rsidRDefault="00B62344">
            <w:pPr>
              <w:spacing w:before="120" w:after="120"/>
              <w:rPr>
                <w:b/>
                <w:bCs/>
                <w:szCs w:val="24"/>
              </w:rPr>
            </w:pPr>
            <w:r w:rsidRPr="002365AC">
              <w:rPr>
                <w:b/>
                <w:bCs/>
                <w:szCs w:val="24"/>
              </w:rPr>
              <w:t>Escalated Calls</w:t>
            </w:r>
          </w:p>
        </w:tc>
        <w:tc>
          <w:tcPr>
            <w:tcW w:w="4187" w:type="pct"/>
          </w:tcPr>
          <w:p w14:paraId="61E33A2F" w14:textId="5C3AB220" w:rsidR="004A7378" w:rsidRPr="004A7378" w:rsidRDefault="004A7378" w:rsidP="004A7378">
            <w:pPr>
              <w:numPr>
                <w:ilvl w:val="0"/>
                <w:numId w:val="7"/>
              </w:numPr>
              <w:spacing w:before="120" w:after="120" w:line="240" w:lineRule="auto"/>
              <w:rPr>
                <w:szCs w:val="24"/>
              </w:rPr>
            </w:pPr>
            <w:bookmarkStart w:id="16" w:name="_Int_dYQohfbk"/>
            <w:r>
              <w:rPr>
                <w:szCs w:val="24"/>
              </w:rPr>
              <w:t>If the m</w:t>
            </w:r>
            <w:r w:rsidRPr="00820E16">
              <w:rPr>
                <w:szCs w:val="24"/>
              </w:rPr>
              <w:t>ember asks</w:t>
            </w:r>
            <w:bookmarkEnd w:id="16"/>
            <w:r w:rsidRPr="00820E16">
              <w:rPr>
                <w:szCs w:val="24"/>
              </w:rPr>
              <w:t xml:space="preserve"> to speak directly with the Prior Authorization Department or </w:t>
            </w:r>
            <w:r>
              <w:rPr>
                <w:szCs w:val="24"/>
              </w:rPr>
              <w:t>becomes escalated due to</w:t>
            </w:r>
            <w:r w:rsidRPr="00820E16">
              <w:rPr>
                <w:szCs w:val="24"/>
              </w:rPr>
              <w:t xml:space="preserve"> the Prior Authorization</w:t>
            </w:r>
            <w:r>
              <w:rPr>
                <w:szCs w:val="24"/>
              </w:rPr>
              <w:t xml:space="preserve"> status or process, warm transfer to the </w:t>
            </w:r>
            <w:hyperlink r:id="rId44" w:anchor="!/view?docid=f22eb77e-4033-4ad9-9afb-fc262f29faad" w:history="1">
              <w:r w:rsidRPr="00207680">
                <w:rPr>
                  <w:rStyle w:val="Hyperlink"/>
                </w:rPr>
                <w:t>Prior Authorization Department (004378)</w:t>
              </w:r>
            </w:hyperlink>
            <w:r>
              <w:rPr>
                <w:szCs w:val="24"/>
              </w:rPr>
              <w:t xml:space="preserve">. </w:t>
            </w:r>
            <w:r w:rsidRPr="00820E16">
              <w:rPr>
                <w:szCs w:val="24"/>
              </w:rPr>
              <w:br/>
            </w:r>
            <w:r w:rsidRPr="004A7378">
              <w:rPr>
                <w:b/>
                <w:bCs/>
                <w:szCs w:val="24"/>
              </w:rPr>
              <w:t>Note:</w:t>
            </w:r>
            <w:r w:rsidR="00BD3386">
              <w:rPr>
                <w:b/>
                <w:bCs/>
                <w:szCs w:val="24"/>
              </w:rPr>
              <w:t xml:space="preserve"> </w:t>
            </w:r>
            <w:r w:rsidRPr="004A7378">
              <w:rPr>
                <w:szCs w:val="24"/>
              </w:rPr>
              <w:t xml:space="preserve">For non-PA related escalations, contact the </w:t>
            </w:r>
            <w:hyperlink r:id="rId45" w:anchor="!/view?docid=f22eb77e-4033-4ad9-9afb-fc262f29faad" w:history="1">
              <w:r w:rsidRPr="00544AB3">
                <w:rPr>
                  <w:rStyle w:val="Hyperlink"/>
                </w:rPr>
                <w:t>Senior Team (004378)</w:t>
              </w:r>
            </w:hyperlink>
            <w:r w:rsidRPr="004A7378">
              <w:rPr>
                <w:szCs w:val="24"/>
              </w:rPr>
              <w:t>.</w:t>
            </w:r>
          </w:p>
          <w:p w14:paraId="1A93E46E" w14:textId="4DFC1EE9" w:rsidR="00B62344" w:rsidRPr="002365AC" w:rsidRDefault="004A7378" w:rsidP="004A7378">
            <w:pPr>
              <w:spacing w:before="120" w:after="120"/>
              <w:rPr>
                <w:szCs w:val="24"/>
              </w:rPr>
            </w:pPr>
            <w:r>
              <w:rPr>
                <w:szCs w:val="24"/>
              </w:rPr>
              <w:t xml:space="preserve">Refer to </w:t>
            </w:r>
            <w:r w:rsidRPr="00573CCD">
              <w:rPr>
                <w:szCs w:val="24"/>
              </w:rPr>
              <w:t xml:space="preserve"> </w:t>
            </w:r>
            <w:hyperlink r:id="rId46" w:anchor="!/view?docid=c0bef465-4a70-4ebe-aced-908aad7eec38" w:history="1">
              <w:r w:rsidR="00C05E78">
                <w:rPr>
                  <w:rStyle w:val="Hyperlink"/>
                </w:rPr>
                <w:t>When to Contact the Prior Authorization Team (063998)</w:t>
              </w:r>
            </w:hyperlink>
            <w:r>
              <w:rPr>
                <w:szCs w:val="24"/>
              </w:rPr>
              <w:t>.</w:t>
            </w:r>
          </w:p>
        </w:tc>
      </w:tr>
    </w:tbl>
    <w:p w14:paraId="73B08B05" w14:textId="77777777" w:rsidR="00B62344" w:rsidRPr="002365AC" w:rsidRDefault="00B62344" w:rsidP="00B62344">
      <w:pPr>
        <w:spacing w:before="120" w:after="120" w:line="240" w:lineRule="auto"/>
        <w:rPr>
          <w:rFonts w:eastAsia="Times New Roman" w:cs="Times New Roman"/>
          <w:color w:val="000000"/>
          <w:szCs w:val="24"/>
        </w:rPr>
      </w:pPr>
      <w:bookmarkStart w:id="17" w:name="_Related_Documents"/>
      <w:bookmarkEnd w:id="15"/>
      <w:bookmarkEnd w:id="17"/>
    </w:p>
    <w:p w14:paraId="60DA65A8" w14:textId="77777777" w:rsidR="00AC1BCD" w:rsidRPr="002365AC" w:rsidRDefault="00AC1BCD" w:rsidP="00AC1BCD">
      <w:pPr>
        <w:spacing w:before="120" w:after="120"/>
        <w:jc w:val="right"/>
        <w:rPr>
          <w:szCs w:val="24"/>
        </w:rPr>
      </w:pPr>
      <w:hyperlink w:anchor="_top" w:history="1">
        <w:r w:rsidRPr="00AC1BCD">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12230"/>
      </w:tblGrid>
      <w:tr w:rsidR="00B62344" w:rsidRPr="002365AC" w14:paraId="1A6725F6" w14:textId="77777777">
        <w:tc>
          <w:tcPr>
            <w:tcW w:w="5000" w:type="pct"/>
            <w:shd w:val="clear" w:color="auto" w:fill="BFBFBF" w:themeFill="background1" w:themeFillShade="BF"/>
            <w:vAlign w:val="center"/>
          </w:tcPr>
          <w:p w14:paraId="593326DF" w14:textId="77777777" w:rsidR="00B62344" w:rsidRPr="002365AC" w:rsidRDefault="00B62344">
            <w:pPr>
              <w:pStyle w:val="Heading2"/>
              <w:spacing w:before="120" w:after="120"/>
              <w:rPr>
                <w:color w:val="000000"/>
              </w:rPr>
            </w:pPr>
            <w:bookmarkStart w:id="18" w:name="_Toc193466224"/>
            <w:r w:rsidRPr="002365AC">
              <w:t>Related Documents</w:t>
            </w:r>
            <w:bookmarkEnd w:id="18"/>
          </w:p>
        </w:tc>
      </w:tr>
    </w:tbl>
    <w:p w14:paraId="022805E5" w14:textId="46A28C5E" w:rsidR="00B62344" w:rsidRPr="002365AC" w:rsidRDefault="00B62344" w:rsidP="00B62344">
      <w:pPr>
        <w:pStyle w:val="NormalWeb"/>
        <w:spacing w:before="120" w:beforeAutospacing="0" w:after="120" w:afterAutospacing="0"/>
        <w:rPr>
          <w:rFonts w:ascii="Verdana" w:hAnsi="Verdana"/>
          <w:color w:val="000000"/>
        </w:rPr>
      </w:pPr>
      <w:r w:rsidRPr="002365AC">
        <w:rPr>
          <w:rFonts w:ascii="Verdana" w:hAnsi="Verdana"/>
          <w:b/>
          <w:bCs/>
          <w:color w:val="000000"/>
        </w:rPr>
        <w:t>Parent Document</w:t>
      </w:r>
      <w:r w:rsidR="00AC1BCD">
        <w:rPr>
          <w:rFonts w:ascii="Verdana" w:hAnsi="Verdana"/>
          <w:b/>
          <w:bCs/>
          <w:color w:val="000000"/>
        </w:rPr>
        <w:t xml:space="preserve">: </w:t>
      </w:r>
      <w:hyperlink r:id="rId47" w:tgtFrame="_blank" w:history="1">
        <w:r w:rsidRPr="002365AC">
          <w:rPr>
            <w:rStyle w:val="Hyperlink"/>
            <w:rFonts w:eastAsiaTheme="majorEastAsia"/>
          </w:rPr>
          <w:t>CALL 0049 Customer Care Internal and External Call Handling</w:t>
        </w:r>
      </w:hyperlink>
    </w:p>
    <w:p w14:paraId="5476C628" w14:textId="3D2B9755" w:rsidR="00B62344" w:rsidRPr="002365AC" w:rsidRDefault="007938AE" w:rsidP="00B62344">
      <w:pPr>
        <w:spacing w:before="120" w:after="120"/>
        <w:rPr>
          <w:szCs w:val="24"/>
        </w:rPr>
      </w:pPr>
      <w:hyperlink r:id="rId48" w:anchor="!/view?docid=1e7d7ad7-e1c1-4fa1-8258-215a1c0ff32b" w:history="1">
        <w:r>
          <w:rPr>
            <w:rStyle w:val="Hyperlink"/>
          </w:rPr>
          <w:t>MED D - Coverage Determinations and Redeterminations (Appeals) Landing Page (004825)</w:t>
        </w:r>
      </w:hyperlink>
    </w:p>
    <w:p w14:paraId="6B9CCD90" w14:textId="77777777" w:rsidR="00B62344" w:rsidRPr="002365AC" w:rsidRDefault="00B62344" w:rsidP="00B62344">
      <w:pPr>
        <w:spacing w:before="120" w:after="120"/>
        <w:rPr>
          <w:szCs w:val="24"/>
        </w:rPr>
      </w:pPr>
      <w:hyperlink r:id="rId49" w:anchor="!/view?docid=7c3ff2ae-2451-4c2c-9609-3f9f4dfda78c" w:history="1">
        <w:r w:rsidRPr="002365AC">
          <w:rPr>
            <w:rStyle w:val="Hyperlink"/>
          </w:rPr>
          <w:t>Medicaid Prior Authorization (PA) and Electronic Prior Authorization (ePA) (048857)</w:t>
        </w:r>
      </w:hyperlink>
    </w:p>
    <w:p w14:paraId="798706C5" w14:textId="1D1660E8" w:rsidR="00B62344" w:rsidRPr="002365AC" w:rsidRDefault="007938AE" w:rsidP="00B62344">
      <w:pPr>
        <w:spacing w:before="120" w:after="120"/>
        <w:rPr>
          <w:rStyle w:val="Hyperlink"/>
        </w:rPr>
      </w:pPr>
      <w:hyperlink r:id="rId50" w:anchor="!/view?docid=c1f1028b-e42c-4b4f-a4cf-cc0b42c91606" w:history="1">
        <w:r>
          <w:rPr>
            <w:rStyle w:val="Hyperlink"/>
          </w:rPr>
          <w:t>Customer Care Abbreviations, Definitions, and Terms Index (017428)</w:t>
        </w:r>
      </w:hyperlink>
    </w:p>
    <w:p w14:paraId="4C1B9E57" w14:textId="77777777" w:rsidR="00B62344" w:rsidRPr="002365AC" w:rsidRDefault="00B62344" w:rsidP="00B62344">
      <w:pPr>
        <w:spacing w:before="120" w:after="120"/>
        <w:rPr>
          <w:rStyle w:val="Hyperlink"/>
        </w:rPr>
      </w:pPr>
    </w:p>
    <w:p w14:paraId="5A96434D" w14:textId="2C720697" w:rsidR="00B62344" w:rsidRPr="002365AC" w:rsidRDefault="00AC1BCD" w:rsidP="00B62344">
      <w:pPr>
        <w:spacing w:before="120" w:after="120"/>
        <w:jc w:val="right"/>
        <w:rPr>
          <w:szCs w:val="24"/>
        </w:rPr>
      </w:pPr>
      <w:hyperlink w:anchor="_top" w:history="1">
        <w:r w:rsidR="00B62344" w:rsidRPr="00AC1BCD">
          <w:rPr>
            <w:rStyle w:val="Hyperlink"/>
          </w:rPr>
          <w:t>Top of the Document</w:t>
        </w:r>
      </w:hyperlink>
    </w:p>
    <w:p w14:paraId="51A0B6B1" w14:textId="77777777" w:rsidR="00B62344" w:rsidRPr="002365AC" w:rsidRDefault="00B62344" w:rsidP="00B62344">
      <w:pPr>
        <w:pStyle w:val="NormalWeb"/>
        <w:spacing w:before="120" w:beforeAutospacing="0" w:after="120" w:afterAutospacing="0"/>
        <w:jc w:val="center"/>
        <w:rPr>
          <w:rFonts w:ascii="Verdana" w:hAnsi="Verdana"/>
          <w:color w:val="000000"/>
          <w:sz w:val="27"/>
          <w:szCs w:val="27"/>
        </w:rPr>
      </w:pPr>
      <w:r w:rsidRPr="002365AC">
        <w:rPr>
          <w:rFonts w:ascii="Verdana" w:hAnsi="Verdana"/>
          <w:color w:val="000000"/>
          <w:sz w:val="16"/>
          <w:szCs w:val="16"/>
        </w:rPr>
        <w:t>Not to Be Reproduced or Disclosed to Others without Prior Written Approval</w:t>
      </w:r>
    </w:p>
    <w:p w14:paraId="1D8D765A" w14:textId="77777777" w:rsidR="00B62344" w:rsidRPr="002365AC" w:rsidRDefault="00B62344" w:rsidP="00B62344">
      <w:pPr>
        <w:pStyle w:val="NormalWeb"/>
        <w:spacing w:before="120" w:beforeAutospacing="0" w:after="120" w:afterAutospacing="0"/>
        <w:jc w:val="center"/>
        <w:rPr>
          <w:rFonts w:ascii="Verdana" w:hAnsi="Verdana"/>
          <w:color w:val="000000"/>
          <w:sz w:val="27"/>
          <w:szCs w:val="27"/>
        </w:rPr>
      </w:pPr>
      <w:r w:rsidRPr="002365AC">
        <w:rPr>
          <w:rFonts w:ascii="Verdana" w:hAnsi="Verdana"/>
          <w:b/>
          <w:bCs/>
          <w:color w:val="000000"/>
          <w:sz w:val="16"/>
          <w:szCs w:val="16"/>
        </w:rPr>
        <w:lastRenderedPageBreak/>
        <w:t>ELECTRONIC DATA = OFFICIAL VERSION / PAPER COPY = INFORMATIONAL ONLY</w:t>
      </w:r>
    </w:p>
    <w:p w14:paraId="03F74979" w14:textId="77777777" w:rsidR="00EA26A9" w:rsidRDefault="00EA26A9"/>
    <w:sectPr w:rsidR="00EA26A9" w:rsidSect="00B62344">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75pt;height:17.25pt;visibility:visible" o:bullet="t">
        <v:imagedata r:id="rId1" o:title=""/>
      </v:shape>
    </w:pict>
  </w:numPicBullet>
  <w:numPicBullet w:numPicBulletId="1">
    <w:pict>
      <v:shape id="_x0000_i1033" type="#_x0000_t75" style="width:18.75pt;height:16.5pt;visibility:visible" o:bullet="t">
        <v:imagedata r:id="rId2" o:title=""/>
      </v:shape>
    </w:pict>
  </w:numPicBullet>
  <w:abstractNum w:abstractNumId="0" w15:restartNumberingAfterBreak="0">
    <w:nsid w:val="31456CD4"/>
    <w:multiLevelType w:val="hybridMultilevel"/>
    <w:tmpl w:val="0950B442"/>
    <w:lvl w:ilvl="0" w:tplc="CB28687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CD7A49"/>
    <w:multiLevelType w:val="hybridMultilevel"/>
    <w:tmpl w:val="CEFAF438"/>
    <w:lvl w:ilvl="0" w:tplc="AD22A340">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7E3900"/>
    <w:multiLevelType w:val="hybridMultilevel"/>
    <w:tmpl w:val="A8C06C28"/>
    <w:lvl w:ilvl="0" w:tplc="9ACA9F6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DD4C35"/>
    <w:multiLevelType w:val="hybridMultilevel"/>
    <w:tmpl w:val="1BC48B82"/>
    <w:lvl w:ilvl="0" w:tplc="A542497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8260F4"/>
    <w:multiLevelType w:val="hybridMultilevel"/>
    <w:tmpl w:val="ED0A5FFE"/>
    <w:lvl w:ilvl="0" w:tplc="26E45B5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4C0252"/>
    <w:multiLevelType w:val="hybridMultilevel"/>
    <w:tmpl w:val="62747A22"/>
    <w:lvl w:ilvl="0" w:tplc="FA8C611A">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C80032"/>
    <w:multiLevelType w:val="multilevel"/>
    <w:tmpl w:val="9ED273EA"/>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4954461">
    <w:abstractNumId w:val="3"/>
  </w:num>
  <w:num w:numId="2" w16cid:durableId="1632204467">
    <w:abstractNumId w:val="5"/>
  </w:num>
  <w:num w:numId="3" w16cid:durableId="2108454102">
    <w:abstractNumId w:val="4"/>
  </w:num>
  <w:num w:numId="4" w16cid:durableId="986277569">
    <w:abstractNumId w:val="1"/>
  </w:num>
  <w:num w:numId="5" w16cid:durableId="523321493">
    <w:abstractNumId w:val="2"/>
  </w:num>
  <w:num w:numId="6" w16cid:durableId="313802807">
    <w:abstractNumId w:val="0"/>
  </w:num>
  <w:num w:numId="7" w16cid:durableId="13248984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44"/>
    <w:rsid w:val="0001358B"/>
    <w:rsid w:val="00015582"/>
    <w:rsid w:val="00025247"/>
    <w:rsid w:val="00037F57"/>
    <w:rsid w:val="00086E49"/>
    <w:rsid w:val="000A3992"/>
    <w:rsid w:val="000A5718"/>
    <w:rsid w:val="000B0E09"/>
    <w:rsid w:val="000B64A7"/>
    <w:rsid w:val="000B6593"/>
    <w:rsid w:val="000C1852"/>
    <w:rsid w:val="000E1A10"/>
    <w:rsid w:val="0011147D"/>
    <w:rsid w:val="001264D5"/>
    <w:rsid w:val="00135BDB"/>
    <w:rsid w:val="00143E90"/>
    <w:rsid w:val="00150B91"/>
    <w:rsid w:val="0018470F"/>
    <w:rsid w:val="00192642"/>
    <w:rsid w:val="00197A10"/>
    <w:rsid w:val="001A40A5"/>
    <w:rsid w:val="001B401C"/>
    <w:rsid w:val="001F39D1"/>
    <w:rsid w:val="001F6CAA"/>
    <w:rsid w:val="00222028"/>
    <w:rsid w:val="002235ED"/>
    <w:rsid w:val="002356DB"/>
    <w:rsid w:val="0024688B"/>
    <w:rsid w:val="00247616"/>
    <w:rsid w:val="00247C95"/>
    <w:rsid w:val="002624B9"/>
    <w:rsid w:val="00263F1B"/>
    <w:rsid w:val="002C4950"/>
    <w:rsid w:val="002D39EA"/>
    <w:rsid w:val="002D47AC"/>
    <w:rsid w:val="002E7FE7"/>
    <w:rsid w:val="00302641"/>
    <w:rsid w:val="00323C70"/>
    <w:rsid w:val="003347D6"/>
    <w:rsid w:val="00345424"/>
    <w:rsid w:val="0035274B"/>
    <w:rsid w:val="00356A10"/>
    <w:rsid w:val="0038124F"/>
    <w:rsid w:val="003B14E9"/>
    <w:rsid w:val="003B2992"/>
    <w:rsid w:val="003B51F7"/>
    <w:rsid w:val="003C478D"/>
    <w:rsid w:val="003D631B"/>
    <w:rsid w:val="003F0121"/>
    <w:rsid w:val="003F2C50"/>
    <w:rsid w:val="003F5ED0"/>
    <w:rsid w:val="00413B01"/>
    <w:rsid w:val="004158B1"/>
    <w:rsid w:val="004276FA"/>
    <w:rsid w:val="00432984"/>
    <w:rsid w:val="00432CD9"/>
    <w:rsid w:val="00437D5E"/>
    <w:rsid w:val="00465FC5"/>
    <w:rsid w:val="004A7378"/>
    <w:rsid w:val="004B6019"/>
    <w:rsid w:val="004C25AA"/>
    <w:rsid w:val="00505AA8"/>
    <w:rsid w:val="00515319"/>
    <w:rsid w:val="005411EA"/>
    <w:rsid w:val="0056233B"/>
    <w:rsid w:val="0057143B"/>
    <w:rsid w:val="00576000"/>
    <w:rsid w:val="005840B2"/>
    <w:rsid w:val="00590249"/>
    <w:rsid w:val="00595F0D"/>
    <w:rsid w:val="005B000E"/>
    <w:rsid w:val="005C58A6"/>
    <w:rsid w:val="005D34EE"/>
    <w:rsid w:val="005E16E6"/>
    <w:rsid w:val="00604E8A"/>
    <w:rsid w:val="00616ED2"/>
    <w:rsid w:val="00631D5E"/>
    <w:rsid w:val="00633C2E"/>
    <w:rsid w:val="006436E2"/>
    <w:rsid w:val="00645BB7"/>
    <w:rsid w:val="006531DD"/>
    <w:rsid w:val="0066602B"/>
    <w:rsid w:val="00685F05"/>
    <w:rsid w:val="006A5144"/>
    <w:rsid w:val="006A6FDE"/>
    <w:rsid w:val="006C505C"/>
    <w:rsid w:val="006F5889"/>
    <w:rsid w:val="006F67A0"/>
    <w:rsid w:val="00707C34"/>
    <w:rsid w:val="00722DD8"/>
    <w:rsid w:val="00733DC3"/>
    <w:rsid w:val="00752C0A"/>
    <w:rsid w:val="00752C0E"/>
    <w:rsid w:val="00757518"/>
    <w:rsid w:val="0076071D"/>
    <w:rsid w:val="00765D0C"/>
    <w:rsid w:val="00792E75"/>
    <w:rsid w:val="007938AE"/>
    <w:rsid w:val="00794CB2"/>
    <w:rsid w:val="00796519"/>
    <w:rsid w:val="007B305E"/>
    <w:rsid w:val="007B3953"/>
    <w:rsid w:val="007B40BF"/>
    <w:rsid w:val="007B4E8F"/>
    <w:rsid w:val="007C6ADA"/>
    <w:rsid w:val="007E012C"/>
    <w:rsid w:val="007E4912"/>
    <w:rsid w:val="008119A8"/>
    <w:rsid w:val="008145AE"/>
    <w:rsid w:val="008313E2"/>
    <w:rsid w:val="008379F1"/>
    <w:rsid w:val="00853045"/>
    <w:rsid w:val="008612CC"/>
    <w:rsid w:val="008623B2"/>
    <w:rsid w:val="00865BC1"/>
    <w:rsid w:val="008772CD"/>
    <w:rsid w:val="008901D5"/>
    <w:rsid w:val="008A39CC"/>
    <w:rsid w:val="008A5D22"/>
    <w:rsid w:val="008C15F4"/>
    <w:rsid w:val="008C253C"/>
    <w:rsid w:val="008C7C25"/>
    <w:rsid w:val="008D59C2"/>
    <w:rsid w:val="008E0962"/>
    <w:rsid w:val="008F0FD4"/>
    <w:rsid w:val="00913C3B"/>
    <w:rsid w:val="009401C7"/>
    <w:rsid w:val="00960BCA"/>
    <w:rsid w:val="0097142E"/>
    <w:rsid w:val="0098246C"/>
    <w:rsid w:val="00985CAF"/>
    <w:rsid w:val="00996E56"/>
    <w:rsid w:val="009A115D"/>
    <w:rsid w:val="009A27A4"/>
    <w:rsid w:val="009A2905"/>
    <w:rsid w:val="009A5AB9"/>
    <w:rsid w:val="009B02B5"/>
    <w:rsid w:val="009C5D08"/>
    <w:rsid w:val="009C7572"/>
    <w:rsid w:val="009C78D7"/>
    <w:rsid w:val="009D1B1B"/>
    <w:rsid w:val="009D2DB9"/>
    <w:rsid w:val="009D4BD8"/>
    <w:rsid w:val="009E2546"/>
    <w:rsid w:val="009E6AE9"/>
    <w:rsid w:val="009F376F"/>
    <w:rsid w:val="009F6B22"/>
    <w:rsid w:val="00A10DA9"/>
    <w:rsid w:val="00A171EC"/>
    <w:rsid w:val="00A508E1"/>
    <w:rsid w:val="00A555FE"/>
    <w:rsid w:val="00A561B5"/>
    <w:rsid w:val="00A5649A"/>
    <w:rsid w:val="00A8076A"/>
    <w:rsid w:val="00A911CF"/>
    <w:rsid w:val="00A95B32"/>
    <w:rsid w:val="00AB3521"/>
    <w:rsid w:val="00AC174A"/>
    <w:rsid w:val="00AC1BCD"/>
    <w:rsid w:val="00AC5E3C"/>
    <w:rsid w:val="00AD2611"/>
    <w:rsid w:val="00AE1283"/>
    <w:rsid w:val="00B0566B"/>
    <w:rsid w:val="00B174D4"/>
    <w:rsid w:val="00B330EC"/>
    <w:rsid w:val="00B406B2"/>
    <w:rsid w:val="00B44D4F"/>
    <w:rsid w:val="00B545D2"/>
    <w:rsid w:val="00B62344"/>
    <w:rsid w:val="00B67EB3"/>
    <w:rsid w:val="00B826DA"/>
    <w:rsid w:val="00B84201"/>
    <w:rsid w:val="00BA156F"/>
    <w:rsid w:val="00BA645A"/>
    <w:rsid w:val="00BB2D56"/>
    <w:rsid w:val="00BB74F5"/>
    <w:rsid w:val="00BD3386"/>
    <w:rsid w:val="00BE4BF0"/>
    <w:rsid w:val="00BF4470"/>
    <w:rsid w:val="00C038D0"/>
    <w:rsid w:val="00C05E78"/>
    <w:rsid w:val="00C06FAE"/>
    <w:rsid w:val="00C37DB2"/>
    <w:rsid w:val="00C42B64"/>
    <w:rsid w:val="00C44FC4"/>
    <w:rsid w:val="00C46648"/>
    <w:rsid w:val="00C5216F"/>
    <w:rsid w:val="00C6445C"/>
    <w:rsid w:val="00C91E88"/>
    <w:rsid w:val="00C93514"/>
    <w:rsid w:val="00CB3B6D"/>
    <w:rsid w:val="00CB73F9"/>
    <w:rsid w:val="00CD7128"/>
    <w:rsid w:val="00CE4F23"/>
    <w:rsid w:val="00CE5A9A"/>
    <w:rsid w:val="00D14907"/>
    <w:rsid w:val="00D23689"/>
    <w:rsid w:val="00D252DF"/>
    <w:rsid w:val="00D30A58"/>
    <w:rsid w:val="00D859F8"/>
    <w:rsid w:val="00D95413"/>
    <w:rsid w:val="00DE3184"/>
    <w:rsid w:val="00DF0743"/>
    <w:rsid w:val="00DF0D30"/>
    <w:rsid w:val="00DF1E6A"/>
    <w:rsid w:val="00E00642"/>
    <w:rsid w:val="00E0123F"/>
    <w:rsid w:val="00E060F9"/>
    <w:rsid w:val="00E248A4"/>
    <w:rsid w:val="00E3395F"/>
    <w:rsid w:val="00E33BFC"/>
    <w:rsid w:val="00E3414F"/>
    <w:rsid w:val="00E5241A"/>
    <w:rsid w:val="00E54F4A"/>
    <w:rsid w:val="00E600D6"/>
    <w:rsid w:val="00E95224"/>
    <w:rsid w:val="00E9773D"/>
    <w:rsid w:val="00EA26A9"/>
    <w:rsid w:val="00EA3271"/>
    <w:rsid w:val="00EA5D93"/>
    <w:rsid w:val="00EB2D21"/>
    <w:rsid w:val="00ED7529"/>
    <w:rsid w:val="00F049F9"/>
    <w:rsid w:val="00F251F1"/>
    <w:rsid w:val="00F2563D"/>
    <w:rsid w:val="00F319C6"/>
    <w:rsid w:val="00F4220F"/>
    <w:rsid w:val="00FA3ED8"/>
    <w:rsid w:val="00FD334B"/>
    <w:rsid w:val="00FF1129"/>
    <w:rsid w:val="00FF7441"/>
    <w:rsid w:val="47ECC9CD"/>
    <w:rsid w:val="5C3BACF0"/>
    <w:rsid w:val="632F40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EE4721A"/>
  <w15:chartTrackingRefBased/>
  <w15:docId w15:val="{DB0E6B0F-9B1C-4927-A24E-06DCE1A0F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BCD"/>
    <w:pPr>
      <w:spacing w:after="160" w:line="259" w:lineRule="auto"/>
    </w:pPr>
    <w:rPr>
      <w:rFonts w:ascii="Verdana" w:hAnsi="Verdana" w:cstheme="minorBidi"/>
      <w:kern w:val="0"/>
      <w:sz w:val="24"/>
      <w:szCs w:val="22"/>
      <w14:ligatures w14:val="none"/>
    </w:rPr>
  </w:style>
  <w:style w:type="paragraph" w:styleId="Heading1">
    <w:name w:val="heading 1"/>
    <w:basedOn w:val="Normal"/>
    <w:next w:val="Normal"/>
    <w:link w:val="Heading1Char"/>
    <w:autoRedefine/>
    <w:uiPriority w:val="9"/>
    <w:qFormat/>
    <w:rsid w:val="009D1B1B"/>
    <w:pPr>
      <w:keepNext/>
      <w:keepLines/>
      <w:outlineLvl w:val="0"/>
    </w:pPr>
    <w:rPr>
      <w:rFonts w:eastAsiaTheme="majorEastAsia" w:cstheme="majorBidi"/>
      <w:b/>
      <w:sz w:val="36"/>
      <w:szCs w:val="40"/>
    </w:rPr>
  </w:style>
  <w:style w:type="paragraph" w:styleId="Heading2">
    <w:name w:val="heading 2"/>
    <w:basedOn w:val="Normal"/>
    <w:next w:val="Normal"/>
    <w:link w:val="Heading2Char"/>
    <w:autoRedefine/>
    <w:uiPriority w:val="9"/>
    <w:unhideWhenUsed/>
    <w:qFormat/>
    <w:rsid w:val="009D1B1B"/>
    <w:pPr>
      <w:keepNext/>
      <w:keepLines/>
      <w:outlineLvl w:val="1"/>
    </w:pPr>
    <w:rPr>
      <w:rFonts w:eastAsiaTheme="majorEastAsia" w:cstheme="majorBidi"/>
      <w:b/>
      <w:kern w:val="2"/>
      <w:sz w:val="28"/>
      <w:szCs w:val="32"/>
      <w14:ligatures w14:val="standardContextual"/>
    </w:rPr>
  </w:style>
  <w:style w:type="paragraph" w:styleId="Heading3">
    <w:name w:val="heading 3"/>
    <w:basedOn w:val="Normal"/>
    <w:next w:val="Normal"/>
    <w:link w:val="Heading3Char"/>
    <w:autoRedefine/>
    <w:uiPriority w:val="9"/>
    <w:semiHidden/>
    <w:unhideWhenUsed/>
    <w:qFormat/>
    <w:rsid w:val="004276FA"/>
    <w:pPr>
      <w:keepNext/>
      <w:keepLines/>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B6234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6234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6234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6234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6234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6234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1B"/>
    <w:rPr>
      <w:rFonts w:ascii="Verdana" w:eastAsiaTheme="majorEastAsia" w:hAnsi="Verdana" w:cstheme="majorBidi"/>
      <w:b/>
      <w:sz w:val="36"/>
      <w:szCs w:val="40"/>
    </w:rPr>
  </w:style>
  <w:style w:type="character" w:customStyle="1" w:styleId="Heading2Char">
    <w:name w:val="Heading 2 Char"/>
    <w:basedOn w:val="DefaultParagraphFont"/>
    <w:link w:val="Heading2"/>
    <w:uiPriority w:val="9"/>
    <w:rsid w:val="009D1B1B"/>
    <w:rPr>
      <w:rFonts w:ascii="Verdana" w:eastAsiaTheme="majorEastAsia" w:hAnsi="Verdana" w:cstheme="majorBidi"/>
      <w:b/>
      <w:sz w:val="28"/>
      <w:szCs w:val="32"/>
    </w:rPr>
  </w:style>
  <w:style w:type="character" w:customStyle="1" w:styleId="Heading3Char">
    <w:name w:val="Heading 3 Char"/>
    <w:basedOn w:val="DefaultParagraphFont"/>
    <w:link w:val="Heading3"/>
    <w:uiPriority w:val="9"/>
    <w:semiHidden/>
    <w:rsid w:val="004276FA"/>
    <w:rPr>
      <w:rFonts w:ascii="Verdana" w:eastAsiaTheme="majorEastAsia" w:hAnsi="Verdana" w:cstheme="majorBidi"/>
      <w:b/>
      <w:sz w:val="24"/>
      <w:szCs w:val="24"/>
    </w:rPr>
  </w:style>
  <w:style w:type="character" w:styleId="Hyperlink">
    <w:name w:val="Hyperlink"/>
    <w:uiPriority w:val="99"/>
    <w:qFormat/>
    <w:rsid w:val="006436E2"/>
    <w:rPr>
      <w:rFonts w:ascii="Verdana" w:hAnsi="Verdana"/>
      <w:color w:val="0000FF"/>
      <w:sz w:val="24"/>
      <w:u w:val="single"/>
    </w:rPr>
  </w:style>
  <w:style w:type="character" w:customStyle="1" w:styleId="Heading4Char">
    <w:name w:val="Heading 4 Char"/>
    <w:basedOn w:val="DefaultParagraphFont"/>
    <w:link w:val="Heading4"/>
    <w:uiPriority w:val="9"/>
    <w:semiHidden/>
    <w:rsid w:val="00B62344"/>
    <w:rPr>
      <w:rFonts w:asciiTheme="minorHAnsi" w:eastAsiaTheme="majorEastAsia" w:hAnsiTheme="minorHAnsi" w:cstheme="majorBidi"/>
      <w:i/>
      <w:iCs/>
      <w:color w:val="0F4761" w:themeColor="accent1" w:themeShade="BF"/>
      <w:kern w:val="0"/>
      <w:sz w:val="24"/>
      <w:szCs w:val="24"/>
      <w:lang w:eastAsia="ja-JP"/>
      <w14:ligatures w14:val="none"/>
    </w:rPr>
  </w:style>
  <w:style w:type="character" w:customStyle="1" w:styleId="Heading5Char">
    <w:name w:val="Heading 5 Char"/>
    <w:basedOn w:val="DefaultParagraphFont"/>
    <w:link w:val="Heading5"/>
    <w:uiPriority w:val="9"/>
    <w:semiHidden/>
    <w:rsid w:val="00B62344"/>
    <w:rPr>
      <w:rFonts w:asciiTheme="minorHAnsi" w:eastAsiaTheme="majorEastAsia" w:hAnsiTheme="minorHAnsi" w:cstheme="majorBidi"/>
      <w:color w:val="0F4761" w:themeColor="accent1" w:themeShade="BF"/>
      <w:kern w:val="0"/>
      <w:sz w:val="24"/>
      <w:szCs w:val="24"/>
      <w:lang w:eastAsia="ja-JP"/>
      <w14:ligatures w14:val="none"/>
    </w:rPr>
  </w:style>
  <w:style w:type="character" w:customStyle="1" w:styleId="Heading6Char">
    <w:name w:val="Heading 6 Char"/>
    <w:basedOn w:val="DefaultParagraphFont"/>
    <w:link w:val="Heading6"/>
    <w:uiPriority w:val="9"/>
    <w:semiHidden/>
    <w:rsid w:val="00B62344"/>
    <w:rPr>
      <w:rFonts w:asciiTheme="minorHAnsi" w:eastAsiaTheme="majorEastAsia" w:hAnsiTheme="minorHAnsi" w:cstheme="majorBidi"/>
      <w:i/>
      <w:iCs/>
      <w:color w:val="595959" w:themeColor="text1" w:themeTint="A6"/>
      <w:kern w:val="0"/>
      <w:sz w:val="24"/>
      <w:szCs w:val="24"/>
      <w:lang w:eastAsia="ja-JP"/>
      <w14:ligatures w14:val="none"/>
    </w:rPr>
  </w:style>
  <w:style w:type="character" w:customStyle="1" w:styleId="Heading7Char">
    <w:name w:val="Heading 7 Char"/>
    <w:basedOn w:val="DefaultParagraphFont"/>
    <w:link w:val="Heading7"/>
    <w:uiPriority w:val="9"/>
    <w:semiHidden/>
    <w:rsid w:val="00B62344"/>
    <w:rPr>
      <w:rFonts w:asciiTheme="minorHAnsi" w:eastAsiaTheme="majorEastAsia" w:hAnsiTheme="minorHAnsi" w:cstheme="majorBidi"/>
      <w:color w:val="595959" w:themeColor="text1" w:themeTint="A6"/>
      <w:kern w:val="0"/>
      <w:sz w:val="24"/>
      <w:szCs w:val="24"/>
      <w:lang w:eastAsia="ja-JP"/>
      <w14:ligatures w14:val="none"/>
    </w:rPr>
  </w:style>
  <w:style w:type="character" w:customStyle="1" w:styleId="Heading8Char">
    <w:name w:val="Heading 8 Char"/>
    <w:basedOn w:val="DefaultParagraphFont"/>
    <w:link w:val="Heading8"/>
    <w:uiPriority w:val="9"/>
    <w:semiHidden/>
    <w:rsid w:val="00B62344"/>
    <w:rPr>
      <w:rFonts w:asciiTheme="minorHAnsi" w:eastAsiaTheme="majorEastAsia" w:hAnsiTheme="minorHAnsi" w:cstheme="majorBidi"/>
      <w:i/>
      <w:iCs/>
      <w:color w:val="272727" w:themeColor="text1" w:themeTint="D8"/>
      <w:kern w:val="0"/>
      <w:sz w:val="24"/>
      <w:szCs w:val="24"/>
      <w:lang w:eastAsia="ja-JP"/>
      <w14:ligatures w14:val="none"/>
    </w:rPr>
  </w:style>
  <w:style w:type="character" w:customStyle="1" w:styleId="Heading9Char">
    <w:name w:val="Heading 9 Char"/>
    <w:basedOn w:val="DefaultParagraphFont"/>
    <w:link w:val="Heading9"/>
    <w:uiPriority w:val="9"/>
    <w:semiHidden/>
    <w:rsid w:val="00B62344"/>
    <w:rPr>
      <w:rFonts w:asciiTheme="minorHAnsi" w:eastAsiaTheme="majorEastAsia" w:hAnsiTheme="minorHAnsi" w:cstheme="majorBidi"/>
      <w:color w:val="272727" w:themeColor="text1" w:themeTint="D8"/>
      <w:kern w:val="0"/>
      <w:sz w:val="24"/>
      <w:szCs w:val="24"/>
      <w:lang w:eastAsia="ja-JP"/>
      <w14:ligatures w14:val="none"/>
    </w:rPr>
  </w:style>
  <w:style w:type="paragraph" w:styleId="Title">
    <w:name w:val="Title"/>
    <w:basedOn w:val="Normal"/>
    <w:next w:val="Normal"/>
    <w:link w:val="TitleChar"/>
    <w:uiPriority w:val="10"/>
    <w:qFormat/>
    <w:rsid w:val="00B62344"/>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344"/>
    <w:rPr>
      <w:rFonts w:asciiTheme="majorHAnsi" w:eastAsiaTheme="majorEastAsia" w:hAnsiTheme="majorHAnsi" w:cstheme="majorBidi"/>
      <w:spacing w:val="-10"/>
      <w:kern w:val="28"/>
      <w:sz w:val="56"/>
      <w:szCs w:val="56"/>
      <w:lang w:eastAsia="ja-JP"/>
      <w14:ligatures w14:val="none"/>
    </w:rPr>
  </w:style>
  <w:style w:type="paragraph" w:styleId="Subtitle">
    <w:name w:val="Subtitle"/>
    <w:basedOn w:val="Normal"/>
    <w:next w:val="Normal"/>
    <w:link w:val="SubtitleChar"/>
    <w:uiPriority w:val="11"/>
    <w:qFormat/>
    <w:rsid w:val="00B6234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344"/>
    <w:rPr>
      <w:rFonts w:asciiTheme="minorHAnsi" w:eastAsiaTheme="majorEastAsia" w:hAnsiTheme="minorHAnsi" w:cstheme="majorBidi"/>
      <w:color w:val="595959" w:themeColor="text1" w:themeTint="A6"/>
      <w:spacing w:val="15"/>
      <w:kern w:val="0"/>
      <w:sz w:val="28"/>
      <w:szCs w:val="28"/>
      <w:lang w:eastAsia="ja-JP"/>
      <w14:ligatures w14:val="none"/>
    </w:rPr>
  </w:style>
  <w:style w:type="paragraph" w:styleId="Quote">
    <w:name w:val="Quote"/>
    <w:basedOn w:val="Normal"/>
    <w:next w:val="Normal"/>
    <w:link w:val="QuoteChar"/>
    <w:uiPriority w:val="29"/>
    <w:qFormat/>
    <w:rsid w:val="00B62344"/>
    <w:pPr>
      <w:spacing w:before="160"/>
      <w:jc w:val="center"/>
    </w:pPr>
    <w:rPr>
      <w:i/>
      <w:iCs/>
      <w:color w:val="404040" w:themeColor="text1" w:themeTint="BF"/>
    </w:rPr>
  </w:style>
  <w:style w:type="character" w:customStyle="1" w:styleId="QuoteChar">
    <w:name w:val="Quote Char"/>
    <w:basedOn w:val="DefaultParagraphFont"/>
    <w:link w:val="Quote"/>
    <w:uiPriority w:val="29"/>
    <w:rsid w:val="00B62344"/>
    <w:rPr>
      <w:rFonts w:ascii="Verdana" w:eastAsiaTheme="minorEastAsia" w:hAnsi="Verdana" w:cstheme="minorBidi"/>
      <w:i/>
      <w:iCs/>
      <w:color w:val="404040" w:themeColor="text1" w:themeTint="BF"/>
      <w:kern w:val="0"/>
      <w:sz w:val="24"/>
      <w:szCs w:val="24"/>
      <w:lang w:eastAsia="ja-JP"/>
      <w14:ligatures w14:val="none"/>
    </w:rPr>
  </w:style>
  <w:style w:type="paragraph" w:styleId="ListParagraph">
    <w:name w:val="List Paragraph"/>
    <w:basedOn w:val="Normal"/>
    <w:uiPriority w:val="34"/>
    <w:qFormat/>
    <w:rsid w:val="00B62344"/>
    <w:pPr>
      <w:ind w:left="720"/>
    </w:pPr>
  </w:style>
  <w:style w:type="character" w:styleId="IntenseEmphasis">
    <w:name w:val="Intense Emphasis"/>
    <w:basedOn w:val="DefaultParagraphFont"/>
    <w:uiPriority w:val="21"/>
    <w:qFormat/>
    <w:rsid w:val="00B62344"/>
    <w:rPr>
      <w:i/>
      <w:iCs/>
      <w:color w:val="0F4761" w:themeColor="accent1" w:themeShade="BF"/>
    </w:rPr>
  </w:style>
  <w:style w:type="paragraph" w:styleId="IntenseQuote">
    <w:name w:val="Intense Quote"/>
    <w:basedOn w:val="Normal"/>
    <w:next w:val="Normal"/>
    <w:link w:val="IntenseQuoteChar"/>
    <w:uiPriority w:val="30"/>
    <w:qFormat/>
    <w:rsid w:val="00B62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344"/>
    <w:rPr>
      <w:rFonts w:ascii="Verdana" w:eastAsiaTheme="minorEastAsia" w:hAnsi="Verdana" w:cstheme="minorBidi"/>
      <w:i/>
      <w:iCs/>
      <w:color w:val="0F4761" w:themeColor="accent1" w:themeShade="BF"/>
      <w:kern w:val="0"/>
      <w:sz w:val="24"/>
      <w:szCs w:val="24"/>
      <w:lang w:eastAsia="ja-JP"/>
      <w14:ligatures w14:val="none"/>
    </w:rPr>
  </w:style>
  <w:style w:type="character" w:styleId="IntenseReference">
    <w:name w:val="Intense Reference"/>
    <w:basedOn w:val="DefaultParagraphFont"/>
    <w:uiPriority w:val="32"/>
    <w:qFormat/>
    <w:rsid w:val="00B62344"/>
    <w:rPr>
      <w:b/>
      <w:bCs/>
      <w:smallCaps/>
      <w:color w:val="0F4761" w:themeColor="accent1" w:themeShade="BF"/>
      <w:spacing w:val="5"/>
    </w:rPr>
  </w:style>
  <w:style w:type="table" w:styleId="TableGrid">
    <w:name w:val="Table Grid"/>
    <w:basedOn w:val="TableNormal"/>
    <w:uiPriority w:val="39"/>
    <w:rsid w:val="00B62344"/>
    <w:rPr>
      <w:rFonts w:asciiTheme="minorHAnsi" w:hAnsiTheme="minorHAnsi" w:cstheme="minorBid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62344"/>
    <w:pPr>
      <w:spacing w:before="100" w:beforeAutospacing="1" w:after="100" w:afterAutospacing="1" w:line="240" w:lineRule="auto"/>
    </w:pPr>
    <w:rPr>
      <w:rFonts w:ascii="Times New Roman" w:eastAsia="Times New Roman" w:hAnsi="Times New Roman" w:cs="Times New Roman"/>
      <w:szCs w:val="24"/>
    </w:rPr>
  </w:style>
  <w:style w:type="paragraph" w:styleId="TOC2">
    <w:name w:val="toc 2"/>
    <w:basedOn w:val="Normal"/>
    <w:next w:val="Normal"/>
    <w:autoRedefine/>
    <w:uiPriority w:val="39"/>
    <w:unhideWhenUsed/>
    <w:rsid w:val="00B62344"/>
    <w:pPr>
      <w:tabs>
        <w:tab w:val="right" w:leader="dot" w:pos="12230"/>
      </w:tabs>
      <w:spacing w:after="100"/>
      <w:ind w:left="-90"/>
    </w:pPr>
  </w:style>
  <w:style w:type="paragraph" w:styleId="Revision">
    <w:name w:val="Revision"/>
    <w:hidden/>
    <w:uiPriority w:val="99"/>
    <w:semiHidden/>
    <w:rsid w:val="004A7378"/>
    <w:rPr>
      <w:rFonts w:ascii="Verdana" w:hAnsi="Verdana" w:cstheme="minorBidi"/>
      <w:kern w:val="0"/>
      <w:sz w:val="24"/>
      <w:szCs w:val="22"/>
      <w14:ligatures w14:val="none"/>
    </w:rPr>
  </w:style>
  <w:style w:type="character" w:styleId="FollowedHyperlink">
    <w:name w:val="FollowedHyperlink"/>
    <w:basedOn w:val="DefaultParagraphFont"/>
    <w:uiPriority w:val="99"/>
    <w:semiHidden/>
    <w:unhideWhenUsed/>
    <w:rsid w:val="00BD3386"/>
    <w:rPr>
      <w:color w:val="96607D" w:themeColor="followedHyperlink"/>
      <w:u w:val="single"/>
    </w:rPr>
  </w:style>
  <w:style w:type="character" w:styleId="UnresolvedMention">
    <w:name w:val="Unresolved Mention"/>
    <w:basedOn w:val="DefaultParagraphFont"/>
    <w:uiPriority w:val="99"/>
    <w:semiHidden/>
    <w:unhideWhenUsed/>
    <w:rsid w:val="00AC1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image" Target="media/image1.png"/><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3" Type="http://schemas.openxmlformats.org/officeDocument/2006/relationships/settings" Target="settings.xm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policy.corp.cvscaremark.com/pnp/faces/DocRenderer?documentId=CALL-0049" TargetMode="External"/><Relationship Id="rId50" Type="http://schemas.openxmlformats.org/officeDocument/2006/relationships/hyperlink" Target="https://thesource.cvshealth.com/nuxeo/thesource/" TargetMode="External"/><Relationship Id="rId7" Type="http://schemas.openxmlformats.org/officeDocument/2006/relationships/image" Target="media/image3.png"/><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2" Type="http://schemas.openxmlformats.org/officeDocument/2006/relationships/styles" Target="styles.xml"/><Relationship Id="rId16" Type="http://schemas.openxmlformats.org/officeDocument/2006/relationships/hyperlink" Target="https://thesource.cvshealth.com/nuxeo/thesource/" TargetMode="External"/><Relationship Id="rId20" Type="http://schemas.openxmlformats.org/officeDocument/2006/relationships/image" Target="media/image6.png"/><Relationship Id="rId29"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1" Type="http://schemas.openxmlformats.org/officeDocument/2006/relationships/numbering" Target="numbering.xml"/><Relationship Id="rId6" Type="http://schemas.openxmlformats.org/officeDocument/2006/relationships/hyperlink" Target="https://thesource.cvshealth.com/nuxeo/thesource/" TargetMode="Externa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 Type="http://schemas.openxmlformats.org/officeDocument/2006/relationships/image" Target="media/image2.png"/><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image" Target="media/image5.png"/><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8" Type="http://schemas.openxmlformats.org/officeDocument/2006/relationships/hyperlink" Target="https://thesource.cvshealth.com/nuxeo/thesource/" TargetMode="External"/><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3278</Words>
  <Characters>18686</Characters>
  <Application>Microsoft Office Word</Application>
  <DocSecurity>0</DocSecurity>
  <Lines>155</Lines>
  <Paragraphs>43</Paragraphs>
  <ScaleCrop>false</ScaleCrop>
  <Company/>
  <LinksUpToDate>false</LinksUpToDate>
  <CharactersWithSpaces>21921</CharactersWithSpaces>
  <SharedDoc>false</SharedDoc>
  <HLinks>
    <vt:vector size="318" baseType="variant">
      <vt:variant>
        <vt:i4>262192</vt:i4>
      </vt:variant>
      <vt:variant>
        <vt:i4>159</vt:i4>
      </vt:variant>
      <vt:variant>
        <vt:i4>0</vt:i4>
      </vt:variant>
      <vt:variant>
        <vt:i4>5</vt:i4>
      </vt:variant>
      <vt:variant>
        <vt:lpwstr/>
      </vt:variant>
      <vt:variant>
        <vt:lpwstr>_top</vt:lpwstr>
      </vt:variant>
      <vt:variant>
        <vt:i4>1376333</vt:i4>
      </vt:variant>
      <vt:variant>
        <vt:i4>156</vt:i4>
      </vt:variant>
      <vt:variant>
        <vt:i4>0</vt:i4>
      </vt:variant>
      <vt:variant>
        <vt:i4>5</vt:i4>
      </vt:variant>
      <vt:variant>
        <vt:lpwstr>https://thesource.cvshealth.com/nuxeo/thesource/</vt:lpwstr>
      </vt:variant>
      <vt:variant>
        <vt:lpwstr>!/view?docid=c1f1028b-e42c-4b4f-a4cf-cc0b42c91606</vt:lpwstr>
      </vt:variant>
      <vt:variant>
        <vt:i4>1441819</vt:i4>
      </vt:variant>
      <vt:variant>
        <vt:i4>153</vt:i4>
      </vt:variant>
      <vt:variant>
        <vt:i4>0</vt:i4>
      </vt:variant>
      <vt:variant>
        <vt:i4>5</vt:i4>
      </vt:variant>
      <vt:variant>
        <vt:lpwstr>https://thesource.cvshealth.com/nuxeo/thesource/</vt:lpwstr>
      </vt:variant>
      <vt:variant>
        <vt:lpwstr>!/view?docid=7c3ff2ae-2451-4c2c-9609-3f9f4dfda78c</vt:lpwstr>
      </vt:variant>
      <vt:variant>
        <vt:i4>4194333</vt:i4>
      </vt:variant>
      <vt:variant>
        <vt:i4>150</vt:i4>
      </vt:variant>
      <vt:variant>
        <vt:i4>0</vt:i4>
      </vt:variant>
      <vt:variant>
        <vt:i4>5</vt:i4>
      </vt:variant>
      <vt:variant>
        <vt:lpwstr>https://thesource.cvshealth.com/nuxeo/thesource/</vt:lpwstr>
      </vt:variant>
      <vt:variant>
        <vt:lpwstr>!/view?docid=1e7d7ad7-e1c1-4fa1-8258-215a1c0ff32b</vt:lpwstr>
      </vt:variant>
      <vt:variant>
        <vt:i4>2424887</vt:i4>
      </vt:variant>
      <vt:variant>
        <vt:i4>147</vt:i4>
      </vt:variant>
      <vt:variant>
        <vt:i4>0</vt:i4>
      </vt:variant>
      <vt:variant>
        <vt:i4>5</vt:i4>
      </vt:variant>
      <vt:variant>
        <vt:lpwstr>https://policy.corp.cvscaremark.com/pnp/faces/DocRenderer?documentId=CALL-0049</vt:lpwstr>
      </vt:variant>
      <vt:variant>
        <vt:lpwstr/>
      </vt:variant>
      <vt:variant>
        <vt:i4>262192</vt:i4>
      </vt:variant>
      <vt:variant>
        <vt:i4>144</vt:i4>
      </vt:variant>
      <vt:variant>
        <vt:i4>0</vt:i4>
      </vt:variant>
      <vt:variant>
        <vt:i4>5</vt:i4>
      </vt:variant>
      <vt:variant>
        <vt:lpwstr/>
      </vt:variant>
      <vt:variant>
        <vt:lpwstr>_top</vt:lpwstr>
      </vt:variant>
      <vt:variant>
        <vt:i4>4718608</vt:i4>
      </vt:variant>
      <vt:variant>
        <vt:i4>141</vt:i4>
      </vt:variant>
      <vt:variant>
        <vt:i4>0</vt:i4>
      </vt:variant>
      <vt:variant>
        <vt:i4>5</vt:i4>
      </vt:variant>
      <vt:variant>
        <vt:lpwstr>https://thesource.cvshealth.com/nuxeo/thesource/</vt:lpwstr>
      </vt:variant>
      <vt:variant>
        <vt:lpwstr>!/view?docid=c0bef465-4a70-4ebe-aced-908aad7eec38</vt:lpwstr>
      </vt:variant>
      <vt:variant>
        <vt:i4>1703966</vt:i4>
      </vt:variant>
      <vt:variant>
        <vt:i4>138</vt:i4>
      </vt:variant>
      <vt:variant>
        <vt:i4>0</vt:i4>
      </vt:variant>
      <vt:variant>
        <vt:i4>5</vt:i4>
      </vt:variant>
      <vt:variant>
        <vt:lpwstr>https://thesource.cvshealth.com/nuxeo/thesource/</vt:lpwstr>
      </vt:variant>
      <vt:variant>
        <vt:lpwstr>!/view?docid=f22eb77e-4033-4ad9-9afb-fc262f29faad</vt:lpwstr>
      </vt:variant>
      <vt:variant>
        <vt:i4>1703966</vt:i4>
      </vt:variant>
      <vt:variant>
        <vt:i4>135</vt:i4>
      </vt:variant>
      <vt:variant>
        <vt:i4>0</vt:i4>
      </vt:variant>
      <vt:variant>
        <vt:i4>5</vt:i4>
      </vt:variant>
      <vt:variant>
        <vt:lpwstr>https://thesource.cvshealth.com/nuxeo/thesource/</vt:lpwstr>
      </vt:variant>
      <vt:variant>
        <vt:lpwstr>!/view?docid=f22eb77e-4033-4ad9-9afb-fc262f29faad</vt:lpwstr>
      </vt:variant>
      <vt:variant>
        <vt:i4>262192</vt:i4>
      </vt:variant>
      <vt:variant>
        <vt:i4>132</vt:i4>
      </vt:variant>
      <vt:variant>
        <vt:i4>0</vt:i4>
      </vt:variant>
      <vt:variant>
        <vt:i4>5</vt:i4>
      </vt:variant>
      <vt:variant>
        <vt:lpwstr/>
      </vt:variant>
      <vt:variant>
        <vt:lpwstr>_top</vt:lpwstr>
      </vt:variant>
      <vt:variant>
        <vt:i4>1572938</vt:i4>
      </vt:variant>
      <vt:variant>
        <vt:i4>129</vt:i4>
      </vt:variant>
      <vt:variant>
        <vt:i4>0</vt:i4>
      </vt:variant>
      <vt:variant>
        <vt:i4>5</vt:i4>
      </vt:variant>
      <vt:variant>
        <vt:lpwstr>https://thesource.cvshealth.com/nuxeo/thesource/</vt:lpwstr>
      </vt:variant>
      <vt:variant>
        <vt:lpwstr>!/view?docid=fb502149-98f6-43eb-935c-8d467702a50c</vt:lpwstr>
      </vt:variant>
      <vt:variant>
        <vt:i4>5177417</vt:i4>
      </vt:variant>
      <vt:variant>
        <vt:i4>126</vt:i4>
      </vt:variant>
      <vt:variant>
        <vt:i4>0</vt:i4>
      </vt:variant>
      <vt:variant>
        <vt:i4>5</vt:i4>
      </vt:variant>
      <vt:variant>
        <vt:lpwstr>https://thesource.cvshealth.com/nuxeo/thesource/</vt:lpwstr>
      </vt:variant>
      <vt:variant>
        <vt:lpwstr>!/view?docid=e1f9ddb2-60d2-4249-96b5-6d0b2b1849bf</vt:lpwstr>
      </vt:variant>
      <vt:variant>
        <vt:i4>1572941</vt:i4>
      </vt:variant>
      <vt:variant>
        <vt:i4>123</vt:i4>
      </vt:variant>
      <vt:variant>
        <vt:i4>0</vt:i4>
      </vt:variant>
      <vt:variant>
        <vt:i4>5</vt:i4>
      </vt:variant>
      <vt:variant>
        <vt:lpwstr>https://thesource.cvshealth.com/nuxeo/thesource/</vt:lpwstr>
      </vt:variant>
      <vt:variant>
        <vt:lpwstr>!/view?docid=498a0f7a-f045-4c18-97ec-b597171dafe8</vt:lpwstr>
      </vt:variant>
      <vt:variant>
        <vt:i4>1966097</vt:i4>
      </vt:variant>
      <vt:variant>
        <vt:i4>120</vt:i4>
      </vt:variant>
      <vt:variant>
        <vt:i4>0</vt:i4>
      </vt:variant>
      <vt:variant>
        <vt:i4>5</vt:i4>
      </vt:variant>
      <vt:variant>
        <vt:lpwstr>https://thesource.cvshealth.com/nuxeo/thesource/</vt:lpwstr>
      </vt:variant>
      <vt:variant>
        <vt:lpwstr>!/view?docid=309dc876-14ef-40f4-907d-d604d0125e8e</vt:lpwstr>
      </vt:variant>
      <vt:variant>
        <vt:i4>4390932</vt:i4>
      </vt:variant>
      <vt:variant>
        <vt:i4>117</vt:i4>
      </vt:variant>
      <vt:variant>
        <vt:i4>0</vt:i4>
      </vt:variant>
      <vt:variant>
        <vt:i4>5</vt:i4>
      </vt:variant>
      <vt:variant>
        <vt:lpwstr>https://thesource.cvshealth.com/nuxeo/thesource/</vt:lpwstr>
      </vt:variant>
      <vt:variant>
        <vt:lpwstr>!/view?docid=9021840a-7c83-4652-921a-9fdf6373137a</vt:lpwstr>
      </vt:variant>
      <vt:variant>
        <vt:i4>1048605</vt:i4>
      </vt:variant>
      <vt:variant>
        <vt:i4>114</vt:i4>
      </vt:variant>
      <vt:variant>
        <vt:i4>0</vt:i4>
      </vt:variant>
      <vt:variant>
        <vt:i4>5</vt:i4>
      </vt:variant>
      <vt:variant>
        <vt:lpwstr>https://thesource.cvshealth.com/nuxeo/thesource/</vt:lpwstr>
      </vt:variant>
      <vt:variant>
        <vt:lpwstr>!/view?docid=1606b044-3af6-43bf-bf37-188c2355eed3</vt:lpwstr>
      </vt:variant>
      <vt:variant>
        <vt:i4>4784203</vt:i4>
      </vt:variant>
      <vt:variant>
        <vt:i4>111</vt:i4>
      </vt:variant>
      <vt:variant>
        <vt:i4>0</vt:i4>
      </vt:variant>
      <vt:variant>
        <vt:i4>5</vt:i4>
      </vt:variant>
      <vt:variant>
        <vt:lpwstr>https://thesource.cvshealth.com/nuxeo/thesource/</vt:lpwstr>
      </vt:variant>
      <vt:variant>
        <vt:lpwstr>!/view?docid=b3ab218b-4ed8-445b-955e-eaae57a8a8ed</vt:lpwstr>
      </vt:variant>
      <vt:variant>
        <vt:i4>4718608</vt:i4>
      </vt:variant>
      <vt:variant>
        <vt:i4>108</vt:i4>
      </vt:variant>
      <vt:variant>
        <vt:i4>0</vt:i4>
      </vt:variant>
      <vt:variant>
        <vt:i4>5</vt:i4>
      </vt:variant>
      <vt:variant>
        <vt:lpwstr>https://thesource.cvshealth.com/nuxeo/thesource/</vt:lpwstr>
      </vt:variant>
      <vt:variant>
        <vt:lpwstr>!/view?docid=c0bef465-4a70-4ebe-aced-908aad7eec38</vt:lpwstr>
      </vt:variant>
      <vt:variant>
        <vt:i4>4259908</vt:i4>
      </vt:variant>
      <vt:variant>
        <vt:i4>105</vt:i4>
      </vt:variant>
      <vt:variant>
        <vt:i4>0</vt:i4>
      </vt:variant>
      <vt:variant>
        <vt:i4>5</vt:i4>
      </vt:variant>
      <vt:variant>
        <vt:lpwstr>https://thesource.cvshealth.com/nuxeo/thesource/</vt:lpwstr>
      </vt:variant>
      <vt:variant>
        <vt:lpwstr>!/view?docid=e9806d7f-4057-41c8-89a3-078ae3933885</vt:lpwstr>
      </vt:variant>
      <vt:variant>
        <vt:i4>1179726</vt:i4>
      </vt:variant>
      <vt:variant>
        <vt:i4>102</vt:i4>
      </vt:variant>
      <vt:variant>
        <vt:i4>0</vt:i4>
      </vt:variant>
      <vt:variant>
        <vt:i4>5</vt:i4>
      </vt:variant>
      <vt:variant>
        <vt:lpwstr>https://thesource.cvshealth.com/nuxeo/thesource/</vt:lpwstr>
      </vt:variant>
      <vt:variant>
        <vt:lpwstr>!/view?docid=b08257d0-52bb-437a-9659-b51f2b20836b</vt:lpwstr>
      </vt:variant>
      <vt:variant>
        <vt:i4>5111834</vt:i4>
      </vt:variant>
      <vt:variant>
        <vt:i4>99</vt:i4>
      </vt:variant>
      <vt:variant>
        <vt:i4>0</vt:i4>
      </vt:variant>
      <vt:variant>
        <vt:i4>5</vt:i4>
      </vt:variant>
      <vt:variant>
        <vt:lpwstr>https://thesource.cvshealth.com/nuxeo/thesource/</vt:lpwstr>
      </vt:variant>
      <vt:variant>
        <vt:lpwstr>!/view?docid=5ba551ac-8755-4e68-813b-00c6de948c3f</vt:lpwstr>
      </vt:variant>
      <vt:variant>
        <vt:i4>4718614</vt:i4>
      </vt:variant>
      <vt:variant>
        <vt:i4>96</vt:i4>
      </vt:variant>
      <vt:variant>
        <vt:i4>0</vt:i4>
      </vt:variant>
      <vt:variant>
        <vt:i4>5</vt:i4>
      </vt:variant>
      <vt:variant>
        <vt:lpwstr>https://thesource.cvshealth.com/nuxeo/thesource/</vt:lpwstr>
      </vt:variant>
      <vt:variant>
        <vt:lpwstr>!/view?docid=2afb93f5-6068-48b7-af0f-e04000f90426</vt:lpwstr>
      </vt:variant>
      <vt:variant>
        <vt:i4>4259859</vt:i4>
      </vt:variant>
      <vt:variant>
        <vt:i4>93</vt:i4>
      </vt:variant>
      <vt:variant>
        <vt:i4>0</vt:i4>
      </vt:variant>
      <vt:variant>
        <vt:i4>5</vt:i4>
      </vt:variant>
      <vt:variant>
        <vt:lpwstr>https://thesource.cvshealth.com/nuxeo/thesource/</vt:lpwstr>
      </vt:variant>
      <vt:variant>
        <vt:lpwstr>!/view?docid=6d3aac37-46a9-4417-ac20-fa3a32337652</vt:lpwstr>
      </vt:variant>
      <vt:variant>
        <vt:i4>1376330</vt:i4>
      </vt:variant>
      <vt:variant>
        <vt:i4>90</vt:i4>
      </vt:variant>
      <vt:variant>
        <vt:i4>0</vt:i4>
      </vt:variant>
      <vt:variant>
        <vt:i4>5</vt:i4>
      </vt:variant>
      <vt:variant>
        <vt:lpwstr>https://thesource.cvshealth.com/nuxeo/thesource/</vt:lpwstr>
      </vt:variant>
      <vt:variant>
        <vt:lpwstr>!/view?docid=18bb86b7-af5b-4f25-af23-9c635e8a0aa4</vt:lpwstr>
      </vt:variant>
      <vt:variant>
        <vt:i4>1114113</vt:i4>
      </vt:variant>
      <vt:variant>
        <vt:i4>87</vt:i4>
      </vt:variant>
      <vt:variant>
        <vt:i4>0</vt:i4>
      </vt:variant>
      <vt:variant>
        <vt:i4>5</vt:i4>
      </vt:variant>
      <vt:variant>
        <vt:lpwstr/>
      </vt:variant>
      <vt:variant>
        <vt:lpwstr>GenPAWIs</vt:lpwstr>
      </vt:variant>
      <vt:variant>
        <vt:i4>1114116</vt:i4>
      </vt:variant>
      <vt:variant>
        <vt:i4>84</vt:i4>
      </vt:variant>
      <vt:variant>
        <vt:i4>0</vt:i4>
      </vt:variant>
      <vt:variant>
        <vt:i4>5</vt:i4>
      </vt:variant>
      <vt:variant>
        <vt:lpwstr/>
      </vt:variant>
      <vt:variant>
        <vt:lpwstr>WIsForCompass</vt:lpwstr>
      </vt:variant>
      <vt:variant>
        <vt:i4>262192</vt:i4>
      </vt:variant>
      <vt:variant>
        <vt:i4>81</vt:i4>
      </vt:variant>
      <vt:variant>
        <vt:i4>0</vt:i4>
      </vt:variant>
      <vt:variant>
        <vt:i4>5</vt:i4>
      </vt:variant>
      <vt:variant>
        <vt:lpwstr/>
      </vt:variant>
      <vt:variant>
        <vt:lpwstr>_top</vt:lpwstr>
      </vt:variant>
      <vt:variant>
        <vt:i4>1376330</vt:i4>
      </vt:variant>
      <vt:variant>
        <vt:i4>78</vt:i4>
      </vt:variant>
      <vt:variant>
        <vt:i4>0</vt:i4>
      </vt:variant>
      <vt:variant>
        <vt:i4>5</vt:i4>
      </vt:variant>
      <vt:variant>
        <vt:lpwstr>https://thesource.cvshealth.com/nuxeo/thesource/</vt:lpwstr>
      </vt:variant>
      <vt:variant>
        <vt:lpwstr>!/view?docid=18bb86b7-af5b-4f25-af23-9c635e8a0aa4</vt:lpwstr>
      </vt:variant>
      <vt:variant>
        <vt:i4>1376330</vt:i4>
      </vt:variant>
      <vt:variant>
        <vt:i4>75</vt:i4>
      </vt:variant>
      <vt:variant>
        <vt:i4>0</vt:i4>
      </vt:variant>
      <vt:variant>
        <vt:i4>5</vt:i4>
      </vt:variant>
      <vt:variant>
        <vt:lpwstr>https://thesource.cvshealth.com/nuxeo/thesource/</vt:lpwstr>
      </vt:variant>
      <vt:variant>
        <vt:lpwstr>!/view?docid=18bb86b7-af5b-4f25-af23-9c635e8a0aa4</vt:lpwstr>
      </vt:variant>
      <vt:variant>
        <vt:i4>4784203</vt:i4>
      </vt:variant>
      <vt:variant>
        <vt:i4>72</vt:i4>
      </vt:variant>
      <vt:variant>
        <vt:i4>0</vt:i4>
      </vt:variant>
      <vt:variant>
        <vt:i4>5</vt:i4>
      </vt:variant>
      <vt:variant>
        <vt:lpwstr>https://thesource.cvshealth.com/nuxeo/thesource/</vt:lpwstr>
      </vt:variant>
      <vt:variant>
        <vt:lpwstr>!/view?docid=b3ab218b-4ed8-445b-955e-eaae57a8a8ed</vt:lpwstr>
      </vt:variant>
      <vt:variant>
        <vt:i4>4194380</vt:i4>
      </vt:variant>
      <vt:variant>
        <vt:i4>69</vt:i4>
      </vt:variant>
      <vt:variant>
        <vt:i4>0</vt:i4>
      </vt:variant>
      <vt:variant>
        <vt:i4>5</vt:i4>
      </vt:variant>
      <vt:variant>
        <vt:lpwstr>https://thesource.cvshealth.com/nuxeo/thesource/</vt:lpwstr>
      </vt:variant>
      <vt:variant>
        <vt:lpwstr>!/view?docid=845064bd-8ae0-4d30-af0a-e21d6d81933c</vt:lpwstr>
      </vt:variant>
      <vt:variant>
        <vt:i4>4259859</vt:i4>
      </vt:variant>
      <vt:variant>
        <vt:i4>66</vt:i4>
      </vt:variant>
      <vt:variant>
        <vt:i4>0</vt:i4>
      </vt:variant>
      <vt:variant>
        <vt:i4>5</vt:i4>
      </vt:variant>
      <vt:variant>
        <vt:lpwstr>https://thesource.cvshealth.com/nuxeo/thesource/</vt:lpwstr>
      </vt:variant>
      <vt:variant>
        <vt:lpwstr>!/view?docid=6d3aac37-46a9-4417-ac20-fa3a32337652</vt:lpwstr>
      </vt:variant>
      <vt:variant>
        <vt:i4>1966152</vt:i4>
      </vt:variant>
      <vt:variant>
        <vt:i4>63</vt:i4>
      </vt:variant>
      <vt:variant>
        <vt:i4>0</vt:i4>
      </vt:variant>
      <vt:variant>
        <vt:i4>5</vt:i4>
      </vt:variant>
      <vt:variant>
        <vt:lpwstr>https://thesource.cvshealth.com/nuxeo/thesource/</vt:lpwstr>
      </vt:variant>
      <vt:variant>
        <vt:lpwstr>!/view?docid=91f73b9d-e568-48dd-9ab4-88cb2654d4c9</vt:lpwstr>
      </vt:variant>
      <vt:variant>
        <vt:i4>4259919</vt:i4>
      </vt:variant>
      <vt:variant>
        <vt:i4>60</vt:i4>
      </vt:variant>
      <vt:variant>
        <vt:i4>0</vt:i4>
      </vt:variant>
      <vt:variant>
        <vt:i4>5</vt:i4>
      </vt:variant>
      <vt:variant>
        <vt:lpwstr>https://thesource.cvshealth.com/nuxeo/thesource/</vt:lpwstr>
      </vt:variant>
      <vt:variant>
        <vt:lpwstr>!/view?docid=b3dbfb44-1c9e-47a6-b8f4-6010f553731b</vt:lpwstr>
      </vt:variant>
      <vt:variant>
        <vt:i4>6946941</vt:i4>
      </vt:variant>
      <vt:variant>
        <vt:i4>57</vt:i4>
      </vt:variant>
      <vt:variant>
        <vt:i4>0</vt:i4>
      </vt:variant>
      <vt:variant>
        <vt:i4>5</vt:i4>
      </vt:variant>
      <vt:variant>
        <vt:lpwstr/>
      </vt:variant>
      <vt:variant>
        <vt:lpwstr>PAIndex</vt:lpwstr>
      </vt:variant>
      <vt:variant>
        <vt:i4>1704010</vt:i4>
      </vt:variant>
      <vt:variant>
        <vt:i4>54</vt:i4>
      </vt:variant>
      <vt:variant>
        <vt:i4>0</vt:i4>
      </vt:variant>
      <vt:variant>
        <vt:i4>5</vt:i4>
      </vt:variant>
      <vt:variant>
        <vt:lpwstr>https://thesource.cvshealth.com/nuxeo/thesource/</vt:lpwstr>
      </vt:variant>
      <vt:variant>
        <vt:lpwstr>!/view?docid=60c20ea0-1d07-46e3-809a-b54734b80fbe</vt:lpwstr>
      </vt:variant>
      <vt:variant>
        <vt:i4>1376330</vt:i4>
      </vt:variant>
      <vt:variant>
        <vt:i4>51</vt:i4>
      </vt:variant>
      <vt:variant>
        <vt:i4>0</vt:i4>
      </vt:variant>
      <vt:variant>
        <vt:i4>5</vt:i4>
      </vt:variant>
      <vt:variant>
        <vt:lpwstr>https://thesource.cvshealth.com/nuxeo/thesource/</vt:lpwstr>
      </vt:variant>
      <vt:variant>
        <vt:lpwstr>!/view?docid=18bb86b7-af5b-4f25-af23-9c635e8a0aa4</vt:lpwstr>
      </vt:variant>
      <vt:variant>
        <vt:i4>1114191</vt:i4>
      </vt:variant>
      <vt:variant>
        <vt:i4>48</vt:i4>
      </vt:variant>
      <vt:variant>
        <vt:i4>0</vt:i4>
      </vt:variant>
      <vt:variant>
        <vt:i4>5</vt:i4>
      </vt:variant>
      <vt:variant>
        <vt:lpwstr>https://thesource.cvshealth.com/nuxeo/thesource/</vt:lpwstr>
      </vt:variant>
      <vt:variant>
        <vt:lpwstr>!/view?docid=c45b56be-1ed1-4954-8487-3781fd7d1d55</vt:lpwstr>
      </vt:variant>
      <vt:variant>
        <vt:i4>1572938</vt:i4>
      </vt:variant>
      <vt:variant>
        <vt:i4>45</vt:i4>
      </vt:variant>
      <vt:variant>
        <vt:i4>0</vt:i4>
      </vt:variant>
      <vt:variant>
        <vt:i4>5</vt:i4>
      </vt:variant>
      <vt:variant>
        <vt:lpwstr>https://thesource.cvshealth.com/nuxeo/thesource/</vt:lpwstr>
      </vt:variant>
      <vt:variant>
        <vt:lpwstr>!/view?docid=fb502149-98f6-43eb-935c-8d467702a50c</vt:lpwstr>
      </vt:variant>
      <vt:variant>
        <vt:i4>1704014</vt:i4>
      </vt:variant>
      <vt:variant>
        <vt:i4>42</vt:i4>
      </vt:variant>
      <vt:variant>
        <vt:i4>0</vt:i4>
      </vt:variant>
      <vt:variant>
        <vt:i4>5</vt:i4>
      </vt:variant>
      <vt:variant>
        <vt:lpwstr>https://thesource.cvshealth.com/nuxeo/thesource/</vt:lpwstr>
      </vt:variant>
      <vt:variant>
        <vt:lpwstr>!/view?docid=c954b131-7884-494c-b4bb-dfc12fdc846f</vt:lpwstr>
      </vt:variant>
      <vt:variant>
        <vt:i4>1310795</vt:i4>
      </vt:variant>
      <vt:variant>
        <vt:i4>39</vt:i4>
      </vt:variant>
      <vt:variant>
        <vt:i4>0</vt:i4>
      </vt:variant>
      <vt:variant>
        <vt:i4>5</vt:i4>
      </vt:variant>
      <vt:variant>
        <vt:lpwstr>https://thesource.cvshealth.com/nuxeo/thesource/</vt:lpwstr>
      </vt:variant>
      <vt:variant>
        <vt:lpwstr>!/view?docid=bcb8da72-5501-4631-b9fd-fe675bc4a1fd</vt:lpwstr>
      </vt:variant>
      <vt:variant>
        <vt:i4>4587548</vt:i4>
      </vt:variant>
      <vt:variant>
        <vt:i4>36</vt:i4>
      </vt:variant>
      <vt:variant>
        <vt:i4>0</vt:i4>
      </vt:variant>
      <vt:variant>
        <vt:i4>5</vt:i4>
      </vt:variant>
      <vt:variant>
        <vt:lpwstr>https://thesource.cvshealth.com/nuxeo/thesource/</vt:lpwstr>
      </vt:variant>
      <vt:variant>
        <vt:lpwstr>!/view?docid=5b354e50-0d15-42d0-b9c2-0711ea02d9ce</vt:lpwstr>
      </vt:variant>
      <vt:variant>
        <vt:i4>262192</vt:i4>
      </vt:variant>
      <vt:variant>
        <vt:i4>33</vt:i4>
      </vt:variant>
      <vt:variant>
        <vt:i4>0</vt:i4>
      </vt:variant>
      <vt:variant>
        <vt:i4>5</vt:i4>
      </vt:variant>
      <vt:variant>
        <vt:lpwstr/>
      </vt:variant>
      <vt:variant>
        <vt:lpwstr>_top</vt:lpwstr>
      </vt:variant>
      <vt:variant>
        <vt:i4>4718614</vt:i4>
      </vt:variant>
      <vt:variant>
        <vt:i4>30</vt:i4>
      </vt:variant>
      <vt:variant>
        <vt:i4>0</vt:i4>
      </vt:variant>
      <vt:variant>
        <vt:i4>5</vt:i4>
      </vt:variant>
      <vt:variant>
        <vt:lpwstr>https://thesource.cvshealth.com/nuxeo/thesource/</vt:lpwstr>
      </vt:variant>
      <vt:variant>
        <vt:lpwstr>!/view?docid=2afb93f5-6068-48b7-af0f-e04000f90426</vt:lpwstr>
      </vt:variant>
      <vt:variant>
        <vt:i4>1572938</vt:i4>
      </vt:variant>
      <vt:variant>
        <vt:i4>27</vt:i4>
      </vt:variant>
      <vt:variant>
        <vt:i4>0</vt:i4>
      </vt:variant>
      <vt:variant>
        <vt:i4>5</vt:i4>
      </vt:variant>
      <vt:variant>
        <vt:lpwstr>https://thesource.cvshealth.com/nuxeo/thesource/</vt:lpwstr>
      </vt:variant>
      <vt:variant>
        <vt:lpwstr>!/view?docid=fb502149-98f6-43eb-935c-8d467702a50c</vt:lpwstr>
      </vt:variant>
      <vt:variant>
        <vt:i4>4194380</vt:i4>
      </vt:variant>
      <vt:variant>
        <vt:i4>24</vt:i4>
      </vt:variant>
      <vt:variant>
        <vt:i4>0</vt:i4>
      </vt:variant>
      <vt:variant>
        <vt:i4>5</vt:i4>
      </vt:variant>
      <vt:variant>
        <vt:lpwstr>https://thesource.cvshealth.com/nuxeo/thesource/</vt:lpwstr>
      </vt:variant>
      <vt:variant>
        <vt:lpwstr>!/view?docid=845064bd-8ae0-4d30-af0a-e21d6d81933c</vt:lpwstr>
      </vt:variant>
      <vt:variant>
        <vt:i4>1572938</vt:i4>
      </vt:variant>
      <vt:variant>
        <vt:i4>21</vt:i4>
      </vt:variant>
      <vt:variant>
        <vt:i4>0</vt:i4>
      </vt:variant>
      <vt:variant>
        <vt:i4>5</vt:i4>
      </vt:variant>
      <vt:variant>
        <vt:lpwstr>https://thesource.cvshealth.com/nuxeo/thesource/</vt:lpwstr>
      </vt:variant>
      <vt:variant>
        <vt:lpwstr>!/view?docid=fb502149-98f6-43eb-935c-8d467702a50c</vt:lpwstr>
      </vt:variant>
      <vt:variant>
        <vt:i4>1572938</vt:i4>
      </vt:variant>
      <vt:variant>
        <vt:i4>18</vt:i4>
      </vt:variant>
      <vt:variant>
        <vt:i4>0</vt:i4>
      </vt:variant>
      <vt:variant>
        <vt:i4>5</vt:i4>
      </vt:variant>
      <vt:variant>
        <vt:lpwstr>https://thesource.cvshealth.com/nuxeo/thesource/</vt:lpwstr>
      </vt:variant>
      <vt:variant>
        <vt:lpwstr>!/view?docid=fb502149-98f6-43eb-935c-8d467702a50c</vt:lpwstr>
      </vt:variant>
      <vt:variant>
        <vt:i4>1966134</vt:i4>
      </vt:variant>
      <vt:variant>
        <vt:i4>14</vt:i4>
      </vt:variant>
      <vt:variant>
        <vt:i4>0</vt:i4>
      </vt:variant>
      <vt:variant>
        <vt:i4>5</vt:i4>
      </vt:variant>
      <vt:variant>
        <vt:lpwstr/>
      </vt:variant>
      <vt:variant>
        <vt:lpwstr>_Toc193466224</vt:lpwstr>
      </vt:variant>
      <vt:variant>
        <vt:i4>1966134</vt:i4>
      </vt:variant>
      <vt:variant>
        <vt:i4>11</vt:i4>
      </vt:variant>
      <vt:variant>
        <vt:i4>0</vt:i4>
      </vt:variant>
      <vt:variant>
        <vt:i4>5</vt:i4>
      </vt:variant>
      <vt:variant>
        <vt:lpwstr/>
      </vt:variant>
      <vt:variant>
        <vt:lpwstr>_Toc193466223</vt:lpwstr>
      </vt:variant>
      <vt:variant>
        <vt:i4>1966134</vt:i4>
      </vt:variant>
      <vt:variant>
        <vt:i4>8</vt:i4>
      </vt:variant>
      <vt:variant>
        <vt:i4>0</vt:i4>
      </vt:variant>
      <vt:variant>
        <vt:i4>5</vt:i4>
      </vt:variant>
      <vt:variant>
        <vt:lpwstr/>
      </vt:variant>
      <vt:variant>
        <vt:lpwstr>_Toc193466222</vt:lpwstr>
      </vt:variant>
      <vt:variant>
        <vt:i4>1966134</vt:i4>
      </vt:variant>
      <vt:variant>
        <vt:i4>5</vt:i4>
      </vt:variant>
      <vt:variant>
        <vt:i4>0</vt:i4>
      </vt:variant>
      <vt:variant>
        <vt:i4>5</vt:i4>
      </vt:variant>
      <vt:variant>
        <vt:lpwstr/>
      </vt:variant>
      <vt:variant>
        <vt:lpwstr>_Toc193466221</vt:lpwstr>
      </vt:variant>
      <vt:variant>
        <vt:i4>1966134</vt:i4>
      </vt:variant>
      <vt:variant>
        <vt:i4>2</vt:i4>
      </vt:variant>
      <vt:variant>
        <vt:i4>0</vt:i4>
      </vt:variant>
      <vt:variant>
        <vt:i4>5</vt:i4>
      </vt:variant>
      <vt:variant>
        <vt:lpwstr/>
      </vt:variant>
      <vt:variant>
        <vt:lpwstr>_Toc193466220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Dugdale, Brienna</cp:lastModifiedBy>
  <cp:revision>13</cp:revision>
  <dcterms:created xsi:type="dcterms:W3CDTF">2025-09-05T00:04:00Z</dcterms:created>
  <dcterms:modified xsi:type="dcterms:W3CDTF">2025-09-09T16:48:00Z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2025-06-23T14:16:52Z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6a1f5d20-6c24-4f8e-9f86-069a5b9f59a3</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