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B54C" w14:textId="264C6532" w:rsidR="004215B1" w:rsidRPr="004215B1" w:rsidRDefault="004215B1" w:rsidP="004215B1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bookmarkStart w:id="0" w:name="_top"/>
      <w:bookmarkEnd w:id="0"/>
      <w:r w:rsidRPr="004215B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Prior Authorization and Clinical Exceptions Scenarios </w:t>
      </w:r>
    </w:p>
    <w:p w14:paraId="101C7932" w14:textId="77777777" w:rsidR="00860349" w:rsidRDefault="00860349" w:rsidP="006A25F6">
      <w:pPr>
        <w:pStyle w:val="TOC2"/>
        <w:rPr>
          <w:rFonts w:eastAsia="Times New Roman" w:cs="Times New Roman"/>
        </w:rPr>
      </w:pPr>
    </w:p>
    <w:p w14:paraId="5BA9C181" w14:textId="09BDE91B" w:rsidR="00860349" w:rsidRPr="00860349" w:rsidRDefault="00B40A52" w:rsidP="00860349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860349">
        <w:rPr>
          <w:rFonts w:ascii="Verdana" w:eastAsia="Times New Roman" w:hAnsi="Verdana" w:cs="Times New Roman"/>
          <w:sz w:val="24"/>
          <w:szCs w:val="24"/>
        </w:rPr>
        <w:fldChar w:fldCharType="begin"/>
      </w:r>
      <w:r w:rsidRPr="00860349">
        <w:rPr>
          <w:rFonts w:ascii="Verdana" w:eastAsia="Times New Roman" w:hAnsi="Verdana" w:cs="Times New Roman"/>
          <w:sz w:val="24"/>
          <w:szCs w:val="24"/>
        </w:rPr>
        <w:instrText xml:space="preserve"> TOC \o "2-2" \n \p " " \h \z \u </w:instrText>
      </w:r>
      <w:r w:rsidRPr="00860349">
        <w:rPr>
          <w:rFonts w:ascii="Verdana" w:eastAsia="Times New Roman" w:hAnsi="Verdana" w:cs="Times New Roman"/>
          <w:sz w:val="24"/>
          <w:szCs w:val="24"/>
        </w:rPr>
        <w:fldChar w:fldCharType="separate"/>
      </w:r>
      <w:hyperlink w:anchor="_Toc202952832" w:history="1">
        <w:r w:rsidR="00860349" w:rsidRPr="00860349">
          <w:rPr>
            <w:rStyle w:val="Hyperlink"/>
            <w:rFonts w:ascii="Verdana" w:hAnsi="Verdana"/>
            <w:noProof/>
            <w:sz w:val="24"/>
            <w:szCs w:val="24"/>
          </w:rPr>
          <w:t>Coverage Scenario Guides</w:t>
        </w:r>
      </w:hyperlink>
    </w:p>
    <w:p w14:paraId="1A715D03" w14:textId="1D57C553" w:rsidR="00860349" w:rsidRPr="00860349" w:rsidRDefault="00860349" w:rsidP="00860349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2952833" w:history="1">
        <w:r w:rsidRPr="00860349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45C7F468" w14:textId="0A0A0C31" w:rsidR="004215B1" w:rsidRDefault="00B40A52" w:rsidP="0086034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60349"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p w14:paraId="4B6567B7" w14:textId="491F3A9B" w:rsidR="004215B1" w:rsidRDefault="004215B1" w:rsidP="004215B1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215B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Description</w:t>
      </w:r>
      <w:r w:rsidR="00F96D4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: </w:t>
      </w:r>
      <w:r w:rsidR="007E79D6" w:rsidRPr="007E79D6">
        <w:rPr>
          <w:rFonts w:ascii="Verdana" w:eastAsia="Times New Roman" w:hAnsi="Verdana" w:cs="Times New Roman"/>
          <w:color w:val="000000"/>
          <w:sz w:val="24"/>
          <w:szCs w:val="24"/>
        </w:rPr>
        <w:t>C</w:t>
      </w:r>
      <w:r w:rsidRPr="004215B1">
        <w:rPr>
          <w:rFonts w:ascii="Verdana" w:eastAsia="Times New Roman" w:hAnsi="Verdana" w:cs="Times New Roman"/>
          <w:color w:val="000000"/>
          <w:sz w:val="24"/>
          <w:szCs w:val="24"/>
        </w:rPr>
        <w:t>ontains scenarios and questions that agents may commonly be asked about.</w:t>
      </w:r>
    </w:p>
    <w:p w14:paraId="470D76A0" w14:textId="6A8CADC4" w:rsidR="004215B1" w:rsidRDefault="004215B1" w:rsidP="004215B1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4215B1" w14:paraId="24A7CED2" w14:textId="77777777" w:rsidTr="00D5689F">
        <w:tc>
          <w:tcPr>
            <w:tcW w:w="5000" w:type="pct"/>
            <w:shd w:val="clear" w:color="auto" w:fill="BFBFBF" w:themeFill="background1" w:themeFillShade="BF"/>
          </w:tcPr>
          <w:p w14:paraId="22F824C8" w14:textId="77777777" w:rsidR="004215B1" w:rsidRPr="00C32B3F" w:rsidRDefault="004215B1" w:rsidP="007520E1">
            <w:pPr>
              <w:pStyle w:val="Heading2"/>
              <w:spacing w:before="120" w:after="120"/>
            </w:pPr>
            <w:bookmarkStart w:id="1" w:name="_Coverage_Scenario_Guides"/>
            <w:bookmarkStart w:id="2" w:name="CvgScenarioGd"/>
            <w:bookmarkStart w:id="3" w:name="_Toc202952832"/>
            <w:bookmarkStart w:id="4" w:name="OLE_LINK62"/>
            <w:bookmarkEnd w:id="1"/>
            <w:r>
              <w:t xml:space="preserve">Coverage </w:t>
            </w:r>
            <w:r w:rsidRPr="00C32B3F">
              <w:t>Scenario Guide</w:t>
            </w:r>
            <w:bookmarkEnd w:id="2"/>
            <w:r>
              <w:t>s</w:t>
            </w:r>
            <w:bookmarkEnd w:id="3"/>
          </w:p>
        </w:tc>
      </w:tr>
    </w:tbl>
    <w:bookmarkEnd w:id="4"/>
    <w:p w14:paraId="67AA9423" w14:textId="57573669" w:rsidR="004215B1" w:rsidRDefault="004215B1" w:rsidP="006A25F6">
      <w:pPr>
        <w:spacing w:before="120" w:after="120"/>
        <w:rPr>
          <w:rFonts w:ascii="Verdana" w:hAnsi="Verdana"/>
          <w:b/>
          <w:bCs/>
          <w:sz w:val="24"/>
          <w:szCs w:val="24"/>
        </w:rPr>
      </w:pPr>
      <w:r w:rsidRPr="00F5292F">
        <w:rPr>
          <w:rFonts w:ascii="Verdana" w:hAnsi="Verdana"/>
          <w:b/>
          <w:bCs/>
          <w:sz w:val="24"/>
          <w:szCs w:val="24"/>
        </w:rPr>
        <w:t>Note</w:t>
      </w:r>
      <w:r w:rsidR="007520E1">
        <w:rPr>
          <w:rFonts w:ascii="Verdana" w:hAnsi="Verdana"/>
          <w:b/>
          <w:bCs/>
          <w:sz w:val="24"/>
          <w:szCs w:val="24"/>
        </w:rPr>
        <w:t>s</w:t>
      </w:r>
      <w:r w:rsidRPr="00F5292F">
        <w:rPr>
          <w:rFonts w:ascii="Verdana" w:hAnsi="Verdana"/>
          <w:b/>
          <w:bCs/>
          <w:sz w:val="24"/>
          <w:szCs w:val="24"/>
        </w:rPr>
        <w:t xml:space="preserve">: </w:t>
      </w:r>
    </w:p>
    <w:p w14:paraId="1601F402" w14:textId="77777777" w:rsidR="004215B1" w:rsidRDefault="004215B1" w:rsidP="004215B1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proofErr w:type="gramStart"/>
      <w:r w:rsidRPr="00F5292F">
        <w:rPr>
          <w:rFonts w:ascii="Verdana" w:hAnsi="Verdana"/>
          <w:sz w:val="24"/>
          <w:szCs w:val="24"/>
        </w:rPr>
        <w:t>Examples</w:t>
      </w:r>
      <w:proofErr w:type="gramEnd"/>
      <w:r w:rsidRPr="00F5292F">
        <w:rPr>
          <w:rFonts w:ascii="Verdana" w:hAnsi="Verdana"/>
          <w:sz w:val="24"/>
          <w:szCs w:val="24"/>
        </w:rPr>
        <w:t xml:space="preserve"> listed below are only some examples and not an all-inclusive list. </w:t>
      </w:r>
    </w:p>
    <w:p w14:paraId="1EAFDA9A" w14:textId="1AE2212C" w:rsidR="001918CA" w:rsidRDefault="00281006" w:rsidP="004215B1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Tasks will </w:t>
      </w:r>
      <w:proofErr w:type="gramStart"/>
      <w:r w:rsidRPr="00281006">
        <w:rPr>
          <w:rFonts w:ascii="Verdana" w:hAnsi="Verdana"/>
          <w:sz w:val="24"/>
          <w:szCs w:val="24"/>
        </w:rPr>
        <w:t>send</w:t>
      </w:r>
      <w:r>
        <w:rPr>
          <w:rFonts w:ascii="Verdana" w:hAnsi="Verdana"/>
          <w:sz w:val="24"/>
          <w:szCs w:val="24"/>
        </w:rPr>
        <w:t xml:space="preserve"> a</w:t>
      </w:r>
      <w:r w:rsidRPr="00281006">
        <w:rPr>
          <w:rFonts w:ascii="Verdana" w:hAnsi="Verdana"/>
          <w:sz w:val="24"/>
          <w:szCs w:val="24"/>
        </w:rPr>
        <w:t xml:space="preserve"> letter</w:t>
      </w:r>
      <w:proofErr w:type="gramEnd"/>
      <w:r w:rsidRPr="0028100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to the MD/Provider</w:t>
      </w:r>
      <w:r w:rsidRPr="00281006">
        <w:rPr>
          <w:rFonts w:ascii="Verdana" w:hAnsi="Verdana"/>
          <w:sz w:val="24"/>
          <w:szCs w:val="24"/>
        </w:rPr>
        <w:t xml:space="preserve"> for the </w:t>
      </w:r>
      <w:proofErr w:type="gramStart"/>
      <w:r w:rsidRPr="00281006">
        <w:rPr>
          <w:rFonts w:ascii="Verdana" w:hAnsi="Verdana"/>
          <w:sz w:val="24"/>
          <w:szCs w:val="24"/>
        </w:rPr>
        <w:t>member</w:t>
      </w:r>
      <w:proofErr w:type="gramEnd"/>
      <w:r w:rsidR="00860349">
        <w:rPr>
          <w:rFonts w:ascii="Verdana" w:hAnsi="Verdana"/>
          <w:sz w:val="24"/>
          <w:szCs w:val="24"/>
        </w:rPr>
        <w:t>.</w:t>
      </w:r>
    </w:p>
    <w:p w14:paraId="63FABCC7" w14:textId="77777777" w:rsidR="004215B1" w:rsidRDefault="004215B1" w:rsidP="004215B1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5292F">
        <w:rPr>
          <w:rFonts w:ascii="Verdana" w:hAnsi="Verdana"/>
          <w:sz w:val="24"/>
          <w:szCs w:val="24"/>
        </w:rPr>
        <w:t>Use your resources, such as test claim rejection codes and messaging for more assistance.</w:t>
      </w:r>
    </w:p>
    <w:p w14:paraId="31DD89D7" w14:textId="2A519279" w:rsidR="004215B1" w:rsidRDefault="004215B1" w:rsidP="004215B1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166CFD42" w14:textId="0CEBE060" w:rsidR="007520E1" w:rsidRPr="00FA1ABD" w:rsidRDefault="007520E1" w:rsidP="004215B1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58"/>
        <w:gridCol w:w="1604"/>
        <w:gridCol w:w="3688"/>
      </w:tblGrid>
      <w:tr w:rsidR="004215B1" w14:paraId="0F59E276" w14:textId="77777777" w:rsidTr="00034E4F">
        <w:tc>
          <w:tcPr>
            <w:tcW w:w="2170" w:type="pct"/>
            <w:shd w:val="clear" w:color="auto" w:fill="D9D9D9" w:themeFill="background1" w:themeFillShade="D9"/>
          </w:tcPr>
          <w:p w14:paraId="1AFDD320" w14:textId="77777777" w:rsidR="004215B1" w:rsidRPr="00FA1ABD" w:rsidRDefault="004215B1" w:rsidP="00BE362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FA1AB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2830" w:type="pct"/>
            <w:gridSpan w:val="2"/>
            <w:shd w:val="clear" w:color="auto" w:fill="D9D9D9" w:themeFill="background1" w:themeFillShade="D9"/>
          </w:tcPr>
          <w:p w14:paraId="16993A2F" w14:textId="77777777" w:rsidR="004215B1" w:rsidRPr="00FA1ABD" w:rsidRDefault="004215B1" w:rsidP="00BE3622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FA1AB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Actions</w:t>
            </w:r>
          </w:p>
        </w:tc>
      </w:tr>
      <w:tr w:rsidR="007520E1" w14:paraId="6DCFB1E9" w14:textId="77777777" w:rsidTr="00034E4F">
        <w:trPr>
          <w:trHeight w:val="60"/>
        </w:trPr>
        <w:tc>
          <w:tcPr>
            <w:tcW w:w="2170" w:type="pct"/>
            <w:vMerge w:val="restart"/>
            <w:shd w:val="clear" w:color="auto" w:fill="FFFFFF" w:themeFill="background1"/>
          </w:tcPr>
          <w:p w14:paraId="065183FD" w14:textId="39644571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 requesting Prior Authorization</w:t>
            </w:r>
          </w:p>
          <w:p w14:paraId="00414074" w14:textId="1AC1A6AB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 xml:space="preserve">Examples: </w:t>
            </w:r>
          </w:p>
          <w:p w14:paraId="625256D0" w14:textId="77B84648" w:rsidR="007520E1" w:rsidRDefault="007520E1" w:rsidP="004215B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Plan allows the medication only in certain circumstances backed by clinical evidence. (Diabetic drugs may be covered for people with Type 2 Diabetes, but not pre-Diabetes or for weight loss</w:t>
            </w:r>
            <w:r w:rsidR="001C4D1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</w:t>
            </w:r>
          </w:p>
          <w:p w14:paraId="0BD95E02" w14:textId="42079A97" w:rsidR="007520E1" w:rsidRDefault="007520E1" w:rsidP="004215B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Plan allows medication at a limited quantity, but the member’s </w:t>
            </w:r>
            <w:r w:rsidR="00B62D1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doctor</w:t>
            </w:r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prescribes more than the quantity typically allowed by the plan.</w:t>
            </w:r>
          </w:p>
          <w:p w14:paraId="44D3421A" w14:textId="4DB86109" w:rsidR="007520E1" w:rsidRPr="006475CA" w:rsidRDefault="007520E1" w:rsidP="00BE362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 more </w:t>
            </w:r>
            <w:proofErr w:type="gramStart"/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cost</w:t>
            </w:r>
            <w:r w:rsid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effective</w:t>
            </w:r>
            <w:proofErr w:type="gramEnd"/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alternative is available that would potentially be a better fit for the </w:t>
            </w:r>
            <w:proofErr w:type="gramStart"/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</w:t>
            </w:r>
            <w:proofErr w:type="gramEnd"/>
            <w:r w:rsidRPr="00AC4E2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and save money.</w:t>
            </w:r>
          </w:p>
        </w:tc>
        <w:tc>
          <w:tcPr>
            <w:tcW w:w="2830" w:type="pct"/>
            <w:gridSpan w:val="2"/>
            <w:shd w:val="clear" w:color="auto" w:fill="FFFFFF" w:themeFill="background1"/>
          </w:tcPr>
          <w:p w14:paraId="38714E25" w14:textId="43EFFE4F" w:rsidR="007520E1" w:rsidRPr="00AC4E2C" w:rsidRDefault="007520E1" w:rsidP="007520E1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Run a </w:t>
            </w:r>
            <w:r w:rsidR="00F96D4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est </w:t>
            </w:r>
            <w:r w:rsidR="00F96D4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laim with today’s date to determine if the medication being requested rejects.</w:t>
            </w:r>
          </w:p>
        </w:tc>
      </w:tr>
      <w:tr w:rsidR="007520E1" w14:paraId="1A597240" w14:textId="77777777" w:rsidTr="00034E4F">
        <w:trPr>
          <w:trHeight w:val="60"/>
        </w:trPr>
        <w:tc>
          <w:tcPr>
            <w:tcW w:w="2170" w:type="pct"/>
            <w:vMerge/>
            <w:shd w:val="clear" w:color="auto" w:fill="FFFFFF" w:themeFill="background1"/>
          </w:tcPr>
          <w:p w14:paraId="31140FBD" w14:textId="77777777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4160FA6D" w14:textId="4F29A797" w:rsidR="007520E1" w:rsidRPr="007520E1" w:rsidRDefault="007520E1" w:rsidP="007520E1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520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If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test claims</w:t>
            </w:r>
            <w:r w:rsidRPr="007520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972" w:type="pct"/>
            <w:shd w:val="clear" w:color="auto" w:fill="D9D9D9" w:themeFill="background1" w:themeFillShade="D9"/>
          </w:tcPr>
          <w:p w14:paraId="69AC8439" w14:textId="162AEA12" w:rsidR="007520E1" w:rsidRPr="007520E1" w:rsidRDefault="007520E1" w:rsidP="007520E1">
            <w:pPr>
              <w:spacing w:before="120" w:after="12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7520E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Then…</w:t>
            </w:r>
          </w:p>
        </w:tc>
      </w:tr>
      <w:tr w:rsidR="007520E1" w14:paraId="1DBCCBE3" w14:textId="77777777" w:rsidTr="00034E4F">
        <w:trPr>
          <w:trHeight w:val="60"/>
        </w:trPr>
        <w:tc>
          <w:tcPr>
            <w:tcW w:w="2170" w:type="pct"/>
            <w:vMerge/>
            <w:shd w:val="clear" w:color="auto" w:fill="FFFFFF" w:themeFill="background1"/>
          </w:tcPr>
          <w:p w14:paraId="7480B82B" w14:textId="77777777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FFFFF" w:themeFill="background1"/>
          </w:tcPr>
          <w:p w14:paraId="5CA0F066" w14:textId="47E27209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Shows accepted</w:t>
            </w:r>
          </w:p>
        </w:tc>
        <w:tc>
          <w:tcPr>
            <w:tcW w:w="1972" w:type="pct"/>
            <w:shd w:val="clear" w:color="auto" w:fill="FFFFFF" w:themeFill="background1"/>
          </w:tcPr>
          <w:p w14:paraId="09264F4C" w14:textId="69376B34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 Prior Authorization is required. Assist member with filling Rx.</w:t>
            </w:r>
          </w:p>
        </w:tc>
      </w:tr>
      <w:tr w:rsidR="007520E1" w14:paraId="5007E2F8" w14:textId="77777777" w:rsidTr="00034E4F">
        <w:trPr>
          <w:trHeight w:val="60"/>
        </w:trPr>
        <w:tc>
          <w:tcPr>
            <w:tcW w:w="2170" w:type="pct"/>
            <w:vMerge/>
            <w:shd w:val="clear" w:color="auto" w:fill="FFFFFF" w:themeFill="background1"/>
          </w:tcPr>
          <w:p w14:paraId="6EE67C8F" w14:textId="77777777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FFFFF" w:themeFill="background1"/>
          </w:tcPr>
          <w:p w14:paraId="53E6BB0C" w14:textId="62003AE0" w:rsidR="007520E1" w:rsidRDefault="007520E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Rejects</w:t>
            </w:r>
          </w:p>
        </w:tc>
        <w:tc>
          <w:tcPr>
            <w:tcW w:w="1972" w:type="pct"/>
            <w:shd w:val="clear" w:color="auto" w:fill="FFFFFF" w:themeFill="background1"/>
          </w:tcPr>
          <w:p w14:paraId="1B456387" w14:textId="6E17C1BA" w:rsidR="003C0DC5" w:rsidRDefault="007520E1" w:rsidP="00F80FC0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5689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Review rejection message and refer to appropriate document based on rejection code and messaging.</w:t>
            </w:r>
            <w:r w:rsidR="00F80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Refer </w:t>
            </w:r>
            <w:r w:rsidR="00F80FC0" w:rsidRPr="00F80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to </w:t>
            </w:r>
            <w:hyperlink r:id="rId10" w:anchor="!/view?docid=104c3318-95ba-42e2-bd05-17877b0a8045" w:history="1">
              <w:r w:rsidR="002A195F" w:rsidRPr="00F80FC0">
                <w:rPr>
                  <w:rStyle w:val="Hyperlink"/>
                  <w:rFonts w:ascii="Verdana" w:hAnsi="Verdana"/>
                  <w:sz w:val="24"/>
                  <w:szCs w:val="24"/>
                </w:rPr>
                <w:t>Compass</w:t>
              </w:r>
              <w:r w:rsidR="000319A5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="00D828EA" w:rsidRPr="00F80FC0">
                <w:rPr>
                  <w:rStyle w:val="Hyperlink"/>
                  <w:rFonts w:ascii="Verdana" w:hAnsi="Verdana" w:cs="Helvetica"/>
                  <w:sz w:val="24"/>
                  <w:szCs w:val="24"/>
                  <w:shd w:val="clear" w:color="auto" w:fill="FFFFFF"/>
                </w:rPr>
                <w:t>- Rejection Codes and Resolutions (Reject 01 – Reject ZN)</w:t>
              </w:r>
              <w:r w:rsidR="00D828EA" w:rsidRPr="00F80FC0" w:rsidDel="002A195F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</w:t>
              </w:r>
              <w:r w:rsidR="00F80FC0" w:rsidRPr="00F80FC0">
                <w:rPr>
                  <w:rStyle w:val="Hyperlink"/>
                  <w:rFonts w:ascii="Verdana" w:hAnsi="Verdana"/>
                  <w:sz w:val="24"/>
                  <w:szCs w:val="24"/>
                </w:rPr>
                <w:t>(</w:t>
              </w:r>
              <w:r w:rsidR="00D828EA" w:rsidRPr="00F80FC0">
                <w:rPr>
                  <w:rStyle w:val="Hyperlink"/>
                  <w:rFonts w:ascii="Verdana" w:hAnsi="Verdana"/>
                  <w:sz w:val="24"/>
                  <w:szCs w:val="24"/>
                </w:rPr>
                <w:t>067649</w:t>
              </w:r>
              <w:r w:rsidR="00F80FC0" w:rsidRPr="00F80FC0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  <w:r w:rsidR="00F80FC0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4215B1" w14:paraId="40E37E54" w14:textId="77777777" w:rsidTr="00034E4F">
        <w:tc>
          <w:tcPr>
            <w:tcW w:w="2170" w:type="pct"/>
          </w:tcPr>
          <w:p w14:paraId="53E93AFE" w14:textId="77777777" w:rsidR="004215B1" w:rsidRDefault="004215B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 is requesting a Clinical Exception</w:t>
            </w:r>
          </w:p>
          <w:p w14:paraId="35890C26" w14:textId="7E767FAB" w:rsidR="004215B1" w:rsidRDefault="004215B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Examples:</w:t>
            </w:r>
          </w:p>
          <w:p w14:paraId="65A3DA87" w14:textId="77777777" w:rsidR="004215B1" w:rsidRPr="005A7328" w:rsidRDefault="004215B1" w:rsidP="004215B1">
            <w:pPr>
              <w:pStyle w:val="ListParagraph"/>
              <w:numPr>
                <w:ilvl w:val="0"/>
                <w:numId w:val="3"/>
              </w:numPr>
              <w:spacing w:before="120" w:after="120"/>
              <w:ind w:left="7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A732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Exception request for plan to allow use of Compound Medication.</w:t>
            </w:r>
          </w:p>
          <w:p w14:paraId="5A036D3E" w14:textId="77777777" w:rsidR="004215B1" w:rsidRPr="00AC4E2C" w:rsidRDefault="004215B1" w:rsidP="004215B1">
            <w:pPr>
              <w:pStyle w:val="ListParagraph"/>
              <w:numPr>
                <w:ilvl w:val="0"/>
                <w:numId w:val="3"/>
              </w:numPr>
              <w:spacing w:before="120" w:after="120"/>
              <w:ind w:left="78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A732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Request an exception when a drug is normally not covered on the plan (plan exclusion).</w:t>
            </w:r>
          </w:p>
          <w:p w14:paraId="0D018398" w14:textId="12E8B414" w:rsidR="004215B1" w:rsidRPr="00384F04" w:rsidRDefault="00B34E2C" w:rsidP="00BE3622">
            <w:pPr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384F0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Notes: </w:t>
            </w:r>
          </w:p>
          <w:p w14:paraId="7B6E7B07" w14:textId="5A7082B2" w:rsidR="00A52655" w:rsidRPr="00A52655" w:rsidRDefault="00A52655" w:rsidP="00A52655">
            <w:pPr>
              <w:numPr>
                <w:ilvl w:val="0"/>
                <w:numId w:val="15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When a Formulary Exception is approved, </w:t>
            </w:r>
            <w:r w:rsidR="00797019"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it will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be added to the highest</w:t>
            </w:r>
            <w:r w:rsidR="003D0CA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F903D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“</w:t>
            </w:r>
            <w:r w:rsidR="003D0CAF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non-specialty</w:t>
            </w:r>
            <w:r w:rsidR="00F903D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” 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tier for the member’s plan. </w:t>
            </w:r>
          </w:p>
          <w:p w14:paraId="5082DB8F" w14:textId="0950FD43" w:rsidR="00A52655" w:rsidRPr="00A50779" w:rsidRDefault="00A52655" w:rsidP="00384F04">
            <w:pPr>
              <w:numPr>
                <w:ilvl w:val="0"/>
                <w:numId w:val="15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member can only receive a single exception</w:t>
            </w:r>
            <w:r w:rsidR="00AD728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at a time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; they cannot receive a F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ormulary </w:t>
            </w:r>
            <w:r w:rsidR="004D3A1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</w:t>
            </w:r>
            <w:r w:rsidR="005F184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xception and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</w:t>
            </w:r>
            <w:r w:rsidR="005F184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 request a T</w:t>
            </w:r>
            <w:r w:rsidR="005F184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iering 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</w:t>
            </w:r>
            <w:r w:rsidR="005F184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xception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to reduce cost</w:t>
            </w:r>
            <w:r w:rsidR="007229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at the same time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. </w:t>
            </w:r>
            <w:r w:rsidR="002664E2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It </w:t>
            </w:r>
            <w:r w:rsidR="009B2B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may be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possible to get an approval for both</w:t>
            </w:r>
            <w:r w:rsidR="00A5077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</w:t>
            </w:r>
            <w:r w:rsidRPr="00A5265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but it must be done via the Appeals process</w:t>
            </w:r>
            <w:r w:rsidR="009B2B03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0" w:type="pct"/>
            <w:gridSpan w:val="2"/>
          </w:tcPr>
          <w:p w14:paraId="7B770823" w14:textId="1F4E4208" w:rsidR="00FB5B1D" w:rsidRPr="00D828EA" w:rsidRDefault="004215B1" w:rsidP="00F80FC0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Proceed to assist with sending an electronic Prior Authorization (ePA). If the request is denied, appeals paperwork will be sent to the </w:t>
            </w:r>
            <w:proofErr w:type="gramStart"/>
            <w:r w:rsidRP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</w:t>
            </w:r>
            <w:proofErr w:type="gramEnd"/>
            <w:r w:rsidRP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and their Dr. for </w:t>
            </w:r>
            <w:proofErr w:type="gramStart"/>
            <w:r w:rsidRP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next</w:t>
            </w:r>
            <w:proofErr w:type="gramEnd"/>
            <w:r w:rsidRP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steps. </w:t>
            </w:r>
            <w:r w:rsidR="006475CA" w:rsidRP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</w:t>
            </w:r>
            <w:r w:rsidRPr="008F681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efer to </w:t>
            </w:r>
            <w:hyperlink r:id="rId11" w:anchor="!/view?docid=18bb86b7-af5b-4f25-af23-9c635e8a0aa4" w:history="1">
              <w:r w:rsidR="000269E1" w:rsidRPr="008F6818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Compass </w:t>
              </w:r>
              <w:r w:rsidR="001D00FC">
                <w:rPr>
                  <w:rStyle w:val="Hyperlink"/>
                  <w:rFonts w:ascii="Verdana" w:hAnsi="Verdana"/>
                  <w:sz w:val="24"/>
                  <w:szCs w:val="24"/>
                </w:rPr>
                <w:t>–</w:t>
              </w:r>
              <w:r w:rsidR="000269E1" w:rsidRPr="008F6818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Initiating an ePA Request (055814)</w:t>
              </w:r>
            </w:hyperlink>
            <w:r w:rsidR="006475CA" w:rsidRPr="00D828E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384B5EB6" w14:textId="77777777" w:rsidR="006475CA" w:rsidRDefault="006475CA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34A6E366" w14:textId="230BDE4E" w:rsidR="004215B1" w:rsidRPr="00C9254A" w:rsidRDefault="004215B1" w:rsidP="00F80FC0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 a rejection for this Clinical Exception request is already on file</w:t>
            </w:r>
            <w:r w:rsidR="006A25F6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refer </w:t>
            </w:r>
            <w:r w:rsidRPr="00C9254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to </w:t>
            </w:r>
            <w:hyperlink r:id="rId12" w:anchor="!/view?docid=2afb93f5-6068-48b7-af0f-e04000f90426" w:history="1">
              <w:r w:rsidR="006475CA" w:rsidRPr="00C9254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Appeals (057981)</w:t>
              </w:r>
            </w:hyperlink>
            <w:r w:rsidR="006475CA" w:rsidRPr="00C9254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0A4980EB" w14:textId="361E90E1" w:rsidR="004215B1" w:rsidRPr="00C9254A" w:rsidRDefault="004215B1" w:rsidP="00F80FC0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</w:tr>
      <w:tr w:rsidR="004215B1" w14:paraId="0A25C215" w14:textId="77777777" w:rsidTr="00034E4F">
        <w:tc>
          <w:tcPr>
            <w:tcW w:w="2170" w:type="pct"/>
          </w:tcPr>
          <w:p w14:paraId="72724261" w14:textId="77777777" w:rsidR="004215B1" w:rsidRDefault="004215B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 is requesting a Non-Clinical Exception</w:t>
            </w:r>
          </w:p>
          <w:p w14:paraId="24696DF0" w14:textId="1653F139" w:rsidR="004215B1" w:rsidRDefault="004215B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Examples: </w:t>
            </w:r>
          </w:p>
          <w:p w14:paraId="7BAB5CD6" w14:textId="3FED3658" w:rsidR="004215B1" w:rsidRDefault="004215B1" w:rsidP="004215B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Tier Exception</w:t>
            </w:r>
            <w:r w:rsidR="00047B4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 member requesting medication is covered at a lower tier.</w:t>
            </w:r>
          </w:p>
          <w:p w14:paraId="781576F9" w14:textId="0DC9D9DE" w:rsidR="004215B1" w:rsidRDefault="004215B1" w:rsidP="004215B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DAW Exception</w:t>
            </w:r>
            <w:r w:rsidR="00047B4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</w:t>
            </w:r>
            <w:r w:rsidR="00611B6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DAW Cost Difference</w:t>
            </w:r>
            <w:r w:rsidR="00047B4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 member is requesting DAW cost share is waived.</w:t>
            </w:r>
          </w:p>
          <w:p w14:paraId="6A822AC3" w14:textId="6D7E9500" w:rsidR="004215B1" w:rsidRDefault="004215B1" w:rsidP="004215B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MChoice Exception</w:t>
            </w:r>
            <w:r w:rsidR="002A78E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 Member is requesting to use a non-M</w:t>
            </w:r>
            <w:r w:rsidR="00F96D4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hoice network pharmacy and no opt-out is available on plan.</w:t>
            </w:r>
          </w:p>
          <w:p w14:paraId="1EAF61DE" w14:textId="77777777" w:rsidR="004215B1" w:rsidRPr="005A7328" w:rsidRDefault="004215B1" w:rsidP="00BE3622">
            <w:pPr>
              <w:pStyle w:val="ListParagraph"/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2830" w:type="pct"/>
            <w:gridSpan w:val="2"/>
          </w:tcPr>
          <w:p w14:paraId="5956FDC9" w14:textId="151E5DB2" w:rsidR="00AA010E" w:rsidRDefault="006475CA" w:rsidP="006475CA">
            <w:pPr>
              <w:spacing w:before="120" w:after="120"/>
              <w:ind w:left="-10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</w:t>
            </w:r>
            <w:r w:rsidR="004215B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ollow CIF for instructions on how to send an exception request. If no directions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:</w:t>
            </w:r>
            <w:r w:rsidR="004215B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</w:p>
          <w:p w14:paraId="494A521F" w14:textId="74B00B84" w:rsidR="004215B1" w:rsidRDefault="00034E4F" w:rsidP="006475CA">
            <w:pPr>
              <w:spacing w:before="120" w:after="120"/>
              <w:ind w:left="-104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61C3C0C2" wp14:editId="2DC6AB0B">
                  <wp:extent cx="304762" cy="304762"/>
                  <wp:effectExtent l="0" t="0" r="635" b="635"/>
                  <wp:docPr id="707914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605512" name="Picture 8816055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A010E">
              <w:rPr>
                <w:noProof/>
              </w:rPr>
              <w:drawing>
                <wp:inline distT="0" distB="0" distL="0" distR="0" wp14:anchorId="2F20C1CF" wp14:editId="16B7F872">
                  <wp:extent cx="233680" cy="21272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010E">
              <w:t xml:space="preserve"> </w:t>
            </w:r>
            <w:r w:rsidR="00AA010E" w:rsidRPr="00D93824">
              <w:rPr>
                <w:rFonts w:ascii="Verdana" w:hAnsi="Verdana"/>
                <w:sz w:val="24"/>
                <w:szCs w:val="24"/>
              </w:rPr>
              <w:t xml:space="preserve">A request for Non-Clinical Exceptions </w:t>
            </w:r>
            <w:r w:rsidR="00AA010E">
              <w:rPr>
                <w:rFonts w:ascii="Verdana" w:hAnsi="Verdana"/>
                <w:sz w:val="24"/>
                <w:szCs w:val="24"/>
              </w:rPr>
              <w:t>can be made</w:t>
            </w:r>
            <w:r w:rsidR="00AA010E" w:rsidRPr="00D93824">
              <w:rPr>
                <w:rFonts w:ascii="Verdana" w:hAnsi="Verdana"/>
                <w:sz w:val="24"/>
                <w:szCs w:val="24"/>
              </w:rPr>
              <w:t xml:space="preserve"> unless the CIF states otherwise</w:t>
            </w:r>
            <w:r w:rsidR="00AA010E">
              <w:rPr>
                <w:rFonts w:ascii="Verdana" w:hAnsi="Verdana"/>
                <w:sz w:val="24"/>
                <w:szCs w:val="24"/>
              </w:rPr>
              <w:t>.</w:t>
            </w:r>
            <w:r w:rsidR="00AA010E">
              <w:br/>
            </w:r>
            <w:r w:rsidR="004215B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</w:r>
            <w:r w:rsidR="004215B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  <w:t xml:space="preserve">For </w:t>
            </w:r>
            <w:r w:rsidR="004215B1" w:rsidRPr="00674ED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Compass</w:t>
            </w:r>
            <w:r w:rsidR="004215B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submit the following Support Task:</w:t>
            </w:r>
            <w:r w:rsidR="00697D7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Refer to </w:t>
            </w:r>
            <w:hyperlink r:id="rId15" w:anchor="!/view?docid=64f18e5a-4d56-4175-ba8e-e7d094e501d6" w:history="1">
              <w:r w:rsidR="00697D78" w:rsidRPr="00C9254A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- Create a Support Task (050031)</w:t>
              </w:r>
            </w:hyperlink>
            <w:r w:rsidR="00EA58B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697D7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as needed.</w:t>
            </w:r>
          </w:p>
          <w:p w14:paraId="17A2E8C5" w14:textId="10008A5B" w:rsidR="006475CA" w:rsidRDefault="004215B1" w:rsidP="00D66BA3">
            <w:pPr>
              <w:pStyle w:val="ListParagraph"/>
              <w:numPr>
                <w:ilvl w:val="0"/>
                <w:numId w:val="9"/>
              </w:numPr>
              <w:spacing w:before="120" w:after="120"/>
              <w:ind w:left="901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75C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Task Type</w:t>
            </w:r>
            <w:r w:rsidR="00F96D4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Contact</w:t>
            </w:r>
            <w:r w:rsidR="00471E74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 w:rsidR="007F481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Provider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for Exception</w:t>
            </w:r>
          </w:p>
          <w:p w14:paraId="27879722" w14:textId="4AD2F9C6" w:rsidR="006475CA" w:rsidRDefault="004215B1" w:rsidP="00D66BA3">
            <w:pPr>
              <w:pStyle w:val="ListParagraph"/>
              <w:numPr>
                <w:ilvl w:val="0"/>
                <w:numId w:val="9"/>
              </w:numPr>
              <w:spacing w:before="120" w:after="120"/>
              <w:ind w:left="901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6475C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Exception Type</w:t>
            </w:r>
            <w:r w:rsidR="00F96D4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Select the appropriate Exception being requested.</w:t>
            </w:r>
          </w:p>
          <w:p w14:paraId="404E3B78" w14:textId="6A9BC3E6" w:rsidR="008A2117" w:rsidRPr="00860349" w:rsidRDefault="00237C4D" w:rsidP="00D66BA3">
            <w:pPr>
              <w:pStyle w:val="ListParagraph"/>
              <w:numPr>
                <w:ilvl w:val="0"/>
                <w:numId w:val="9"/>
              </w:numPr>
              <w:spacing w:before="120" w:after="120"/>
              <w:ind w:left="901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2EB6A4E" wp14:editId="4C5A24FA">
                  <wp:extent cx="304762" cy="304762"/>
                  <wp:effectExtent l="0" t="0" r="635" b="635"/>
                  <wp:docPr id="68662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605512" name="Picture 8816055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4E4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215B1" w:rsidRPr="006475C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Ensure</w:t>
            </w:r>
            <w:r w:rsidR="004215B1"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you leave specific and detailed notes</w:t>
            </w:r>
            <w:r w:rsidR="007832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of the Non-Clinical Exception request</w:t>
            </w:r>
            <w:r w:rsidR="0076091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including the </w:t>
            </w:r>
            <w:r w:rsidR="00760911" w:rsidRPr="0086034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Provider’s Name, Phone and Fax Numbers</w:t>
            </w:r>
            <w:r w:rsidR="004215B1"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67CCBFAB" w14:textId="17661150" w:rsidR="001C46E0" w:rsidRPr="00860349" w:rsidRDefault="001C46E0" w:rsidP="00860349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For Compass users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after the Support Task is submitted, refer to </w:t>
            </w:r>
            <w:hyperlink r:id="rId16" w:anchor="!/view?docid=02c153cf-704c-4e27-9e1f-a4633adf546c" w:history="1">
              <w:r w:rsidRPr="005A43F5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Compass – Adding a Provider to Submitted Support Task (074226)</w:t>
              </w:r>
            </w:hyperlink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21A2F6B0" w14:textId="77777777" w:rsidR="004215B1" w:rsidRDefault="004215B1" w:rsidP="006475CA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br/>
              <w:t xml:space="preserve">For </w:t>
            </w:r>
            <w:r w:rsidRPr="00674ED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PeopleSafe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submit the following RM Task:</w:t>
            </w:r>
          </w:p>
          <w:p w14:paraId="39B38A36" w14:textId="13BDD342" w:rsidR="006475CA" w:rsidRPr="006475CA" w:rsidRDefault="004215B1" w:rsidP="00D66BA3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75C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Task Category</w:t>
            </w:r>
            <w:r w:rsidR="00F96D4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Commercial Prior Authorization</w:t>
            </w:r>
          </w:p>
          <w:p w14:paraId="2704954F" w14:textId="5CFC4BEB" w:rsidR="006475CA" w:rsidRPr="006475CA" w:rsidRDefault="004215B1" w:rsidP="00D66BA3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75C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Task Type</w:t>
            </w:r>
            <w:r w:rsidR="00F96D4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Contact MD</w:t>
            </w:r>
            <w:r w:rsidR="007F481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/Provider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for Exception</w:t>
            </w:r>
          </w:p>
          <w:p w14:paraId="6CA21EDF" w14:textId="58B4F738" w:rsidR="006475CA" w:rsidRPr="006475CA" w:rsidRDefault="004215B1" w:rsidP="00D66BA3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75C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Queue</w:t>
            </w:r>
            <w:r w:rsidR="00F96D4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Commercial Prior Authorizations and Appeals</w:t>
            </w:r>
          </w:p>
          <w:p w14:paraId="493AB425" w14:textId="41B2E748" w:rsidR="004215B1" w:rsidRPr="00860349" w:rsidRDefault="004215B1" w:rsidP="00D66BA3">
            <w:pPr>
              <w:pStyle w:val="ListParagraph"/>
              <w:numPr>
                <w:ilvl w:val="0"/>
                <w:numId w:val="10"/>
              </w:numPr>
              <w:spacing w:before="120" w:after="120"/>
              <w:ind w:left="9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75C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Ensure</w:t>
            </w:r>
            <w:r w:rsidRPr="006475C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you leave specific and detailed not</w:t>
            </w:r>
            <w:r w:rsidR="006866DC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es</w:t>
            </w:r>
            <w:r w:rsidR="007832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of the Non-Clinical Exception request</w:t>
            </w:r>
            <w:r w:rsidR="007B774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  <w:p w14:paraId="7C8B616E" w14:textId="08CF5952" w:rsidR="005A43F5" w:rsidRPr="00D93824" w:rsidRDefault="00234566" w:rsidP="006A25F6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86034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In the </w:t>
            </w:r>
            <w:r w:rsidR="00520E3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RM Task n</w:t>
            </w:r>
            <w:r w:rsidRPr="00860349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otes be sure to include Provider’s Name, Phone and Fax Numbers; Prescription (Rx) Number and Rejection Code (if applicable); Name of Medication, Strength, and Days' Supply/Quantity.</w:t>
            </w:r>
          </w:p>
        </w:tc>
      </w:tr>
      <w:tr w:rsidR="004215B1" w14:paraId="7C9F3602" w14:textId="77777777" w:rsidTr="00034E4F">
        <w:tc>
          <w:tcPr>
            <w:tcW w:w="2170" w:type="pct"/>
          </w:tcPr>
          <w:p w14:paraId="2F9A017E" w14:textId="46570A77" w:rsidR="004215B1" w:rsidRDefault="009E6864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Member is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requesting 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 Prior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Authorization due to a notice of upcoming formulary change.</w:t>
            </w:r>
          </w:p>
        </w:tc>
        <w:tc>
          <w:tcPr>
            <w:tcW w:w="2830" w:type="pct"/>
            <w:gridSpan w:val="2"/>
          </w:tcPr>
          <w:p w14:paraId="36C35C8E" w14:textId="77777777" w:rsidR="004215B1" w:rsidRDefault="009E6864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Run a test claim to determine if a PA is currently required.</w:t>
            </w:r>
          </w:p>
          <w:p w14:paraId="219E74D6" w14:textId="77777777" w:rsidR="009E6864" w:rsidRPr="0042612D" w:rsidRDefault="009E6864" w:rsidP="0042612D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If a PA is not currently required, but will be in the future, advise the member that once the plan </w:t>
            </w:r>
            <w:r w:rsidR="00CD393C" w:rsidRP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change happens, we are more than happy to assist with beginning the process to request </w:t>
            </w:r>
            <w:proofErr w:type="gramStart"/>
            <w:r w:rsidR="00CD393C" w:rsidRP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Prior</w:t>
            </w:r>
            <w:proofErr w:type="gramEnd"/>
            <w:r w:rsidR="00CD393C" w:rsidRP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Authorization. However, we cannot begin the process until </w:t>
            </w:r>
            <w:r w:rsidR="00523D56" w:rsidRP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 Prior Authorization is </w:t>
            </w:r>
            <w:proofErr w:type="gramStart"/>
            <w:r w:rsidR="00523D56" w:rsidRP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actually needed</w:t>
            </w:r>
            <w:proofErr w:type="gramEnd"/>
            <w:r w:rsidR="00523D56" w:rsidRP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per a rejected test claim.</w:t>
            </w:r>
          </w:p>
          <w:p w14:paraId="0EA0A421" w14:textId="77777777" w:rsidR="00FB1741" w:rsidRDefault="00FB174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  <w:p w14:paraId="4238158A" w14:textId="23FCFFE7" w:rsidR="00FB1741" w:rsidRPr="00FB1741" w:rsidRDefault="00FB1741" w:rsidP="00BE3622">
            <w:pPr>
              <w:spacing w:before="120" w:after="12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Note</w:t>
            </w:r>
            <w:r w:rsidR="00F96D4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This is due to how an ePA is processed via </w:t>
            </w:r>
            <w:r w:rsidR="0042612D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CoverMyMeds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and a physical PA fax is processed by our PA team. If they are attempting to start a PA, and the </w:t>
            </w:r>
            <w:r w:rsidR="0020665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medication comes back no PA required, the request will be denied as unnecessary.</w:t>
            </w:r>
          </w:p>
        </w:tc>
      </w:tr>
    </w:tbl>
    <w:p w14:paraId="357DDD53" w14:textId="1191134A" w:rsidR="004215B1" w:rsidRPr="00B40A52" w:rsidRDefault="004215B1" w:rsidP="00B40A52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4027E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1871D468" w14:textId="77777777" w:rsidR="00D93824" w:rsidRDefault="00D93824" w:rsidP="00D93824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D9382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146EB0" w14:paraId="6F52BD09" w14:textId="77777777" w:rsidTr="002B5991">
        <w:tc>
          <w:tcPr>
            <w:tcW w:w="5000" w:type="pct"/>
            <w:shd w:val="clear" w:color="auto" w:fill="BFBFBF" w:themeFill="background1" w:themeFillShade="BF"/>
          </w:tcPr>
          <w:p w14:paraId="60992CA6" w14:textId="24A2E708" w:rsidR="00146EB0" w:rsidRDefault="00146EB0" w:rsidP="00146EB0">
            <w:pPr>
              <w:pStyle w:val="Heading2"/>
              <w:spacing w:before="120" w:after="120"/>
            </w:pPr>
            <w:bookmarkStart w:id="5" w:name="_Toc202952833"/>
            <w:r>
              <w:t>Related Documents</w:t>
            </w:r>
            <w:bookmarkEnd w:id="5"/>
          </w:p>
        </w:tc>
      </w:tr>
    </w:tbl>
    <w:p w14:paraId="5A73CF71" w14:textId="77777777" w:rsidR="002B5991" w:rsidRPr="002B5991" w:rsidRDefault="002B5991" w:rsidP="00146EB0">
      <w:pPr>
        <w:spacing w:before="120" w:after="120"/>
        <w:rPr>
          <w:rFonts w:ascii="Verdana" w:hAnsi="Verdana"/>
          <w:sz w:val="24"/>
          <w:szCs w:val="24"/>
        </w:rPr>
      </w:pPr>
      <w:hyperlink r:id="rId17" w:anchor="!/view?docid=657ddfe3-27d1-4a21-8f51-8cbd3961001c" w:history="1">
        <w:r w:rsidRPr="002B5991">
          <w:rPr>
            <w:rStyle w:val="Hyperlink"/>
            <w:rFonts w:ascii="Verdana" w:hAnsi="Verdana"/>
            <w:sz w:val="24"/>
            <w:szCs w:val="24"/>
          </w:rPr>
          <w:t>Prior Authorization, Exceptions, Appeals Guide (063978)</w:t>
        </w:r>
      </w:hyperlink>
    </w:p>
    <w:p w14:paraId="5D9EBFF7" w14:textId="22ACCE51" w:rsidR="00146EB0" w:rsidRPr="00573CCD" w:rsidRDefault="00146EB0" w:rsidP="00146EB0">
      <w:pPr>
        <w:spacing w:before="120" w:after="120"/>
        <w:rPr>
          <w:rFonts w:ascii="Verdana" w:hAnsi="Verdana"/>
          <w:sz w:val="24"/>
          <w:szCs w:val="24"/>
        </w:rPr>
      </w:pPr>
      <w:hyperlink r:id="rId18" w:anchor="!/view?docid=c1f1028b-e42c-4b4f-a4cf-cc0b42c91606" w:history="1">
        <w:r w:rsidRPr="00573CCD">
          <w:rPr>
            <w:rStyle w:val="Hyperlink"/>
            <w:rFonts w:ascii="Verdana" w:hAnsi="Verdana"/>
            <w:sz w:val="24"/>
            <w:szCs w:val="24"/>
          </w:rPr>
          <w:t>Customer Care Abbreviations, Definitions, and Terms (017428)</w:t>
        </w:r>
      </w:hyperlink>
    </w:p>
    <w:p w14:paraId="1A7AA7DC" w14:textId="4D2B0D80" w:rsidR="00B40A52" w:rsidRPr="00B40A52" w:rsidRDefault="00B40A52" w:rsidP="00B40A52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614E62">
        <w:rPr>
          <w:rFonts w:ascii="Verdana" w:hAnsi="Verdana"/>
          <w:b/>
          <w:bCs/>
          <w:color w:val="000000"/>
        </w:rPr>
        <w:t>Parent Document</w:t>
      </w:r>
      <w:r w:rsidR="00F96D40">
        <w:rPr>
          <w:rFonts w:ascii="Verdana" w:hAnsi="Verdana"/>
          <w:b/>
          <w:bCs/>
          <w:color w:val="000000"/>
        </w:rPr>
        <w:t xml:space="preserve">: </w:t>
      </w:r>
      <w:hyperlink r:id="rId19" w:tgtFrame="_blank" w:history="1">
        <w:r w:rsidRPr="00614E62">
          <w:rPr>
            <w:rStyle w:val="Hyperlink"/>
            <w:rFonts w:ascii="Verdana" w:eastAsiaTheme="majorEastAsia" w:hAnsi="Verdana"/>
          </w:rPr>
          <w:t>CALL 0049 Customer Care Internal and External Call Handling</w:t>
        </w:r>
      </w:hyperlink>
    </w:p>
    <w:p w14:paraId="083DB784" w14:textId="085D63BA" w:rsidR="0042612D" w:rsidRDefault="00D93824" w:rsidP="0042612D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="0042612D" w:rsidRPr="00D93824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170AEA88" w14:textId="77777777" w:rsidR="00B40A52" w:rsidRDefault="00B40A52" w:rsidP="00B40A5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4B6C8FFA" w14:textId="5925E28D" w:rsidR="0042612D" w:rsidRPr="00B40A52" w:rsidRDefault="00B40A52" w:rsidP="00B40A52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</w:t>
      </w:r>
    </w:p>
    <w:sectPr w:rsidR="0042612D" w:rsidRPr="00B4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563A1" w14:textId="77777777" w:rsidR="00BD02BA" w:rsidRDefault="00BD02BA" w:rsidP="00A127C9">
      <w:pPr>
        <w:spacing w:after="0" w:line="240" w:lineRule="auto"/>
      </w:pPr>
      <w:r>
        <w:separator/>
      </w:r>
    </w:p>
  </w:endnote>
  <w:endnote w:type="continuationSeparator" w:id="0">
    <w:p w14:paraId="72F828EA" w14:textId="77777777" w:rsidR="00BD02BA" w:rsidRDefault="00BD02BA" w:rsidP="00A127C9">
      <w:pPr>
        <w:spacing w:after="0" w:line="240" w:lineRule="auto"/>
      </w:pPr>
      <w:r>
        <w:continuationSeparator/>
      </w:r>
    </w:p>
  </w:endnote>
  <w:endnote w:type="continuationNotice" w:id="1">
    <w:p w14:paraId="70314135" w14:textId="77777777" w:rsidR="00BD02BA" w:rsidRDefault="00BD02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A300B" w14:textId="77777777" w:rsidR="00BD02BA" w:rsidRDefault="00BD02BA" w:rsidP="00A127C9">
      <w:pPr>
        <w:spacing w:after="0" w:line="240" w:lineRule="auto"/>
      </w:pPr>
      <w:r>
        <w:separator/>
      </w:r>
    </w:p>
  </w:footnote>
  <w:footnote w:type="continuationSeparator" w:id="0">
    <w:p w14:paraId="38E16AF6" w14:textId="77777777" w:rsidR="00BD02BA" w:rsidRDefault="00BD02BA" w:rsidP="00A127C9">
      <w:pPr>
        <w:spacing w:after="0" w:line="240" w:lineRule="auto"/>
      </w:pPr>
      <w:r>
        <w:continuationSeparator/>
      </w:r>
    </w:p>
  </w:footnote>
  <w:footnote w:type="continuationNotice" w:id="1">
    <w:p w14:paraId="05E30B12" w14:textId="77777777" w:rsidR="00BD02BA" w:rsidRDefault="00BD02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431"/>
    <w:multiLevelType w:val="hybridMultilevel"/>
    <w:tmpl w:val="74F09842"/>
    <w:lvl w:ilvl="0" w:tplc="384E8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3901"/>
    <w:multiLevelType w:val="hybridMultilevel"/>
    <w:tmpl w:val="D31C6666"/>
    <w:lvl w:ilvl="0" w:tplc="1C4E2A9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6202C"/>
    <w:multiLevelType w:val="hybridMultilevel"/>
    <w:tmpl w:val="DFF2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9E0"/>
    <w:multiLevelType w:val="hybridMultilevel"/>
    <w:tmpl w:val="99A6FA20"/>
    <w:lvl w:ilvl="0" w:tplc="1C4E2A9A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2F40EE"/>
    <w:multiLevelType w:val="hybridMultilevel"/>
    <w:tmpl w:val="A43E468E"/>
    <w:lvl w:ilvl="0" w:tplc="BEA08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4D2F"/>
    <w:multiLevelType w:val="hybridMultilevel"/>
    <w:tmpl w:val="93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63CDA"/>
    <w:multiLevelType w:val="hybridMultilevel"/>
    <w:tmpl w:val="895A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515E6"/>
    <w:multiLevelType w:val="multilevel"/>
    <w:tmpl w:val="820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064C94"/>
    <w:multiLevelType w:val="multilevel"/>
    <w:tmpl w:val="0EC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776A33"/>
    <w:multiLevelType w:val="hybridMultilevel"/>
    <w:tmpl w:val="D32A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D0217"/>
    <w:multiLevelType w:val="hybridMultilevel"/>
    <w:tmpl w:val="96B881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AE6270"/>
    <w:multiLevelType w:val="hybridMultilevel"/>
    <w:tmpl w:val="4AF03F3E"/>
    <w:lvl w:ilvl="0" w:tplc="800007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0D7521"/>
    <w:multiLevelType w:val="hybridMultilevel"/>
    <w:tmpl w:val="8616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A108C"/>
    <w:multiLevelType w:val="hybridMultilevel"/>
    <w:tmpl w:val="983A8D10"/>
    <w:lvl w:ilvl="0" w:tplc="C0A04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17742"/>
    <w:multiLevelType w:val="hybridMultilevel"/>
    <w:tmpl w:val="26E2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24E8E"/>
    <w:multiLevelType w:val="hybridMultilevel"/>
    <w:tmpl w:val="E7CAB460"/>
    <w:lvl w:ilvl="0" w:tplc="384E8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512091">
    <w:abstractNumId w:val="8"/>
  </w:num>
  <w:num w:numId="2" w16cid:durableId="934822255">
    <w:abstractNumId w:val="1"/>
  </w:num>
  <w:num w:numId="3" w16cid:durableId="2082099278">
    <w:abstractNumId w:val="3"/>
  </w:num>
  <w:num w:numId="4" w16cid:durableId="2059862878">
    <w:abstractNumId w:val="13"/>
  </w:num>
  <w:num w:numId="5" w16cid:durableId="1503468643">
    <w:abstractNumId w:val="15"/>
  </w:num>
  <w:num w:numId="6" w16cid:durableId="1096554360">
    <w:abstractNumId w:val="0"/>
  </w:num>
  <w:num w:numId="7" w16cid:durableId="2043549394">
    <w:abstractNumId w:val="11"/>
  </w:num>
  <w:num w:numId="8" w16cid:durableId="505094280">
    <w:abstractNumId w:val="4"/>
  </w:num>
  <w:num w:numId="9" w16cid:durableId="1369136052">
    <w:abstractNumId w:val="12"/>
  </w:num>
  <w:num w:numId="10" w16cid:durableId="835615539">
    <w:abstractNumId w:val="6"/>
  </w:num>
  <w:num w:numId="11" w16cid:durableId="856845076">
    <w:abstractNumId w:val="5"/>
  </w:num>
  <w:num w:numId="12" w16cid:durableId="704791306">
    <w:abstractNumId w:val="2"/>
  </w:num>
  <w:num w:numId="13" w16cid:durableId="774910191">
    <w:abstractNumId w:val="7"/>
  </w:num>
  <w:num w:numId="14" w16cid:durableId="838077553">
    <w:abstractNumId w:val="14"/>
  </w:num>
  <w:num w:numId="15" w16cid:durableId="255788388">
    <w:abstractNumId w:val="9"/>
  </w:num>
  <w:num w:numId="16" w16cid:durableId="792285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1"/>
    <w:rsid w:val="000269E1"/>
    <w:rsid w:val="000319A5"/>
    <w:rsid w:val="00034E4F"/>
    <w:rsid w:val="000371C0"/>
    <w:rsid w:val="000475F6"/>
    <w:rsid w:val="00047B45"/>
    <w:rsid w:val="00057F94"/>
    <w:rsid w:val="000966BB"/>
    <w:rsid w:val="000B02C6"/>
    <w:rsid w:val="000D2152"/>
    <w:rsid w:val="00115162"/>
    <w:rsid w:val="00117FA5"/>
    <w:rsid w:val="00146EB0"/>
    <w:rsid w:val="0015787E"/>
    <w:rsid w:val="001918CA"/>
    <w:rsid w:val="001977D0"/>
    <w:rsid w:val="001A7C1C"/>
    <w:rsid w:val="001C46E0"/>
    <w:rsid w:val="001C4D15"/>
    <w:rsid w:val="001D00FC"/>
    <w:rsid w:val="001E4543"/>
    <w:rsid w:val="00206651"/>
    <w:rsid w:val="00215CF2"/>
    <w:rsid w:val="00217B23"/>
    <w:rsid w:val="00221F7D"/>
    <w:rsid w:val="00233565"/>
    <w:rsid w:val="00234566"/>
    <w:rsid w:val="00237C4D"/>
    <w:rsid w:val="002522C1"/>
    <w:rsid w:val="00254861"/>
    <w:rsid w:val="002664E2"/>
    <w:rsid w:val="00274766"/>
    <w:rsid w:val="00277C52"/>
    <w:rsid w:val="00281006"/>
    <w:rsid w:val="00293C4E"/>
    <w:rsid w:val="002A195F"/>
    <w:rsid w:val="002A78EC"/>
    <w:rsid w:val="002B5991"/>
    <w:rsid w:val="002E1ED1"/>
    <w:rsid w:val="00346243"/>
    <w:rsid w:val="00384F04"/>
    <w:rsid w:val="003B6B4D"/>
    <w:rsid w:val="003C0DC5"/>
    <w:rsid w:val="003D0CAF"/>
    <w:rsid w:val="00413C59"/>
    <w:rsid w:val="004215B1"/>
    <w:rsid w:val="0042612D"/>
    <w:rsid w:val="004357D3"/>
    <w:rsid w:val="00464964"/>
    <w:rsid w:val="0046767A"/>
    <w:rsid w:val="00471E74"/>
    <w:rsid w:val="00474234"/>
    <w:rsid w:val="0048056A"/>
    <w:rsid w:val="004D3A12"/>
    <w:rsid w:val="00506C15"/>
    <w:rsid w:val="00510A6D"/>
    <w:rsid w:val="005164E4"/>
    <w:rsid w:val="00516A57"/>
    <w:rsid w:val="00520E39"/>
    <w:rsid w:val="00521B30"/>
    <w:rsid w:val="00523D56"/>
    <w:rsid w:val="005A43F5"/>
    <w:rsid w:val="005A7C80"/>
    <w:rsid w:val="005B6765"/>
    <w:rsid w:val="005D0A24"/>
    <w:rsid w:val="005F184B"/>
    <w:rsid w:val="005F4772"/>
    <w:rsid w:val="00605FB7"/>
    <w:rsid w:val="00611B64"/>
    <w:rsid w:val="00621784"/>
    <w:rsid w:val="00637F5D"/>
    <w:rsid w:val="006475CA"/>
    <w:rsid w:val="006730EE"/>
    <w:rsid w:val="00682EED"/>
    <w:rsid w:val="006866DC"/>
    <w:rsid w:val="00697D78"/>
    <w:rsid w:val="006A25F6"/>
    <w:rsid w:val="006C29B5"/>
    <w:rsid w:val="006E5C02"/>
    <w:rsid w:val="006F2B85"/>
    <w:rsid w:val="0070481A"/>
    <w:rsid w:val="007226DA"/>
    <w:rsid w:val="0072292D"/>
    <w:rsid w:val="007520E1"/>
    <w:rsid w:val="00760911"/>
    <w:rsid w:val="007652E4"/>
    <w:rsid w:val="007832D1"/>
    <w:rsid w:val="00797019"/>
    <w:rsid w:val="007A7DF7"/>
    <w:rsid w:val="007B774D"/>
    <w:rsid w:val="007E38E1"/>
    <w:rsid w:val="007E6A79"/>
    <w:rsid w:val="007E79D6"/>
    <w:rsid w:val="007F0AB4"/>
    <w:rsid w:val="007F4819"/>
    <w:rsid w:val="00860349"/>
    <w:rsid w:val="00871829"/>
    <w:rsid w:val="008720D9"/>
    <w:rsid w:val="008818E8"/>
    <w:rsid w:val="008A2117"/>
    <w:rsid w:val="008D182B"/>
    <w:rsid w:val="008F6818"/>
    <w:rsid w:val="00923B78"/>
    <w:rsid w:val="009256AD"/>
    <w:rsid w:val="00935A17"/>
    <w:rsid w:val="009404CA"/>
    <w:rsid w:val="00943E37"/>
    <w:rsid w:val="00980DBD"/>
    <w:rsid w:val="009833E8"/>
    <w:rsid w:val="009B2B03"/>
    <w:rsid w:val="009E6864"/>
    <w:rsid w:val="009F2722"/>
    <w:rsid w:val="00A127C9"/>
    <w:rsid w:val="00A235A6"/>
    <w:rsid w:val="00A342A1"/>
    <w:rsid w:val="00A50779"/>
    <w:rsid w:val="00A52655"/>
    <w:rsid w:val="00A823E9"/>
    <w:rsid w:val="00A95A7C"/>
    <w:rsid w:val="00AA010E"/>
    <w:rsid w:val="00AD7283"/>
    <w:rsid w:val="00AF3346"/>
    <w:rsid w:val="00AF74EC"/>
    <w:rsid w:val="00B2293E"/>
    <w:rsid w:val="00B34E2C"/>
    <w:rsid w:val="00B40A52"/>
    <w:rsid w:val="00B62D1C"/>
    <w:rsid w:val="00B65E23"/>
    <w:rsid w:val="00BB362C"/>
    <w:rsid w:val="00BC0980"/>
    <w:rsid w:val="00BD02BA"/>
    <w:rsid w:val="00BE3622"/>
    <w:rsid w:val="00BE4CAF"/>
    <w:rsid w:val="00C076CB"/>
    <w:rsid w:val="00C4576D"/>
    <w:rsid w:val="00C45B4F"/>
    <w:rsid w:val="00C9254A"/>
    <w:rsid w:val="00CD393C"/>
    <w:rsid w:val="00D07A9A"/>
    <w:rsid w:val="00D143A2"/>
    <w:rsid w:val="00D349DA"/>
    <w:rsid w:val="00D34A21"/>
    <w:rsid w:val="00D5689F"/>
    <w:rsid w:val="00D65E8A"/>
    <w:rsid w:val="00D66BA3"/>
    <w:rsid w:val="00D828EA"/>
    <w:rsid w:val="00D86485"/>
    <w:rsid w:val="00D93824"/>
    <w:rsid w:val="00D94CB5"/>
    <w:rsid w:val="00DB3A9A"/>
    <w:rsid w:val="00DD4373"/>
    <w:rsid w:val="00DE07BC"/>
    <w:rsid w:val="00DF10C7"/>
    <w:rsid w:val="00E805DA"/>
    <w:rsid w:val="00EA58B5"/>
    <w:rsid w:val="00EB0D3E"/>
    <w:rsid w:val="00EF31A5"/>
    <w:rsid w:val="00EF6CE8"/>
    <w:rsid w:val="00F54931"/>
    <w:rsid w:val="00F618BE"/>
    <w:rsid w:val="00F80FC0"/>
    <w:rsid w:val="00F903D3"/>
    <w:rsid w:val="00F96D40"/>
    <w:rsid w:val="00FB1741"/>
    <w:rsid w:val="00FB5B1D"/>
    <w:rsid w:val="00FE74B3"/>
    <w:rsid w:val="52C8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19FE"/>
  <w15:chartTrackingRefBased/>
  <w15:docId w15:val="{78998A81-A4D6-4C14-9F15-C32361AC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824"/>
  </w:style>
  <w:style w:type="paragraph" w:styleId="Heading1">
    <w:name w:val="heading 1"/>
    <w:basedOn w:val="Normal"/>
    <w:next w:val="Normal"/>
    <w:link w:val="Heading1Char"/>
    <w:uiPriority w:val="9"/>
    <w:qFormat/>
    <w:rsid w:val="00B40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EB0"/>
    <w:pPr>
      <w:keepNext/>
      <w:keepLines/>
      <w:spacing w:before="40" w:after="0"/>
      <w:outlineLvl w:val="1"/>
    </w:pPr>
    <w:rPr>
      <w:rFonts w:ascii="Verdana" w:eastAsiaTheme="majorEastAsia" w:hAnsi="Verdan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0E1"/>
    <w:pPr>
      <w:keepNext/>
      <w:keepLines/>
      <w:spacing w:before="40" w:after="0"/>
      <w:outlineLvl w:val="2"/>
    </w:pPr>
    <w:rPr>
      <w:rFonts w:ascii="Verdana" w:eastAsiaTheme="majorEastAsia" w:hAnsi="Verdan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5B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15B1"/>
    <w:rPr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unhideWhenUsed/>
    <w:rsid w:val="00413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C59"/>
  </w:style>
  <w:style w:type="paragraph" w:styleId="Footer">
    <w:name w:val="footer"/>
    <w:basedOn w:val="Normal"/>
    <w:link w:val="FooterChar"/>
    <w:uiPriority w:val="99"/>
    <w:semiHidden/>
    <w:unhideWhenUsed/>
    <w:rsid w:val="00413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C59"/>
  </w:style>
  <w:style w:type="character" w:styleId="FollowedHyperlink">
    <w:name w:val="FollowedHyperlink"/>
    <w:basedOn w:val="DefaultParagraphFont"/>
    <w:uiPriority w:val="99"/>
    <w:semiHidden/>
    <w:unhideWhenUsed/>
    <w:rsid w:val="00146EB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6EB0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0E1"/>
    <w:rPr>
      <w:rFonts w:ascii="Verdana" w:eastAsiaTheme="majorEastAsia" w:hAnsi="Verdana" w:cstheme="majorBidi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520E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5C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4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0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A25F6"/>
    <w:pPr>
      <w:tabs>
        <w:tab w:val="right" w:leader="dot" w:pos="9350"/>
      </w:tabs>
      <w:spacing w:after="100"/>
    </w:pPr>
  </w:style>
  <w:style w:type="paragraph" w:styleId="Revision">
    <w:name w:val="Revision"/>
    <w:hidden/>
    <w:uiPriority w:val="99"/>
    <w:semiHidden/>
    <w:rsid w:val="00DE07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 xsi:nil="true"/>
    <ProjectAnalyst xmlns="d19e0082-693e-45ae-8f74-da0dd659fa03" xsi:nil="true"/>
    <DocumentConsultatnt xmlns="d19e0082-693e-45ae-8f74-da0dd659fa03" xsi:nil="true"/>
    <LifelineQuickChat xmlns="d19e0082-693e-45ae-8f74-da0dd659fa03" xsi:nil="true"/>
    <Status xmlns="d19e0082-693e-45ae-8f74-da0dd659fa03" xsi:nil="true"/>
    <DueDate xmlns="d19e0082-693e-45ae-8f74-da0dd659fa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bf912b4f12eb7005afd2bae5938a38c3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c3a4bce088898085ab96066dc5d04373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11C277-7B82-462D-93C5-79A54067DA9A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2.xml><?xml version="1.0" encoding="utf-8"?>
<ds:datastoreItem xmlns:ds="http://schemas.openxmlformats.org/officeDocument/2006/customXml" ds:itemID="{DCF42EDA-5249-4830-89D2-D43A4D630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0DCFD-99CB-43DB-AF7D-94D4FED24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1114176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!/view?docid=657ddfe3-27d1-4a21-8f51-8cbd3961001c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4718667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!/view?docid=02c153cf-704c-4e27-9e1f-a4633adf546c</vt:lpwstr>
      </vt:variant>
      <vt:variant>
        <vt:i4>1638425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!/view?docid=64f18e5a-4d56-4175-ba8e-e7d094e501d6</vt:lpwstr>
      </vt:variant>
      <vt:variant>
        <vt:i4>4718614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!/view?docid=2afb93f5-6068-48b7-af0f-e04000f90426</vt:lpwstr>
      </vt:variant>
      <vt:variant>
        <vt:i4>1376330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!/view?docid=18bb86b7-af5b-4f25-af23-9c635e8a0aa4</vt:lpwstr>
      </vt:variant>
      <vt:variant>
        <vt:i4>4784146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!/view?docid=104c3318-95ba-42e2-bd05-17877b0a8045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_Toc202952833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_Toc202952832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Dugdale, Brienna</cp:lastModifiedBy>
  <cp:revision>21</cp:revision>
  <dcterms:created xsi:type="dcterms:W3CDTF">2025-07-09T18:13:00Z</dcterms:created>
  <dcterms:modified xsi:type="dcterms:W3CDTF">2025-08-22T23:09:00Z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2023-12-29T18:44:49Z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2831cfae-f7fd-4f83-9556-2f1e6af46962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