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97955" w14:textId="5274C7F0" w:rsidR="00B67CBB" w:rsidRPr="000F5E95" w:rsidRDefault="00DC5D2A" w:rsidP="00EB4444">
      <w:pPr>
        <w:rPr>
          <w:rFonts w:ascii="Verdana" w:hAnsi="Verdana"/>
          <w:sz w:val="36"/>
          <w:szCs w:val="36"/>
        </w:rPr>
      </w:pPr>
      <w:bookmarkStart w:id="0" w:name="_top"/>
      <w:bookmarkEnd w:id="0"/>
      <w:r w:rsidRPr="000F5E95">
        <w:rPr>
          <w:rFonts w:ascii="Verdana" w:hAnsi="Verdana"/>
          <w:b/>
          <w:bCs/>
          <w:sz w:val="36"/>
          <w:szCs w:val="36"/>
        </w:rPr>
        <w:t>New Member Prior Authorization (PA) Statuses Coming Soon!</w:t>
      </w:r>
    </w:p>
    <w:p w14:paraId="6B6285F8" w14:textId="77777777" w:rsidR="003B3ABF" w:rsidRDefault="003B3ABF" w:rsidP="003B3ABF">
      <w:pPr>
        <w:rPr>
          <w:rFonts w:ascii="Verdana" w:hAnsi="Verdana"/>
          <w:b/>
          <w:bCs/>
          <w:sz w:val="24"/>
          <w:szCs w:val="24"/>
        </w:rPr>
      </w:pPr>
    </w:p>
    <w:p w14:paraId="296AE525" w14:textId="6438A017" w:rsidR="003B3ABF" w:rsidRPr="003B3ABF" w:rsidRDefault="00410603" w:rsidP="003B3ABF">
      <w:pPr>
        <w:rPr>
          <w:rFonts w:ascii="Verdana" w:eastAsiaTheme="minorEastAsia" w:hAnsi="Verdana"/>
          <w:noProof/>
          <w:sz w:val="24"/>
          <w:szCs w:val="24"/>
        </w:rPr>
      </w:pPr>
      <w:r w:rsidRPr="003B3ABF">
        <w:rPr>
          <w:rFonts w:ascii="Verdana" w:hAnsi="Verdana"/>
          <w:b/>
          <w:bCs/>
          <w:sz w:val="24"/>
          <w:szCs w:val="24"/>
        </w:rPr>
        <w:fldChar w:fldCharType="begin"/>
      </w:r>
      <w:r w:rsidRPr="003B3ABF">
        <w:rPr>
          <w:rFonts w:ascii="Verdana" w:hAnsi="Verdana"/>
          <w:b/>
          <w:bCs/>
          <w:sz w:val="24"/>
          <w:szCs w:val="24"/>
        </w:rPr>
        <w:instrText xml:space="preserve"> TOC \o "2-2" \n \p " " \h \z \u </w:instrText>
      </w:r>
      <w:r w:rsidRPr="003B3ABF">
        <w:rPr>
          <w:rFonts w:ascii="Verdana" w:hAnsi="Verdana"/>
          <w:b/>
          <w:bCs/>
          <w:sz w:val="24"/>
          <w:szCs w:val="24"/>
        </w:rPr>
        <w:fldChar w:fldCharType="separate"/>
      </w:r>
      <w:hyperlink w:anchor="_Toc202871146" w:history="1">
        <w:r w:rsidR="003B3ABF" w:rsidRPr="003B3ABF">
          <w:rPr>
            <w:rStyle w:val="Hyperlink"/>
            <w:rFonts w:ascii="Verdana" w:hAnsi="Verdana"/>
            <w:noProof/>
            <w:sz w:val="24"/>
            <w:szCs w:val="24"/>
          </w:rPr>
          <w:t>Background</w:t>
        </w:r>
      </w:hyperlink>
    </w:p>
    <w:p w14:paraId="04E582F4" w14:textId="54FC17AE" w:rsidR="003B3ABF" w:rsidRPr="003B3ABF" w:rsidRDefault="003B3ABF" w:rsidP="003B3ABF">
      <w:pPr>
        <w:rPr>
          <w:rFonts w:ascii="Verdana" w:eastAsiaTheme="minorEastAsia" w:hAnsi="Verdana"/>
          <w:noProof/>
          <w:sz w:val="24"/>
          <w:szCs w:val="24"/>
        </w:rPr>
      </w:pPr>
      <w:hyperlink w:anchor="_Toc202871147" w:history="1">
        <w:r w:rsidRPr="003B3ABF">
          <w:rPr>
            <w:rStyle w:val="Hyperlink"/>
            <w:rFonts w:ascii="Verdana" w:hAnsi="Verdana"/>
            <w:noProof/>
            <w:sz w:val="24"/>
            <w:szCs w:val="24"/>
          </w:rPr>
          <w:t>Purpose</w:t>
        </w:r>
      </w:hyperlink>
    </w:p>
    <w:p w14:paraId="73DD7B31" w14:textId="41D4FF11" w:rsidR="003B3ABF" w:rsidRPr="003B3ABF" w:rsidRDefault="003B3ABF" w:rsidP="003B3ABF">
      <w:pPr>
        <w:rPr>
          <w:rFonts w:ascii="Verdana" w:eastAsiaTheme="minorEastAsia" w:hAnsi="Verdana"/>
          <w:noProof/>
          <w:sz w:val="24"/>
          <w:szCs w:val="24"/>
        </w:rPr>
      </w:pPr>
      <w:hyperlink w:anchor="_Toc202871148" w:history="1">
        <w:r w:rsidRPr="003B3ABF">
          <w:rPr>
            <w:rStyle w:val="Hyperlink"/>
            <w:rFonts w:ascii="Verdana" w:hAnsi="Verdana"/>
            <w:noProof/>
            <w:sz w:val="24"/>
            <w:szCs w:val="24"/>
          </w:rPr>
          <w:t>New and Improved PA Status Messages</w:t>
        </w:r>
      </w:hyperlink>
    </w:p>
    <w:p w14:paraId="12CBFB9E" w14:textId="67CA8CD5" w:rsidR="003B3ABF" w:rsidRPr="003B3ABF" w:rsidRDefault="003B3ABF" w:rsidP="003B3ABF">
      <w:pPr>
        <w:rPr>
          <w:rFonts w:ascii="Verdana" w:eastAsiaTheme="minorEastAsia" w:hAnsi="Verdana"/>
          <w:noProof/>
          <w:sz w:val="24"/>
          <w:szCs w:val="24"/>
        </w:rPr>
      </w:pPr>
      <w:hyperlink w:anchor="_Toc202871149" w:history="1">
        <w:r w:rsidRPr="003B3ABF">
          <w:rPr>
            <w:rStyle w:val="Hyperlink"/>
            <w:rFonts w:ascii="Verdana" w:hAnsi="Verdana"/>
            <w:noProof/>
            <w:sz w:val="24"/>
            <w:szCs w:val="24"/>
          </w:rPr>
          <w:t>FAQs</w:t>
        </w:r>
      </w:hyperlink>
    </w:p>
    <w:p w14:paraId="26BF0B5F" w14:textId="368096C5" w:rsidR="00ED22DD" w:rsidRDefault="00410603" w:rsidP="003B3ABF">
      <w:pPr>
        <w:rPr>
          <w:rFonts w:ascii="Verdana" w:hAnsi="Verdana"/>
          <w:b/>
          <w:bCs/>
          <w:sz w:val="24"/>
          <w:szCs w:val="24"/>
        </w:rPr>
      </w:pPr>
      <w:r w:rsidRPr="003B3ABF">
        <w:rPr>
          <w:rFonts w:ascii="Verdana" w:hAnsi="Verdana"/>
          <w:b/>
          <w:bCs/>
          <w:sz w:val="24"/>
          <w:szCs w:val="24"/>
        </w:rPr>
        <w:fldChar w:fldCharType="end"/>
      </w:r>
    </w:p>
    <w:p w14:paraId="25BA1F8E" w14:textId="1BC68558" w:rsidR="00CE51AD" w:rsidRPr="0051346B" w:rsidRDefault="009A541E" w:rsidP="00EB4444">
      <w:pPr>
        <w:rPr>
          <w:rFonts w:ascii="Verdana" w:hAnsi="Verdana"/>
          <w:sz w:val="24"/>
          <w:szCs w:val="24"/>
        </w:rPr>
      </w:pPr>
      <w:r w:rsidRPr="009A541E">
        <w:rPr>
          <w:rFonts w:ascii="Verdana" w:hAnsi="Verdana"/>
          <w:b/>
          <w:bCs/>
          <w:sz w:val="24"/>
          <w:szCs w:val="24"/>
        </w:rPr>
        <w:t>Description</w:t>
      </w:r>
      <w:r w:rsidR="003B3ABF">
        <w:rPr>
          <w:rFonts w:ascii="Verdana" w:hAnsi="Verdana"/>
          <w:b/>
          <w:bCs/>
          <w:sz w:val="24"/>
          <w:szCs w:val="24"/>
        </w:rPr>
        <w:t xml:space="preserve"> </w:t>
      </w:r>
      <w:r w:rsidR="0051346B">
        <w:rPr>
          <w:rFonts w:ascii="Verdana" w:hAnsi="Verdana"/>
          <w:sz w:val="24"/>
          <w:szCs w:val="24"/>
        </w:rPr>
        <w:t xml:space="preserve">Information </w:t>
      </w:r>
      <w:r w:rsidR="0014429B">
        <w:rPr>
          <w:rFonts w:ascii="Verdana" w:hAnsi="Verdana"/>
          <w:sz w:val="24"/>
          <w:szCs w:val="24"/>
        </w:rPr>
        <w:t>for</w:t>
      </w:r>
      <w:r w:rsidR="0051346B">
        <w:rPr>
          <w:rFonts w:ascii="Verdana" w:hAnsi="Verdana"/>
          <w:sz w:val="24"/>
          <w:szCs w:val="24"/>
        </w:rPr>
        <w:t xml:space="preserve"> new Member Prior Authorization (PA) Statuses Coming Soon. </w:t>
      </w:r>
    </w:p>
    <w:tbl>
      <w:tblPr>
        <w:tblStyle w:val="TableGrid"/>
        <w:tblW w:w="5000" w:type="pct"/>
        <w:tblLook w:val="04A0" w:firstRow="1" w:lastRow="0" w:firstColumn="1" w:lastColumn="0" w:noHBand="0" w:noVBand="1"/>
      </w:tblPr>
      <w:tblGrid>
        <w:gridCol w:w="9350"/>
      </w:tblGrid>
      <w:tr w:rsidR="00497B14" w14:paraId="15C612E6" w14:textId="77777777" w:rsidTr="00960D12">
        <w:tc>
          <w:tcPr>
            <w:tcW w:w="5000" w:type="pct"/>
            <w:shd w:val="clear" w:color="auto" w:fill="BFBFBF" w:themeFill="background1" w:themeFillShade="BF"/>
          </w:tcPr>
          <w:p w14:paraId="4AA0CC2F" w14:textId="19DAE74A" w:rsidR="00497B14" w:rsidRDefault="00497B14" w:rsidP="00C77A9F">
            <w:pPr>
              <w:pStyle w:val="Heading2"/>
            </w:pPr>
            <w:bookmarkStart w:id="1" w:name="_Toc202871146"/>
            <w:r>
              <w:t>Background</w:t>
            </w:r>
            <w:bookmarkEnd w:id="1"/>
          </w:p>
        </w:tc>
      </w:tr>
    </w:tbl>
    <w:p w14:paraId="6F9CE00A" w14:textId="3163FD96" w:rsidR="56749916" w:rsidRPr="000F5E95" w:rsidRDefault="00C6453A" w:rsidP="00960D12">
      <w:pPr>
        <w:spacing w:before="120" w:after="120"/>
        <w:rPr>
          <w:rFonts w:ascii="Verdana" w:hAnsi="Verdana"/>
          <w:sz w:val="24"/>
          <w:szCs w:val="24"/>
        </w:rPr>
      </w:pPr>
      <w:r w:rsidRPr="000F5E95">
        <w:rPr>
          <w:rFonts w:ascii="Verdana" w:hAnsi="Verdana"/>
          <w:sz w:val="24"/>
          <w:szCs w:val="24"/>
        </w:rPr>
        <w:t>We are</w:t>
      </w:r>
      <w:r w:rsidR="56749916" w:rsidRPr="000F5E95">
        <w:rPr>
          <w:rFonts w:ascii="Verdana" w:hAnsi="Verdana"/>
          <w:sz w:val="24"/>
          <w:szCs w:val="24"/>
        </w:rPr>
        <w:t xml:space="preserve"> thrilled to share that </w:t>
      </w:r>
      <w:r w:rsidR="37D70AF6" w:rsidRPr="000F5E95">
        <w:rPr>
          <w:rFonts w:ascii="Verdana" w:hAnsi="Verdana"/>
          <w:sz w:val="24"/>
          <w:szCs w:val="24"/>
        </w:rPr>
        <w:t xml:space="preserve">between </w:t>
      </w:r>
      <w:r w:rsidR="56749916" w:rsidRPr="000F5E95">
        <w:rPr>
          <w:rFonts w:ascii="Verdana" w:hAnsi="Verdana"/>
          <w:b/>
          <w:sz w:val="24"/>
          <w:szCs w:val="24"/>
        </w:rPr>
        <w:t>November 8th to December 6th, 2024</w:t>
      </w:r>
      <w:r>
        <w:rPr>
          <w:rFonts w:ascii="Verdana" w:hAnsi="Verdana"/>
          <w:b/>
          <w:sz w:val="24"/>
          <w:szCs w:val="24"/>
        </w:rPr>
        <w:t xml:space="preserve">.  </w:t>
      </w:r>
      <w:r w:rsidRPr="00C6453A">
        <w:rPr>
          <w:rFonts w:ascii="Verdana" w:hAnsi="Verdana"/>
          <w:bCs/>
          <w:sz w:val="24"/>
          <w:szCs w:val="24"/>
        </w:rPr>
        <w:t>W</w:t>
      </w:r>
      <w:r w:rsidR="56749916" w:rsidRPr="000F5E95">
        <w:rPr>
          <w:rFonts w:ascii="Verdana" w:hAnsi="Verdana"/>
          <w:sz w:val="24"/>
          <w:szCs w:val="24"/>
        </w:rPr>
        <w:t>e</w:t>
      </w:r>
      <w:r>
        <w:rPr>
          <w:rFonts w:ascii="Verdana" w:hAnsi="Verdana"/>
          <w:sz w:val="24"/>
          <w:szCs w:val="24"/>
        </w:rPr>
        <w:t xml:space="preserve"> a</w:t>
      </w:r>
      <w:r w:rsidR="1782E750" w:rsidRPr="000F5E95">
        <w:rPr>
          <w:rFonts w:ascii="Verdana" w:hAnsi="Verdana"/>
          <w:sz w:val="24"/>
          <w:szCs w:val="24"/>
        </w:rPr>
        <w:t xml:space="preserve">re </w:t>
      </w:r>
      <w:r w:rsidR="56749916" w:rsidRPr="000F5E95">
        <w:rPr>
          <w:rFonts w:ascii="Verdana" w:hAnsi="Verdana"/>
          <w:sz w:val="24"/>
          <w:szCs w:val="24"/>
        </w:rPr>
        <w:t>rolling out new Prior Authorization (PA) status</w:t>
      </w:r>
      <w:r w:rsidR="3D76DE90" w:rsidRPr="000F5E95">
        <w:rPr>
          <w:rFonts w:ascii="Verdana" w:hAnsi="Verdana"/>
          <w:sz w:val="24"/>
          <w:szCs w:val="24"/>
        </w:rPr>
        <w:t xml:space="preserve">es. </w:t>
      </w:r>
      <w:r w:rsidR="56749916" w:rsidRPr="000F5E95">
        <w:rPr>
          <w:rFonts w:ascii="Verdana" w:hAnsi="Verdana"/>
          <w:sz w:val="24"/>
          <w:szCs w:val="24"/>
        </w:rPr>
        <w:t>Th</w:t>
      </w:r>
      <w:r w:rsidR="24CA218A" w:rsidRPr="000F5E95">
        <w:rPr>
          <w:rFonts w:ascii="Verdana" w:hAnsi="Verdana"/>
          <w:sz w:val="24"/>
          <w:szCs w:val="24"/>
        </w:rPr>
        <w:t>e</w:t>
      </w:r>
      <w:r w:rsidR="56749916" w:rsidRPr="000F5E95">
        <w:rPr>
          <w:rFonts w:ascii="Verdana" w:hAnsi="Verdana"/>
          <w:sz w:val="24"/>
          <w:szCs w:val="24"/>
        </w:rPr>
        <w:t>s</w:t>
      </w:r>
      <w:r w:rsidR="24CA218A" w:rsidRPr="000F5E95">
        <w:rPr>
          <w:rFonts w:ascii="Verdana" w:hAnsi="Verdana"/>
          <w:sz w:val="24"/>
          <w:szCs w:val="24"/>
        </w:rPr>
        <w:t xml:space="preserve">e new statuses are </w:t>
      </w:r>
      <w:r w:rsidR="56749916" w:rsidRPr="000F5E95">
        <w:rPr>
          <w:rFonts w:ascii="Verdana" w:hAnsi="Verdana"/>
          <w:sz w:val="24"/>
          <w:szCs w:val="24"/>
        </w:rPr>
        <w:t xml:space="preserve">designed to </w:t>
      </w:r>
      <w:r w:rsidR="2A07F081" w:rsidRPr="000F5E95">
        <w:rPr>
          <w:rFonts w:ascii="Verdana" w:hAnsi="Verdana"/>
          <w:sz w:val="24"/>
          <w:szCs w:val="24"/>
        </w:rPr>
        <w:t xml:space="preserve">strengthen member awareness </w:t>
      </w:r>
      <w:r w:rsidR="0569D4B7" w:rsidRPr="000F5E95">
        <w:rPr>
          <w:rFonts w:ascii="Verdana" w:hAnsi="Verdana"/>
          <w:sz w:val="24"/>
          <w:szCs w:val="24"/>
        </w:rPr>
        <w:t xml:space="preserve">by increasing </w:t>
      </w:r>
      <w:r w:rsidR="4B681CA1" w:rsidRPr="000F5E95">
        <w:rPr>
          <w:rFonts w:ascii="Verdana" w:hAnsi="Verdana"/>
          <w:sz w:val="24"/>
          <w:szCs w:val="24"/>
        </w:rPr>
        <w:t xml:space="preserve">visibility </w:t>
      </w:r>
      <w:r w:rsidR="28BF1DE3" w:rsidRPr="000F5E95">
        <w:rPr>
          <w:rFonts w:ascii="Verdana" w:hAnsi="Verdana"/>
          <w:sz w:val="24"/>
          <w:szCs w:val="24"/>
        </w:rPr>
        <w:t xml:space="preserve">between </w:t>
      </w:r>
      <w:r w:rsidR="5BF98579" w:rsidRPr="000F5E95">
        <w:rPr>
          <w:rFonts w:ascii="Verdana" w:hAnsi="Verdana"/>
          <w:sz w:val="24"/>
          <w:szCs w:val="24"/>
        </w:rPr>
        <w:t xml:space="preserve">when </w:t>
      </w:r>
      <w:r w:rsidR="3602D3D9" w:rsidRPr="000F5E95">
        <w:rPr>
          <w:rFonts w:ascii="Verdana" w:hAnsi="Verdana"/>
          <w:sz w:val="24"/>
          <w:szCs w:val="24"/>
        </w:rPr>
        <w:t>their PA start</w:t>
      </w:r>
      <w:r w:rsidR="305236D5" w:rsidRPr="000F5E95">
        <w:rPr>
          <w:rFonts w:ascii="Verdana" w:hAnsi="Verdana"/>
          <w:sz w:val="24"/>
          <w:szCs w:val="24"/>
        </w:rPr>
        <w:t>s</w:t>
      </w:r>
      <w:r w:rsidR="21BF5627" w:rsidRPr="000F5E95">
        <w:rPr>
          <w:rFonts w:ascii="Verdana" w:hAnsi="Verdana"/>
          <w:sz w:val="24"/>
          <w:szCs w:val="24"/>
        </w:rPr>
        <w:t>,</w:t>
      </w:r>
      <w:r w:rsidR="3602D3D9" w:rsidRPr="000F5E95">
        <w:rPr>
          <w:rFonts w:ascii="Verdana" w:hAnsi="Verdana"/>
          <w:sz w:val="24"/>
          <w:szCs w:val="24"/>
        </w:rPr>
        <w:t xml:space="preserve"> </w:t>
      </w:r>
      <w:r w:rsidR="52C4357A" w:rsidRPr="000F5E95">
        <w:rPr>
          <w:rFonts w:ascii="Verdana" w:hAnsi="Verdana"/>
          <w:sz w:val="24"/>
          <w:szCs w:val="24"/>
        </w:rPr>
        <w:t xml:space="preserve">and a decision </w:t>
      </w:r>
      <w:r w:rsidR="04E89AF8" w:rsidRPr="000F5E95">
        <w:rPr>
          <w:rFonts w:ascii="Verdana" w:hAnsi="Verdana"/>
          <w:sz w:val="24"/>
          <w:szCs w:val="24"/>
        </w:rPr>
        <w:t>i</w:t>
      </w:r>
      <w:r w:rsidR="52C4357A" w:rsidRPr="000F5E95">
        <w:rPr>
          <w:rFonts w:ascii="Verdana" w:hAnsi="Verdana"/>
          <w:sz w:val="24"/>
          <w:szCs w:val="24"/>
        </w:rPr>
        <w:t xml:space="preserve">s made. </w:t>
      </w:r>
      <w:r w:rsidR="00F64039" w:rsidRPr="000F5E95">
        <w:rPr>
          <w:rFonts w:ascii="Verdana" w:hAnsi="Verdana"/>
          <w:sz w:val="24"/>
          <w:szCs w:val="24"/>
        </w:rPr>
        <w:t>Previously, after members initiated their PA request, they did not receive timely status updates, creating a gap in their awareness of the process.</w:t>
      </w:r>
      <w:r w:rsidR="00E72881" w:rsidRPr="000F5E95">
        <w:rPr>
          <w:rFonts w:ascii="Verdana" w:hAnsi="Verdana"/>
          <w:sz w:val="24"/>
          <w:szCs w:val="24"/>
        </w:rPr>
        <w:t xml:space="preserve"> </w:t>
      </w:r>
    </w:p>
    <w:p w14:paraId="66204F44" w14:textId="77777777" w:rsidR="00EC6837" w:rsidRPr="000F5E95" w:rsidRDefault="00EC6837" w:rsidP="34F0281B">
      <w:pPr>
        <w:rPr>
          <w:rFonts w:ascii="Verdana" w:hAnsi="Verdana"/>
          <w:b/>
          <w:bCs/>
          <w:sz w:val="24"/>
          <w:szCs w:val="24"/>
        </w:rPr>
      </w:pPr>
    </w:p>
    <w:p w14:paraId="40E88EE7" w14:textId="6252BAC5" w:rsidR="00960D12" w:rsidRPr="0051346B" w:rsidRDefault="00960D12" w:rsidP="00960D12">
      <w:pPr>
        <w:jc w:val="right"/>
        <w:rPr>
          <w:rFonts w:ascii="Verdana" w:hAnsi="Verdana"/>
          <w:sz w:val="24"/>
          <w:szCs w:val="24"/>
        </w:rPr>
      </w:pPr>
      <w:hyperlink w:anchor="_top" w:history="1">
        <w:r w:rsidRPr="00960D12">
          <w:rPr>
            <w:rStyle w:val="Hyperlink"/>
            <w:rFonts w:ascii="Verdana" w:hAnsi="Verdana"/>
            <w:sz w:val="24"/>
            <w:szCs w:val="24"/>
          </w:rPr>
          <w:t>Top of the Document</w:t>
        </w:r>
      </w:hyperlink>
    </w:p>
    <w:tbl>
      <w:tblPr>
        <w:tblStyle w:val="TableGrid"/>
        <w:tblW w:w="5000" w:type="pct"/>
        <w:tblLook w:val="04A0" w:firstRow="1" w:lastRow="0" w:firstColumn="1" w:lastColumn="0" w:noHBand="0" w:noVBand="1"/>
      </w:tblPr>
      <w:tblGrid>
        <w:gridCol w:w="9350"/>
      </w:tblGrid>
      <w:tr w:rsidR="00960D12" w14:paraId="1DA57E00" w14:textId="77777777" w:rsidTr="0081755A">
        <w:tc>
          <w:tcPr>
            <w:tcW w:w="5000" w:type="pct"/>
            <w:shd w:val="clear" w:color="auto" w:fill="BFBFBF" w:themeFill="background1" w:themeFillShade="BF"/>
          </w:tcPr>
          <w:p w14:paraId="34BEFABA" w14:textId="6A5D5A4B" w:rsidR="00960D12" w:rsidRDefault="00192447" w:rsidP="00C77A9F">
            <w:pPr>
              <w:pStyle w:val="Heading2"/>
            </w:pPr>
            <w:bookmarkStart w:id="2" w:name="_Toc202871147"/>
            <w:r>
              <w:t>Purpose</w:t>
            </w:r>
            <w:bookmarkEnd w:id="2"/>
          </w:p>
        </w:tc>
      </w:tr>
    </w:tbl>
    <w:p w14:paraId="29CF446F" w14:textId="1E538307" w:rsidR="00C77A9F" w:rsidRPr="000F5E95" w:rsidRDefault="0081755A" w:rsidP="00192447">
      <w:pPr>
        <w:spacing w:before="120" w:after="120"/>
        <w:rPr>
          <w:rFonts w:ascii="Verdana" w:hAnsi="Verdana"/>
          <w:sz w:val="24"/>
          <w:szCs w:val="24"/>
        </w:rPr>
      </w:pPr>
      <w:r w:rsidRPr="0081755A">
        <w:rPr>
          <w:rFonts w:ascii="Verdana" w:eastAsia="Calibri" w:hAnsi="Verdana" w:cs="Calibri"/>
          <w:sz w:val="24"/>
          <w:szCs w:val="24"/>
        </w:rPr>
        <w:t>The purpose of this enhanced process is to implement new prior authorization status messages and increase the frequency of updates that members receive through CMP, inbound IVR, and Caremark.com, ensuring they are kept informed throughout the entire process.</w:t>
      </w:r>
    </w:p>
    <w:p w14:paraId="53D239D0" w14:textId="77777777" w:rsidR="00192447" w:rsidRPr="0051346B" w:rsidRDefault="00192447" w:rsidP="00192447">
      <w:pPr>
        <w:jc w:val="right"/>
        <w:rPr>
          <w:rFonts w:ascii="Verdana" w:hAnsi="Verdana"/>
          <w:sz w:val="24"/>
          <w:szCs w:val="24"/>
        </w:rPr>
      </w:pPr>
      <w:hyperlink w:anchor="_top" w:history="1">
        <w:r w:rsidRPr="00960D12">
          <w:rPr>
            <w:rStyle w:val="Hyperlink"/>
            <w:rFonts w:ascii="Verdana" w:hAnsi="Verdana"/>
            <w:sz w:val="24"/>
            <w:szCs w:val="24"/>
          </w:rPr>
          <w:t>Top of the Document</w:t>
        </w:r>
      </w:hyperlink>
    </w:p>
    <w:tbl>
      <w:tblPr>
        <w:tblStyle w:val="TableGrid"/>
        <w:tblW w:w="5000" w:type="pct"/>
        <w:tblLook w:val="04A0" w:firstRow="1" w:lastRow="0" w:firstColumn="1" w:lastColumn="0" w:noHBand="0" w:noVBand="1"/>
      </w:tblPr>
      <w:tblGrid>
        <w:gridCol w:w="9350"/>
      </w:tblGrid>
      <w:tr w:rsidR="00192447" w14:paraId="0EFE8774" w14:textId="77777777" w:rsidTr="00192447">
        <w:tc>
          <w:tcPr>
            <w:tcW w:w="5000" w:type="pct"/>
            <w:shd w:val="clear" w:color="auto" w:fill="BFBFBF" w:themeFill="background1" w:themeFillShade="BF"/>
          </w:tcPr>
          <w:p w14:paraId="4300C125" w14:textId="0A23FD4D" w:rsidR="00192447" w:rsidRDefault="00192447" w:rsidP="00C77A9F">
            <w:pPr>
              <w:pStyle w:val="Heading2"/>
            </w:pPr>
            <w:bookmarkStart w:id="3" w:name="_Toc202871148"/>
            <w:r w:rsidRPr="000F5E95">
              <w:t>New and Improved PA Status Messages</w:t>
            </w:r>
            <w:bookmarkEnd w:id="3"/>
          </w:p>
        </w:tc>
      </w:tr>
    </w:tbl>
    <w:p w14:paraId="5EF1446B" w14:textId="0992DB89" w:rsidR="00EB4444" w:rsidRPr="00192447" w:rsidRDefault="00192447" w:rsidP="00192447">
      <w:pPr>
        <w:spacing w:before="120" w:after="120"/>
        <w:rPr>
          <w:rFonts w:ascii="Verdana" w:hAnsi="Verdana"/>
          <w:sz w:val="24"/>
          <w:szCs w:val="24"/>
        </w:rPr>
      </w:pPr>
      <w:r>
        <w:rPr>
          <w:rFonts w:ascii="Verdana" w:hAnsi="Verdana"/>
          <w:sz w:val="24"/>
          <w:szCs w:val="24"/>
        </w:rPr>
        <w:t xml:space="preserve">Refer to the table below: </w:t>
      </w:r>
    </w:p>
    <w:tbl>
      <w:tblPr>
        <w:tblW w:w="5000" w:type="pct"/>
        <w:tblCellMar>
          <w:left w:w="0" w:type="dxa"/>
          <w:right w:w="0" w:type="dxa"/>
        </w:tblCellMar>
        <w:tblLook w:val="0600" w:firstRow="0" w:lastRow="0" w:firstColumn="0" w:lastColumn="0" w:noHBand="1" w:noVBand="1"/>
      </w:tblPr>
      <w:tblGrid>
        <w:gridCol w:w="1104"/>
        <w:gridCol w:w="883"/>
        <w:gridCol w:w="956"/>
        <w:gridCol w:w="882"/>
        <w:gridCol w:w="1103"/>
        <w:gridCol w:w="1103"/>
        <w:gridCol w:w="1103"/>
        <w:gridCol w:w="1103"/>
        <w:gridCol w:w="1103"/>
      </w:tblGrid>
      <w:tr w:rsidR="00D25C4E" w:rsidRPr="000F5E95" w14:paraId="1B983FA4" w14:textId="77777777" w:rsidTr="00B618BC">
        <w:trPr>
          <w:trHeight w:val="305"/>
        </w:trPr>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4104C56B" w14:textId="77777777" w:rsidR="00EB4444" w:rsidRPr="000F5E95" w:rsidRDefault="00EB4444" w:rsidP="00496550">
            <w:pPr>
              <w:jc w:val="center"/>
              <w:rPr>
                <w:rFonts w:ascii="Verdana" w:hAnsi="Verdana"/>
                <w:sz w:val="24"/>
                <w:szCs w:val="24"/>
              </w:rPr>
            </w:pPr>
            <w:r w:rsidRPr="000F5E95">
              <w:rPr>
                <w:rFonts w:ascii="Verdana" w:hAnsi="Verdana"/>
                <w:b/>
                <w:bCs/>
                <w:sz w:val="24"/>
                <w:szCs w:val="24"/>
              </w:rPr>
              <w:t>New</w:t>
            </w:r>
          </w:p>
        </w:tc>
        <w:tc>
          <w:tcPr>
            <w:tcW w:w="55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6F16749B" w14:textId="77777777" w:rsidR="00EB4444" w:rsidRPr="000F5E95" w:rsidRDefault="00EB4444" w:rsidP="00496550">
            <w:pPr>
              <w:jc w:val="center"/>
              <w:rPr>
                <w:rFonts w:ascii="Verdana" w:hAnsi="Verdana"/>
                <w:sz w:val="24"/>
                <w:szCs w:val="24"/>
              </w:rPr>
            </w:pPr>
          </w:p>
        </w:tc>
        <w:tc>
          <w:tcPr>
            <w:tcW w:w="55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4B845D3D" w14:textId="77777777" w:rsidR="00EB4444" w:rsidRPr="000F5E95" w:rsidRDefault="00EB4444" w:rsidP="00496550">
            <w:pPr>
              <w:jc w:val="center"/>
              <w:rPr>
                <w:rFonts w:ascii="Verdana" w:hAnsi="Verdana"/>
                <w:sz w:val="24"/>
                <w:szCs w:val="24"/>
              </w:rPr>
            </w:pPr>
            <w:r w:rsidRPr="000F5E95">
              <w:rPr>
                <w:rFonts w:ascii="Verdana" w:hAnsi="Verdana"/>
                <w:b/>
                <w:bCs/>
                <w:sz w:val="24"/>
                <w:szCs w:val="24"/>
              </w:rPr>
              <w:t>New</w:t>
            </w:r>
          </w:p>
        </w:tc>
        <w:tc>
          <w:tcPr>
            <w:tcW w:w="55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2FF9BB9D" w14:textId="77777777" w:rsidR="00EB4444" w:rsidRPr="000F5E95" w:rsidRDefault="00EB4444" w:rsidP="00496550">
            <w:pPr>
              <w:jc w:val="center"/>
              <w:rPr>
                <w:rFonts w:ascii="Verdana" w:hAnsi="Verdana"/>
                <w:sz w:val="24"/>
                <w:szCs w:val="24"/>
              </w:rPr>
            </w:pPr>
            <w:r w:rsidRPr="000F5E95">
              <w:rPr>
                <w:rFonts w:ascii="Verdana" w:hAnsi="Verdana"/>
                <w:b/>
                <w:bCs/>
                <w:sz w:val="24"/>
                <w:szCs w:val="24"/>
              </w:rPr>
              <w:t>New</w:t>
            </w: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1A9F3055" w14:textId="77777777" w:rsidR="00EB4444" w:rsidRPr="000F5E95" w:rsidRDefault="00EB4444" w:rsidP="00496550">
            <w:pPr>
              <w:jc w:val="center"/>
              <w:rPr>
                <w:rFonts w:ascii="Verdana" w:hAnsi="Verdana"/>
                <w:sz w:val="24"/>
                <w:szCs w:val="24"/>
              </w:rPr>
            </w:pP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680DEC7E" w14:textId="77777777" w:rsidR="00EB4444" w:rsidRPr="000F5E95" w:rsidRDefault="00EB4444" w:rsidP="00496550">
            <w:pPr>
              <w:jc w:val="center"/>
              <w:rPr>
                <w:rFonts w:ascii="Verdana" w:hAnsi="Verdana"/>
                <w:sz w:val="24"/>
                <w:szCs w:val="24"/>
              </w:rPr>
            </w:pP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79367FC7" w14:textId="77777777" w:rsidR="00EB4444" w:rsidRPr="000F5E95" w:rsidRDefault="00EB4444" w:rsidP="00496550">
            <w:pPr>
              <w:jc w:val="center"/>
              <w:rPr>
                <w:rFonts w:ascii="Verdana" w:hAnsi="Verdana"/>
                <w:sz w:val="24"/>
                <w:szCs w:val="24"/>
              </w:rPr>
            </w:pP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3AD0E59C" w14:textId="77777777" w:rsidR="00EB4444" w:rsidRPr="000F5E95" w:rsidRDefault="00EB4444" w:rsidP="00496550">
            <w:pPr>
              <w:jc w:val="center"/>
              <w:rPr>
                <w:rFonts w:ascii="Verdana" w:hAnsi="Verdana"/>
                <w:sz w:val="24"/>
                <w:szCs w:val="24"/>
              </w:rPr>
            </w:pPr>
            <w:r w:rsidRPr="000F5E95">
              <w:rPr>
                <w:rFonts w:ascii="Verdana" w:hAnsi="Verdana"/>
                <w:b/>
                <w:bCs/>
                <w:sz w:val="24"/>
                <w:szCs w:val="24"/>
              </w:rPr>
              <w:t>New</w:t>
            </w: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7B05764C" w14:textId="77777777" w:rsidR="00EB4444" w:rsidRPr="000F5E95" w:rsidRDefault="00EB4444" w:rsidP="00496550">
            <w:pPr>
              <w:jc w:val="center"/>
              <w:rPr>
                <w:rFonts w:ascii="Verdana" w:hAnsi="Verdana"/>
                <w:sz w:val="24"/>
                <w:szCs w:val="24"/>
              </w:rPr>
            </w:pPr>
          </w:p>
        </w:tc>
      </w:tr>
      <w:tr w:rsidR="00D25C4E" w:rsidRPr="000F5E95" w14:paraId="4EF53CEC" w14:textId="77777777" w:rsidTr="005456BE">
        <w:trPr>
          <w:trHeight w:val="391"/>
        </w:trPr>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3ACE3E23" w14:textId="04D65CA4" w:rsidR="00EB4444" w:rsidRPr="000F5E95" w:rsidRDefault="00EB4444" w:rsidP="00496550">
            <w:pPr>
              <w:jc w:val="center"/>
              <w:rPr>
                <w:rFonts w:ascii="Verdana" w:hAnsi="Verdana"/>
                <w:sz w:val="24"/>
                <w:szCs w:val="24"/>
              </w:rPr>
            </w:pPr>
            <w:r w:rsidRPr="000F5E95">
              <w:rPr>
                <w:rFonts w:ascii="Verdana" w:hAnsi="Verdana"/>
                <w:b/>
                <w:bCs/>
                <w:sz w:val="24"/>
                <w:szCs w:val="24"/>
              </w:rPr>
              <w:t>Initiated</w:t>
            </w:r>
          </w:p>
        </w:tc>
        <w:tc>
          <w:tcPr>
            <w:tcW w:w="55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15328A1A" w14:textId="2EACC2CA" w:rsidR="00EB4444" w:rsidRPr="000F5E95" w:rsidRDefault="00EB4444" w:rsidP="00496550">
            <w:pPr>
              <w:jc w:val="center"/>
              <w:rPr>
                <w:rFonts w:ascii="Verdana" w:hAnsi="Verdana"/>
                <w:sz w:val="24"/>
                <w:szCs w:val="24"/>
              </w:rPr>
            </w:pPr>
            <w:r w:rsidRPr="000F5E95">
              <w:rPr>
                <w:rFonts w:ascii="Verdana" w:hAnsi="Verdana"/>
                <w:b/>
                <w:bCs/>
                <w:sz w:val="24"/>
                <w:szCs w:val="24"/>
              </w:rPr>
              <w:t>Pending</w:t>
            </w:r>
          </w:p>
        </w:tc>
        <w:tc>
          <w:tcPr>
            <w:tcW w:w="55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4EE8C290" w14:textId="34B9969A" w:rsidR="00EB4444" w:rsidRPr="000F5E95" w:rsidRDefault="00EB4444" w:rsidP="00496550">
            <w:pPr>
              <w:jc w:val="center"/>
              <w:rPr>
                <w:rFonts w:ascii="Verdana" w:hAnsi="Verdana"/>
                <w:sz w:val="24"/>
                <w:szCs w:val="24"/>
              </w:rPr>
            </w:pPr>
            <w:r w:rsidRPr="000F5E95">
              <w:rPr>
                <w:rFonts w:ascii="Verdana" w:hAnsi="Verdana"/>
                <w:b/>
                <w:bCs/>
                <w:sz w:val="24"/>
                <w:szCs w:val="24"/>
              </w:rPr>
              <w:t>Response Needed</w:t>
            </w:r>
          </w:p>
        </w:tc>
        <w:tc>
          <w:tcPr>
            <w:tcW w:w="55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527CF437" w14:textId="4ED355E8" w:rsidR="00EB4444" w:rsidRPr="000F5E95" w:rsidRDefault="00EB4444" w:rsidP="00496550">
            <w:pPr>
              <w:jc w:val="center"/>
              <w:rPr>
                <w:rFonts w:ascii="Verdana" w:hAnsi="Verdana"/>
                <w:sz w:val="24"/>
                <w:szCs w:val="24"/>
              </w:rPr>
            </w:pPr>
            <w:r w:rsidRPr="000F5E95">
              <w:rPr>
                <w:rFonts w:ascii="Verdana" w:hAnsi="Verdana"/>
                <w:b/>
                <w:bCs/>
                <w:sz w:val="24"/>
                <w:szCs w:val="24"/>
              </w:rPr>
              <w:t>Under Review</w:t>
            </w: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1EB1BD05" w14:textId="1C937575" w:rsidR="00EB4444" w:rsidRPr="000F5E95" w:rsidRDefault="00EB4444" w:rsidP="00496550">
            <w:pPr>
              <w:jc w:val="center"/>
              <w:rPr>
                <w:rFonts w:ascii="Verdana" w:hAnsi="Verdana"/>
                <w:sz w:val="24"/>
                <w:szCs w:val="24"/>
              </w:rPr>
            </w:pPr>
            <w:r w:rsidRPr="000F5E95">
              <w:rPr>
                <w:rFonts w:ascii="Verdana" w:hAnsi="Verdana"/>
                <w:b/>
                <w:bCs/>
                <w:sz w:val="24"/>
                <w:szCs w:val="24"/>
              </w:rPr>
              <w:t>Not Completed</w:t>
            </w: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23AD36E5" w14:textId="600DCA9D" w:rsidR="00EB4444" w:rsidRPr="000F5E95" w:rsidRDefault="00EB4444" w:rsidP="00496550">
            <w:pPr>
              <w:jc w:val="center"/>
              <w:rPr>
                <w:rFonts w:ascii="Verdana" w:hAnsi="Verdana"/>
                <w:sz w:val="24"/>
                <w:szCs w:val="24"/>
              </w:rPr>
            </w:pPr>
            <w:r w:rsidRPr="000F5E95">
              <w:rPr>
                <w:rFonts w:ascii="Verdana" w:hAnsi="Verdana"/>
                <w:b/>
                <w:bCs/>
                <w:sz w:val="24"/>
                <w:szCs w:val="24"/>
              </w:rPr>
              <w:t>Approved</w:t>
            </w: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471FAD02" w14:textId="0C22E352" w:rsidR="00EB4444" w:rsidRPr="000F5E95" w:rsidRDefault="00EB4444" w:rsidP="00496550">
            <w:pPr>
              <w:jc w:val="center"/>
              <w:rPr>
                <w:rFonts w:ascii="Verdana" w:hAnsi="Verdana"/>
                <w:sz w:val="24"/>
                <w:szCs w:val="24"/>
              </w:rPr>
            </w:pPr>
            <w:r w:rsidRPr="000F5E95">
              <w:rPr>
                <w:rFonts w:ascii="Verdana" w:hAnsi="Verdana"/>
                <w:b/>
                <w:bCs/>
                <w:sz w:val="24"/>
                <w:szCs w:val="24"/>
              </w:rPr>
              <w:t>Denied</w:t>
            </w: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253CF9F3" w14:textId="3177850D" w:rsidR="00EB4444" w:rsidRPr="000F5E95" w:rsidRDefault="00EB4444" w:rsidP="00496550">
            <w:pPr>
              <w:jc w:val="center"/>
              <w:rPr>
                <w:rFonts w:ascii="Verdana" w:hAnsi="Verdana"/>
                <w:sz w:val="24"/>
                <w:szCs w:val="24"/>
              </w:rPr>
            </w:pPr>
            <w:r w:rsidRPr="000F5E95">
              <w:rPr>
                <w:rFonts w:ascii="Verdana" w:hAnsi="Verdana"/>
                <w:b/>
                <w:bCs/>
                <w:sz w:val="24"/>
                <w:szCs w:val="24"/>
              </w:rPr>
              <w:t>Appeal</w:t>
            </w:r>
          </w:p>
        </w:tc>
        <w:tc>
          <w:tcPr>
            <w:tcW w:w="55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2" w:type="dxa"/>
              <w:left w:w="12" w:type="dxa"/>
              <w:bottom w:w="0" w:type="dxa"/>
              <w:right w:w="12" w:type="dxa"/>
            </w:tcMar>
            <w:vAlign w:val="center"/>
            <w:hideMark/>
          </w:tcPr>
          <w:p w14:paraId="2F4D990C" w14:textId="51380968" w:rsidR="00EB4444" w:rsidRPr="000F5E95" w:rsidRDefault="00EB4444" w:rsidP="00496550">
            <w:pPr>
              <w:jc w:val="center"/>
              <w:rPr>
                <w:rFonts w:ascii="Verdana" w:hAnsi="Verdana"/>
                <w:sz w:val="24"/>
                <w:szCs w:val="24"/>
              </w:rPr>
            </w:pPr>
            <w:r w:rsidRPr="000F5E95">
              <w:rPr>
                <w:rFonts w:ascii="Verdana" w:hAnsi="Verdana"/>
                <w:b/>
                <w:bCs/>
                <w:sz w:val="24"/>
                <w:szCs w:val="24"/>
              </w:rPr>
              <w:t>Expiration</w:t>
            </w:r>
          </w:p>
        </w:tc>
      </w:tr>
      <w:tr w:rsidR="00F76C15" w:rsidRPr="000F5E95" w14:paraId="6AC9FE08" w14:textId="77777777" w:rsidTr="00C77A9F">
        <w:trPr>
          <w:trHeight w:val="1704"/>
        </w:trPr>
        <w:tc>
          <w:tcPr>
            <w:tcW w:w="556" w:type="pct"/>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bottom w:w="0" w:type="dxa"/>
              <w:right w:w="12" w:type="dxa"/>
            </w:tcMar>
            <w:hideMark/>
          </w:tcPr>
          <w:p w14:paraId="312F023A" w14:textId="77777777" w:rsidR="00EB4444" w:rsidRPr="000F5E95" w:rsidRDefault="00EB4444" w:rsidP="00107372">
            <w:pPr>
              <w:rPr>
                <w:rFonts w:ascii="Verdana" w:hAnsi="Verdana"/>
                <w:sz w:val="24"/>
                <w:szCs w:val="24"/>
              </w:rPr>
            </w:pPr>
            <w:r w:rsidRPr="000F5E95">
              <w:rPr>
                <w:rFonts w:ascii="Verdana" w:hAnsi="Verdana"/>
                <w:sz w:val="24"/>
                <w:szCs w:val="24"/>
              </w:rPr>
              <w:t>To notify the Member when a Prior Authorization is needed after attempting to fill their Prescription at the Pharmacy and receiving a rejection code of 75 or 76 etc.</w:t>
            </w:r>
          </w:p>
        </w:tc>
        <w:tc>
          <w:tcPr>
            <w:tcW w:w="555" w:type="pct"/>
            <w:tcBorders>
              <w:top w:val="single" w:sz="8" w:space="0" w:color="000000"/>
              <w:left w:val="single" w:sz="8" w:space="0" w:color="000000"/>
              <w:bottom w:val="single" w:sz="8" w:space="0" w:color="000000"/>
              <w:right w:val="single" w:sz="8" w:space="0" w:color="000000"/>
            </w:tcBorders>
            <w:tcMar>
              <w:top w:w="12" w:type="dxa"/>
              <w:left w:w="12" w:type="dxa"/>
              <w:bottom w:w="0" w:type="dxa"/>
              <w:right w:w="12" w:type="dxa"/>
            </w:tcMar>
            <w:hideMark/>
          </w:tcPr>
          <w:p w14:paraId="73753266" w14:textId="03C68D57" w:rsidR="00EB4444" w:rsidRPr="000F5E95" w:rsidRDefault="00EB4444" w:rsidP="00107372">
            <w:pPr>
              <w:rPr>
                <w:rFonts w:ascii="Verdana" w:hAnsi="Verdana"/>
                <w:sz w:val="24"/>
                <w:szCs w:val="24"/>
              </w:rPr>
            </w:pPr>
            <w:r w:rsidRPr="000F5E95">
              <w:rPr>
                <w:rFonts w:ascii="Verdana" w:hAnsi="Verdana"/>
                <w:sz w:val="24"/>
                <w:szCs w:val="24"/>
              </w:rPr>
              <w:t>To notify the Member that we have received the initial paperwork back from the Prescriber</w:t>
            </w:r>
          </w:p>
        </w:tc>
        <w:tc>
          <w:tcPr>
            <w:tcW w:w="555" w:type="pct"/>
            <w:tcBorders>
              <w:top w:val="single" w:sz="8" w:space="0" w:color="000000"/>
              <w:left w:val="single" w:sz="8" w:space="0" w:color="000000"/>
              <w:bottom w:val="single" w:sz="8" w:space="0" w:color="000000"/>
              <w:right w:val="single" w:sz="8" w:space="0" w:color="000000"/>
            </w:tcBorders>
            <w:tcMar>
              <w:top w:w="12" w:type="dxa"/>
              <w:left w:w="12" w:type="dxa"/>
              <w:bottom w:w="0" w:type="dxa"/>
              <w:right w:w="12" w:type="dxa"/>
            </w:tcMar>
            <w:hideMark/>
          </w:tcPr>
          <w:p w14:paraId="721B7042" w14:textId="77777777" w:rsidR="00EB4444" w:rsidRPr="000F5E95" w:rsidRDefault="00EB4444" w:rsidP="00107372">
            <w:pPr>
              <w:rPr>
                <w:rFonts w:ascii="Verdana" w:hAnsi="Verdana"/>
                <w:sz w:val="24"/>
                <w:szCs w:val="24"/>
              </w:rPr>
            </w:pPr>
            <w:r w:rsidRPr="000F5E95">
              <w:rPr>
                <w:rFonts w:ascii="Verdana" w:hAnsi="Verdana"/>
                <w:sz w:val="24"/>
                <w:szCs w:val="24"/>
              </w:rPr>
              <w:t>To notify the Member that we require additional clinical information and have reached back out to the Prescriber</w:t>
            </w:r>
          </w:p>
        </w:tc>
        <w:tc>
          <w:tcPr>
            <w:tcW w:w="555" w:type="pct"/>
            <w:tcBorders>
              <w:top w:val="single" w:sz="8" w:space="0" w:color="000000"/>
              <w:left w:val="single" w:sz="8" w:space="0" w:color="000000"/>
              <w:bottom w:val="single" w:sz="8" w:space="0" w:color="000000"/>
              <w:right w:val="single" w:sz="8" w:space="0" w:color="000000"/>
            </w:tcBorders>
            <w:tcMar>
              <w:top w:w="12" w:type="dxa"/>
              <w:left w:w="12" w:type="dxa"/>
              <w:bottom w:w="0" w:type="dxa"/>
              <w:right w:w="12" w:type="dxa"/>
            </w:tcMar>
            <w:hideMark/>
          </w:tcPr>
          <w:p w14:paraId="21AE81E6" w14:textId="79652A6B" w:rsidR="00EB4444" w:rsidRPr="000F5E95" w:rsidRDefault="00FA0CB3" w:rsidP="00107372">
            <w:pPr>
              <w:rPr>
                <w:rFonts w:ascii="Verdana" w:hAnsi="Verdana"/>
                <w:sz w:val="24"/>
                <w:szCs w:val="24"/>
              </w:rPr>
            </w:pPr>
            <w:r w:rsidRPr="000F5E95">
              <w:rPr>
                <w:rFonts w:ascii="Verdana" w:hAnsi="Verdana"/>
                <w:sz w:val="24"/>
                <w:szCs w:val="24"/>
              </w:rPr>
              <w:t>Notifying</w:t>
            </w:r>
            <w:r w:rsidR="00EB4444" w:rsidRPr="000F5E95">
              <w:rPr>
                <w:rFonts w:ascii="Verdana" w:hAnsi="Verdana"/>
                <w:sz w:val="24"/>
                <w:szCs w:val="24"/>
              </w:rPr>
              <w:t xml:space="preserve"> the Member that we have received all paperwork back from the Prescriber and we are making a final decision on the PA</w:t>
            </w:r>
          </w:p>
        </w:tc>
        <w:tc>
          <w:tcPr>
            <w:tcW w:w="556" w:type="pct"/>
            <w:tcBorders>
              <w:top w:val="single" w:sz="8" w:space="0" w:color="000000"/>
              <w:left w:val="single" w:sz="8" w:space="0" w:color="000000"/>
              <w:bottom w:val="single" w:sz="8" w:space="0" w:color="000000"/>
              <w:right w:val="single" w:sz="8" w:space="0" w:color="000000"/>
            </w:tcBorders>
            <w:tcMar>
              <w:top w:w="12" w:type="dxa"/>
              <w:left w:w="12" w:type="dxa"/>
              <w:bottom w:w="0" w:type="dxa"/>
              <w:right w:w="12" w:type="dxa"/>
            </w:tcMar>
            <w:hideMark/>
          </w:tcPr>
          <w:p w14:paraId="3EBA1A03" w14:textId="1723909E" w:rsidR="00EB4444" w:rsidRPr="000F5E95" w:rsidRDefault="00EB4444" w:rsidP="00107372">
            <w:pPr>
              <w:rPr>
                <w:rFonts w:ascii="Verdana" w:hAnsi="Verdana"/>
                <w:sz w:val="24"/>
                <w:szCs w:val="24"/>
              </w:rPr>
            </w:pPr>
            <w:r w:rsidRPr="000F5E95">
              <w:rPr>
                <w:rFonts w:ascii="Verdana" w:hAnsi="Verdana"/>
                <w:sz w:val="24"/>
                <w:szCs w:val="24"/>
              </w:rPr>
              <w:t xml:space="preserve">To notify the Member that the Prior Authorization is not completed due to </w:t>
            </w:r>
            <w:r w:rsidR="00CA13CE" w:rsidRPr="000F5E95">
              <w:rPr>
                <w:rFonts w:ascii="Verdana" w:hAnsi="Verdana"/>
                <w:sz w:val="24"/>
                <w:szCs w:val="24"/>
              </w:rPr>
              <w:t>either cancellation</w:t>
            </w:r>
            <w:r w:rsidRPr="000F5E95">
              <w:rPr>
                <w:rFonts w:ascii="Verdana" w:hAnsi="Verdana"/>
                <w:sz w:val="24"/>
                <w:szCs w:val="24"/>
              </w:rPr>
              <w:t xml:space="preserve"> or timing out from lack of response etc.</w:t>
            </w:r>
          </w:p>
        </w:tc>
        <w:tc>
          <w:tcPr>
            <w:tcW w:w="556" w:type="pct"/>
            <w:tcBorders>
              <w:top w:val="single" w:sz="8" w:space="0" w:color="000000"/>
              <w:left w:val="single" w:sz="8" w:space="0" w:color="000000"/>
              <w:bottom w:val="single" w:sz="8" w:space="0" w:color="000000"/>
              <w:right w:val="single" w:sz="8" w:space="0" w:color="000000"/>
            </w:tcBorders>
            <w:tcMar>
              <w:top w:w="12" w:type="dxa"/>
              <w:left w:w="12" w:type="dxa"/>
              <w:bottom w:w="0" w:type="dxa"/>
              <w:right w:w="12" w:type="dxa"/>
            </w:tcMar>
            <w:hideMark/>
          </w:tcPr>
          <w:p w14:paraId="0484CD8B" w14:textId="77777777" w:rsidR="00EB4444" w:rsidRPr="000F5E95" w:rsidRDefault="00EB4444" w:rsidP="00107372">
            <w:pPr>
              <w:rPr>
                <w:rFonts w:ascii="Verdana" w:hAnsi="Verdana"/>
                <w:sz w:val="24"/>
                <w:szCs w:val="24"/>
              </w:rPr>
            </w:pPr>
            <w:r w:rsidRPr="000F5E95">
              <w:rPr>
                <w:rFonts w:ascii="Verdana" w:hAnsi="Verdana"/>
                <w:sz w:val="24"/>
                <w:szCs w:val="24"/>
              </w:rPr>
              <w:t>To notify the Member that the Prior Authorization has been Approved</w:t>
            </w:r>
          </w:p>
        </w:tc>
        <w:tc>
          <w:tcPr>
            <w:tcW w:w="556" w:type="pct"/>
            <w:tcBorders>
              <w:top w:val="single" w:sz="8" w:space="0" w:color="000000"/>
              <w:left w:val="single" w:sz="8" w:space="0" w:color="000000"/>
              <w:bottom w:val="single" w:sz="8" w:space="0" w:color="000000"/>
              <w:right w:val="single" w:sz="8" w:space="0" w:color="000000"/>
            </w:tcBorders>
            <w:tcMar>
              <w:top w:w="12" w:type="dxa"/>
              <w:left w:w="12" w:type="dxa"/>
              <w:bottom w:w="0" w:type="dxa"/>
              <w:right w:w="12" w:type="dxa"/>
            </w:tcMar>
            <w:hideMark/>
          </w:tcPr>
          <w:p w14:paraId="75CE08E9" w14:textId="77777777" w:rsidR="00EB4444" w:rsidRPr="000F5E95" w:rsidRDefault="00EB4444" w:rsidP="00107372">
            <w:pPr>
              <w:rPr>
                <w:rFonts w:ascii="Verdana" w:hAnsi="Verdana"/>
                <w:sz w:val="24"/>
                <w:szCs w:val="24"/>
              </w:rPr>
            </w:pPr>
            <w:r w:rsidRPr="000F5E95">
              <w:rPr>
                <w:rFonts w:ascii="Verdana" w:hAnsi="Verdana"/>
                <w:sz w:val="24"/>
                <w:szCs w:val="24"/>
              </w:rPr>
              <w:t>To notify the Member that the Prior Authorization has been Denied</w:t>
            </w:r>
          </w:p>
        </w:tc>
        <w:tc>
          <w:tcPr>
            <w:tcW w:w="556" w:type="pct"/>
            <w:tcBorders>
              <w:top w:val="single" w:sz="8" w:space="0" w:color="000000"/>
              <w:left w:val="single" w:sz="8" w:space="0" w:color="000000"/>
              <w:bottom w:val="single" w:sz="8" w:space="0" w:color="000000"/>
              <w:right w:val="single" w:sz="8" w:space="0" w:color="000000"/>
            </w:tcBorders>
            <w:tcMar>
              <w:top w:w="12" w:type="dxa"/>
              <w:left w:w="12" w:type="dxa"/>
              <w:bottom w:w="0" w:type="dxa"/>
              <w:right w:w="12" w:type="dxa"/>
            </w:tcMar>
            <w:hideMark/>
          </w:tcPr>
          <w:p w14:paraId="7C38D46B" w14:textId="77777777" w:rsidR="00EB4444" w:rsidRPr="000F5E95" w:rsidRDefault="00EB4444" w:rsidP="00107372">
            <w:pPr>
              <w:rPr>
                <w:rFonts w:ascii="Verdana" w:hAnsi="Verdana"/>
                <w:sz w:val="24"/>
                <w:szCs w:val="24"/>
              </w:rPr>
            </w:pPr>
            <w:r w:rsidRPr="000F5E95">
              <w:rPr>
                <w:rFonts w:ascii="Verdana" w:hAnsi="Verdana"/>
                <w:sz w:val="24"/>
                <w:szCs w:val="24"/>
              </w:rPr>
              <w:t>To notify the Member that we have received their request for Appeal on the Denied Prior Authorization</w:t>
            </w:r>
          </w:p>
        </w:tc>
        <w:tc>
          <w:tcPr>
            <w:tcW w:w="556" w:type="pct"/>
            <w:tcBorders>
              <w:top w:val="single" w:sz="8" w:space="0" w:color="000000"/>
              <w:left w:val="single" w:sz="8" w:space="0" w:color="000000"/>
              <w:bottom w:val="single" w:sz="8" w:space="0" w:color="000000"/>
              <w:right w:val="single" w:sz="8" w:space="0" w:color="000000"/>
            </w:tcBorders>
            <w:tcMar>
              <w:top w:w="12" w:type="dxa"/>
              <w:left w:w="12" w:type="dxa"/>
              <w:bottom w:w="0" w:type="dxa"/>
              <w:right w:w="12" w:type="dxa"/>
            </w:tcMar>
            <w:hideMark/>
          </w:tcPr>
          <w:p w14:paraId="2B39FDCA" w14:textId="77777777" w:rsidR="00EB4444" w:rsidRPr="000F5E95" w:rsidRDefault="00EB4444" w:rsidP="00B41E9B">
            <w:pPr>
              <w:rPr>
                <w:rFonts w:ascii="Verdana" w:hAnsi="Verdana"/>
                <w:sz w:val="24"/>
                <w:szCs w:val="24"/>
              </w:rPr>
            </w:pPr>
            <w:r w:rsidRPr="000F5E95">
              <w:rPr>
                <w:rFonts w:ascii="Verdana" w:hAnsi="Verdana"/>
                <w:sz w:val="24"/>
                <w:szCs w:val="24"/>
              </w:rPr>
              <w:t>To notify the Member that the Prior Authorization that was previously Approved is approaching the Expiration date and they should contact their Prescriber to avoid being out of Medication</w:t>
            </w:r>
          </w:p>
        </w:tc>
      </w:tr>
    </w:tbl>
    <w:p w14:paraId="4D037CF3" w14:textId="77777777" w:rsidR="00EB4444" w:rsidRDefault="00EB4444" w:rsidP="00EB4444">
      <w:pPr>
        <w:rPr>
          <w:rFonts w:ascii="Verdana" w:hAnsi="Verdana"/>
          <w:sz w:val="24"/>
          <w:szCs w:val="24"/>
        </w:rPr>
      </w:pPr>
    </w:p>
    <w:p w14:paraId="700FE355" w14:textId="77777777" w:rsidR="00095CCE" w:rsidRPr="0051346B" w:rsidRDefault="00095CCE" w:rsidP="00095CCE">
      <w:pPr>
        <w:jc w:val="right"/>
        <w:rPr>
          <w:rFonts w:ascii="Verdana" w:hAnsi="Verdana"/>
          <w:sz w:val="24"/>
          <w:szCs w:val="24"/>
        </w:rPr>
      </w:pPr>
      <w:hyperlink w:anchor="_top" w:history="1">
        <w:r w:rsidRPr="00960D12">
          <w:rPr>
            <w:rStyle w:val="Hyperlink"/>
            <w:rFonts w:ascii="Verdana" w:hAnsi="Verdana"/>
            <w:sz w:val="24"/>
            <w:szCs w:val="24"/>
          </w:rPr>
          <w:t>Top of the Document</w:t>
        </w:r>
      </w:hyperlink>
    </w:p>
    <w:tbl>
      <w:tblPr>
        <w:tblStyle w:val="TableGrid"/>
        <w:tblW w:w="5000" w:type="pct"/>
        <w:tblLook w:val="04A0" w:firstRow="1" w:lastRow="0" w:firstColumn="1" w:lastColumn="0" w:noHBand="0" w:noVBand="1"/>
      </w:tblPr>
      <w:tblGrid>
        <w:gridCol w:w="9350"/>
      </w:tblGrid>
      <w:tr w:rsidR="00095CCE" w14:paraId="54C7F201" w14:textId="77777777">
        <w:tc>
          <w:tcPr>
            <w:tcW w:w="5000" w:type="pct"/>
            <w:shd w:val="clear" w:color="auto" w:fill="BFBFBF" w:themeFill="background1" w:themeFillShade="BF"/>
          </w:tcPr>
          <w:p w14:paraId="2C911463" w14:textId="24BC2FB1" w:rsidR="00095CCE" w:rsidRDefault="00095CCE" w:rsidP="00C77A9F">
            <w:pPr>
              <w:pStyle w:val="Heading2"/>
            </w:pPr>
            <w:bookmarkStart w:id="4" w:name="_Toc202871149"/>
            <w:r>
              <w:t>FAQs</w:t>
            </w:r>
            <w:bookmarkEnd w:id="4"/>
          </w:p>
        </w:tc>
      </w:tr>
    </w:tbl>
    <w:p w14:paraId="1D0E3046" w14:textId="46D5316D" w:rsidR="339F63F8" w:rsidRPr="00095CCE" w:rsidRDefault="00095CCE" w:rsidP="00095CCE">
      <w:pPr>
        <w:spacing w:before="120" w:after="120"/>
        <w:rPr>
          <w:rFonts w:ascii="Verdana" w:hAnsi="Verdana"/>
          <w:bCs/>
          <w:sz w:val="24"/>
          <w:szCs w:val="24"/>
        </w:rPr>
      </w:pPr>
      <w:r>
        <w:rPr>
          <w:rFonts w:ascii="Verdana" w:hAnsi="Verdana"/>
          <w:bCs/>
          <w:sz w:val="24"/>
          <w:szCs w:val="24"/>
        </w:rPr>
        <w:t>Refer to the table below:</w:t>
      </w:r>
    </w:p>
    <w:tbl>
      <w:tblPr>
        <w:tblStyle w:val="TableGrid"/>
        <w:tblW w:w="5000" w:type="pct"/>
        <w:tblLook w:val="06A0" w:firstRow="1" w:lastRow="0" w:firstColumn="1" w:lastColumn="0" w:noHBand="1" w:noVBand="1"/>
      </w:tblPr>
      <w:tblGrid>
        <w:gridCol w:w="710"/>
        <w:gridCol w:w="4954"/>
        <w:gridCol w:w="3686"/>
      </w:tblGrid>
      <w:tr w:rsidR="00673105" w:rsidRPr="000F5E95" w14:paraId="331D650B" w14:textId="77777777" w:rsidTr="00DB12A9">
        <w:trPr>
          <w:trHeight w:val="390"/>
        </w:trPr>
        <w:tc>
          <w:tcPr>
            <w:tcW w:w="380" w:type="pct"/>
            <w:shd w:val="clear" w:color="auto" w:fill="D9D9D9" w:themeFill="background1" w:themeFillShade="D9"/>
          </w:tcPr>
          <w:p w14:paraId="4F071D6B" w14:textId="5D6A792E" w:rsidR="00673105" w:rsidRPr="00673105" w:rsidRDefault="00673105" w:rsidP="00673105">
            <w:pPr>
              <w:spacing w:before="120" w:after="120"/>
              <w:jc w:val="center"/>
              <w:rPr>
                <w:rFonts w:ascii="Verdana" w:hAnsi="Verdana"/>
                <w:b/>
                <w:bCs/>
                <w:sz w:val="24"/>
                <w:szCs w:val="24"/>
              </w:rPr>
            </w:pPr>
            <w:r w:rsidRPr="00673105">
              <w:rPr>
                <w:rFonts w:ascii="Verdana" w:hAnsi="Verdana"/>
                <w:b/>
                <w:bCs/>
                <w:sz w:val="24"/>
                <w:szCs w:val="24"/>
              </w:rPr>
              <w:t>#</w:t>
            </w:r>
          </w:p>
        </w:tc>
        <w:tc>
          <w:tcPr>
            <w:tcW w:w="2648" w:type="pct"/>
            <w:shd w:val="clear" w:color="auto" w:fill="D9D9D9" w:themeFill="background1" w:themeFillShade="D9"/>
            <w:vAlign w:val="center"/>
          </w:tcPr>
          <w:p w14:paraId="742927B4" w14:textId="3B33D88B" w:rsidR="00673105" w:rsidRPr="000F5E95" w:rsidRDefault="00673105" w:rsidP="00087CD6">
            <w:pPr>
              <w:spacing w:before="120" w:after="120"/>
              <w:jc w:val="center"/>
              <w:rPr>
                <w:rFonts w:ascii="Verdana" w:hAnsi="Verdana"/>
                <w:b/>
                <w:bCs/>
                <w:sz w:val="24"/>
                <w:szCs w:val="24"/>
              </w:rPr>
            </w:pPr>
            <w:r w:rsidRPr="000F5E95">
              <w:rPr>
                <w:rFonts w:ascii="Verdana" w:hAnsi="Verdana"/>
                <w:b/>
                <w:bCs/>
                <w:sz w:val="24"/>
                <w:szCs w:val="24"/>
              </w:rPr>
              <w:t>Question</w:t>
            </w:r>
          </w:p>
        </w:tc>
        <w:tc>
          <w:tcPr>
            <w:tcW w:w="1971" w:type="pct"/>
            <w:shd w:val="clear" w:color="auto" w:fill="D9D9D9" w:themeFill="background1" w:themeFillShade="D9"/>
            <w:vAlign w:val="center"/>
          </w:tcPr>
          <w:p w14:paraId="6E07EDE7" w14:textId="70789BAF" w:rsidR="00673105" w:rsidRPr="000F5E95" w:rsidRDefault="00673105" w:rsidP="00087CD6">
            <w:pPr>
              <w:spacing w:before="120" w:after="120"/>
              <w:jc w:val="center"/>
              <w:rPr>
                <w:rFonts w:ascii="Verdana" w:hAnsi="Verdana"/>
                <w:b/>
                <w:bCs/>
                <w:sz w:val="24"/>
                <w:szCs w:val="24"/>
              </w:rPr>
            </w:pPr>
            <w:r w:rsidRPr="000F5E95">
              <w:rPr>
                <w:rFonts w:ascii="Verdana" w:hAnsi="Verdana"/>
                <w:b/>
                <w:bCs/>
                <w:sz w:val="24"/>
                <w:szCs w:val="24"/>
              </w:rPr>
              <w:t>Answer</w:t>
            </w:r>
          </w:p>
        </w:tc>
      </w:tr>
      <w:tr w:rsidR="00673105" w:rsidRPr="000F5E95" w14:paraId="1EB8E7EB" w14:textId="77777777" w:rsidTr="00DB12A9">
        <w:trPr>
          <w:trHeight w:val="650"/>
        </w:trPr>
        <w:tc>
          <w:tcPr>
            <w:tcW w:w="380" w:type="pct"/>
          </w:tcPr>
          <w:p w14:paraId="2F2DEB69" w14:textId="41DAD2AB" w:rsidR="00673105" w:rsidRPr="00143413" w:rsidRDefault="00673105" w:rsidP="00143413">
            <w:pPr>
              <w:spacing w:before="120" w:after="120"/>
              <w:jc w:val="center"/>
              <w:rPr>
                <w:rFonts w:ascii="Verdana" w:hAnsi="Verdana"/>
                <w:b/>
                <w:bCs/>
                <w:sz w:val="24"/>
                <w:szCs w:val="24"/>
              </w:rPr>
            </w:pPr>
            <w:r w:rsidRPr="00143413">
              <w:rPr>
                <w:rFonts w:ascii="Verdana" w:hAnsi="Verdana"/>
                <w:b/>
                <w:bCs/>
                <w:sz w:val="24"/>
                <w:szCs w:val="24"/>
              </w:rPr>
              <w:t>1</w:t>
            </w:r>
          </w:p>
        </w:tc>
        <w:tc>
          <w:tcPr>
            <w:tcW w:w="2648" w:type="pct"/>
          </w:tcPr>
          <w:p w14:paraId="2BB96B5E" w14:textId="5F00724D" w:rsidR="00673105" w:rsidRPr="000F5E95" w:rsidRDefault="00673105" w:rsidP="00087CD6">
            <w:pPr>
              <w:spacing w:before="120" w:after="120"/>
              <w:rPr>
                <w:rFonts w:ascii="Verdana" w:hAnsi="Verdana"/>
                <w:sz w:val="24"/>
                <w:szCs w:val="24"/>
              </w:rPr>
            </w:pPr>
            <w:r w:rsidRPr="000F5E95">
              <w:rPr>
                <w:rFonts w:ascii="Verdana" w:hAnsi="Verdana"/>
                <w:sz w:val="24"/>
                <w:szCs w:val="24"/>
              </w:rPr>
              <w:t>Which</w:t>
            </w:r>
            <w:r>
              <w:rPr>
                <w:rFonts w:ascii="Verdana" w:hAnsi="Verdana"/>
                <w:sz w:val="24"/>
                <w:szCs w:val="24"/>
              </w:rPr>
              <w:t xml:space="preserve"> Customer Care</w:t>
            </w:r>
            <w:r w:rsidRPr="000F5E95">
              <w:rPr>
                <w:rFonts w:ascii="Verdana" w:hAnsi="Verdana"/>
                <w:sz w:val="24"/>
                <w:szCs w:val="24"/>
              </w:rPr>
              <w:t xml:space="preserve"> Lines of Businesses are in scope for these new Prior Authorization statuses?</w:t>
            </w:r>
          </w:p>
        </w:tc>
        <w:tc>
          <w:tcPr>
            <w:tcW w:w="1971" w:type="pct"/>
          </w:tcPr>
          <w:p w14:paraId="3C186AB8" w14:textId="7B540D3B" w:rsidR="00673105" w:rsidRPr="000F5E95" w:rsidRDefault="00673105" w:rsidP="00087CD6">
            <w:pPr>
              <w:spacing w:before="120" w:after="120"/>
              <w:rPr>
                <w:rFonts w:ascii="Verdana" w:hAnsi="Verdana"/>
                <w:sz w:val="24"/>
                <w:szCs w:val="24"/>
              </w:rPr>
            </w:pPr>
            <w:r w:rsidRPr="000F5E95">
              <w:rPr>
                <w:rFonts w:ascii="Verdana" w:hAnsi="Verdana"/>
                <w:sz w:val="24"/>
                <w:szCs w:val="24"/>
              </w:rPr>
              <w:t>In Scope - Commercial, Medicare</w:t>
            </w:r>
            <w:r>
              <w:rPr>
                <w:rFonts w:ascii="Verdana" w:hAnsi="Verdana"/>
                <w:sz w:val="24"/>
                <w:szCs w:val="24"/>
              </w:rPr>
              <w:t>,</w:t>
            </w:r>
            <w:r w:rsidRPr="000F5E95">
              <w:rPr>
                <w:rFonts w:ascii="Verdana" w:hAnsi="Verdana"/>
                <w:sz w:val="24"/>
                <w:szCs w:val="24"/>
              </w:rPr>
              <w:t xml:space="preserve"> </w:t>
            </w:r>
            <w:r>
              <w:rPr>
                <w:rFonts w:ascii="Verdana" w:hAnsi="Verdana"/>
                <w:sz w:val="24"/>
                <w:szCs w:val="24"/>
              </w:rPr>
              <w:t>and</w:t>
            </w:r>
            <w:r w:rsidRPr="000F5E95">
              <w:rPr>
                <w:rFonts w:ascii="Verdana" w:hAnsi="Verdana"/>
                <w:sz w:val="24"/>
                <w:szCs w:val="24"/>
              </w:rPr>
              <w:t xml:space="preserve"> FEP</w:t>
            </w:r>
          </w:p>
          <w:p w14:paraId="4AD2D069" w14:textId="349634F5" w:rsidR="00673105" w:rsidRPr="000F5E95" w:rsidRDefault="00673105" w:rsidP="00087CD6">
            <w:pPr>
              <w:spacing w:before="120" w:after="120"/>
              <w:rPr>
                <w:rFonts w:ascii="Verdana" w:hAnsi="Verdana"/>
                <w:sz w:val="24"/>
                <w:szCs w:val="24"/>
              </w:rPr>
            </w:pPr>
          </w:p>
          <w:p w14:paraId="1F6D8346" w14:textId="648F198F" w:rsidR="00673105" w:rsidRPr="000F5E95" w:rsidRDefault="00673105" w:rsidP="00087CD6">
            <w:pPr>
              <w:spacing w:before="120" w:after="120"/>
              <w:rPr>
                <w:rFonts w:ascii="Verdana" w:hAnsi="Verdana"/>
                <w:sz w:val="24"/>
                <w:szCs w:val="24"/>
              </w:rPr>
            </w:pPr>
            <w:r w:rsidRPr="000F5E95">
              <w:rPr>
                <w:rFonts w:ascii="Verdana" w:hAnsi="Verdana"/>
                <w:sz w:val="24"/>
                <w:szCs w:val="24"/>
              </w:rPr>
              <w:t xml:space="preserve">Out of Scope - Aetna </w:t>
            </w:r>
            <w:r>
              <w:rPr>
                <w:rFonts w:ascii="Verdana" w:hAnsi="Verdana"/>
                <w:sz w:val="24"/>
                <w:szCs w:val="24"/>
              </w:rPr>
              <w:t>and</w:t>
            </w:r>
            <w:r w:rsidRPr="000F5E95">
              <w:rPr>
                <w:rFonts w:ascii="Verdana" w:hAnsi="Verdana"/>
                <w:sz w:val="24"/>
                <w:szCs w:val="24"/>
              </w:rPr>
              <w:t xml:space="preserve"> CarelonRx </w:t>
            </w:r>
          </w:p>
        </w:tc>
      </w:tr>
      <w:tr w:rsidR="00673105" w:rsidRPr="000F5E95" w14:paraId="4D05002F" w14:textId="77777777" w:rsidTr="00DB12A9">
        <w:trPr>
          <w:trHeight w:val="1279"/>
        </w:trPr>
        <w:tc>
          <w:tcPr>
            <w:tcW w:w="380" w:type="pct"/>
          </w:tcPr>
          <w:p w14:paraId="769317FF" w14:textId="59135337" w:rsidR="00673105" w:rsidRPr="00143413" w:rsidRDefault="00673105" w:rsidP="00143413">
            <w:pPr>
              <w:spacing w:before="120" w:after="120"/>
              <w:jc w:val="center"/>
              <w:rPr>
                <w:rFonts w:ascii="Verdana" w:hAnsi="Verdana"/>
                <w:b/>
                <w:bCs/>
                <w:sz w:val="24"/>
                <w:szCs w:val="24"/>
              </w:rPr>
            </w:pPr>
            <w:r w:rsidRPr="00143413">
              <w:rPr>
                <w:rFonts w:ascii="Verdana" w:hAnsi="Verdana"/>
                <w:b/>
                <w:bCs/>
                <w:sz w:val="24"/>
                <w:szCs w:val="24"/>
              </w:rPr>
              <w:t>2</w:t>
            </w:r>
          </w:p>
        </w:tc>
        <w:tc>
          <w:tcPr>
            <w:tcW w:w="2648" w:type="pct"/>
          </w:tcPr>
          <w:p w14:paraId="64A6960B" w14:textId="0FACE327" w:rsidR="00673105" w:rsidRPr="000F5E95" w:rsidRDefault="00673105" w:rsidP="00087CD6">
            <w:pPr>
              <w:spacing w:before="120" w:after="120"/>
              <w:rPr>
                <w:rFonts w:ascii="Verdana" w:hAnsi="Verdana"/>
                <w:sz w:val="24"/>
                <w:szCs w:val="24"/>
              </w:rPr>
            </w:pPr>
            <w:r w:rsidRPr="000F5E95">
              <w:rPr>
                <w:rFonts w:ascii="Verdana" w:hAnsi="Verdana"/>
                <w:sz w:val="24"/>
                <w:szCs w:val="24"/>
              </w:rPr>
              <w:t>What are the four new Prior Authorization statuses?</w:t>
            </w:r>
          </w:p>
        </w:tc>
        <w:tc>
          <w:tcPr>
            <w:tcW w:w="1971" w:type="pct"/>
          </w:tcPr>
          <w:p w14:paraId="0CCDD569" w14:textId="3FFD86AB" w:rsidR="00673105" w:rsidRPr="000F5E95" w:rsidRDefault="00673105" w:rsidP="00087CD6">
            <w:pPr>
              <w:pStyle w:val="ListParagraph"/>
              <w:numPr>
                <w:ilvl w:val="0"/>
                <w:numId w:val="2"/>
              </w:numPr>
              <w:spacing w:before="120" w:after="120"/>
              <w:rPr>
                <w:rFonts w:ascii="Verdana" w:hAnsi="Verdana"/>
                <w:sz w:val="24"/>
                <w:szCs w:val="24"/>
              </w:rPr>
            </w:pPr>
            <w:r w:rsidRPr="000F5E95">
              <w:rPr>
                <w:rFonts w:ascii="Verdana" w:hAnsi="Verdana"/>
                <w:sz w:val="24"/>
                <w:szCs w:val="24"/>
              </w:rPr>
              <w:t xml:space="preserve">PA Initiated </w:t>
            </w:r>
          </w:p>
          <w:p w14:paraId="57A42960" w14:textId="4C2613D7" w:rsidR="00673105" w:rsidRPr="000F5E95" w:rsidRDefault="00673105" w:rsidP="00087CD6">
            <w:pPr>
              <w:pStyle w:val="ListParagraph"/>
              <w:numPr>
                <w:ilvl w:val="0"/>
                <w:numId w:val="2"/>
              </w:numPr>
              <w:spacing w:before="120" w:after="120"/>
              <w:rPr>
                <w:rFonts w:ascii="Verdana" w:hAnsi="Verdana"/>
                <w:sz w:val="24"/>
                <w:szCs w:val="24"/>
              </w:rPr>
            </w:pPr>
            <w:r w:rsidRPr="000F5E95">
              <w:rPr>
                <w:rFonts w:ascii="Verdana" w:hAnsi="Verdana"/>
                <w:sz w:val="24"/>
                <w:szCs w:val="24"/>
              </w:rPr>
              <w:t>PA Response Needed</w:t>
            </w:r>
          </w:p>
          <w:p w14:paraId="3DE648AC" w14:textId="1203D2C9" w:rsidR="00673105" w:rsidRPr="000F5E95" w:rsidRDefault="00673105" w:rsidP="00087CD6">
            <w:pPr>
              <w:pStyle w:val="ListParagraph"/>
              <w:numPr>
                <w:ilvl w:val="0"/>
                <w:numId w:val="2"/>
              </w:numPr>
              <w:spacing w:before="120" w:after="120"/>
              <w:rPr>
                <w:rFonts w:ascii="Verdana" w:hAnsi="Verdana"/>
                <w:sz w:val="24"/>
                <w:szCs w:val="24"/>
              </w:rPr>
            </w:pPr>
            <w:r w:rsidRPr="000F5E95">
              <w:rPr>
                <w:rFonts w:ascii="Verdana" w:hAnsi="Verdana"/>
                <w:sz w:val="24"/>
                <w:szCs w:val="24"/>
              </w:rPr>
              <w:t xml:space="preserve">PA Under Review </w:t>
            </w:r>
          </w:p>
          <w:p w14:paraId="54E14CA4" w14:textId="68A1C0EC" w:rsidR="00673105" w:rsidRPr="000F5E95" w:rsidRDefault="00673105" w:rsidP="00087CD6">
            <w:pPr>
              <w:pStyle w:val="ListParagraph"/>
              <w:numPr>
                <w:ilvl w:val="0"/>
                <w:numId w:val="2"/>
              </w:numPr>
              <w:spacing w:before="120" w:after="120"/>
              <w:rPr>
                <w:rFonts w:ascii="Verdana" w:hAnsi="Verdana"/>
                <w:sz w:val="24"/>
                <w:szCs w:val="24"/>
              </w:rPr>
            </w:pPr>
            <w:r w:rsidRPr="000F5E95">
              <w:rPr>
                <w:rFonts w:ascii="Verdana" w:hAnsi="Verdana"/>
                <w:sz w:val="24"/>
                <w:szCs w:val="24"/>
              </w:rPr>
              <w:t xml:space="preserve">PA Appeal </w:t>
            </w:r>
          </w:p>
        </w:tc>
      </w:tr>
      <w:tr w:rsidR="00673105" w:rsidRPr="000F5E95" w14:paraId="14547941" w14:textId="77777777" w:rsidTr="00DB12A9">
        <w:trPr>
          <w:trHeight w:val="948"/>
        </w:trPr>
        <w:tc>
          <w:tcPr>
            <w:tcW w:w="380" w:type="pct"/>
          </w:tcPr>
          <w:p w14:paraId="6EB45456" w14:textId="6C96862B" w:rsidR="00673105" w:rsidRPr="00143413" w:rsidRDefault="00673105" w:rsidP="00143413">
            <w:pPr>
              <w:spacing w:before="120" w:after="120"/>
              <w:jc w:val="center"/>
              <w:rPr>
                <w:rFonts w:ascii="Verdana" w:hAnsi="Verdana"/>
                <w:b/>
                <w:bCs/>
                <w:sz w:val="24"/>
                <w:szCs w:val="24"/>
              </w:rPr>
            </w:pPr>
            <w:r w:rsidRPr="00143413">
              <w:rPr>
                <w:rFonts w:ascii="Verdana" w:hAnsi="Verdana"/>
                <w:b/>
                <w:bCs/>
                <w:sz w:val="24"/>
                <w:szCs w:val="24"/>
              </w:rPr>
              <w:t>3</w:t>
            </w:r>
          </w:p>
        </w:tc>
        <w:tc>
          <w:tcPr>
            <w:tcW w:w="2648" w:type="pct"/>
          </w:tcPr>
          <w:p w14:paraId="069D17CC" w14:textId="040C80C2" w:rsidR="00673105" w:rsidRPr="000F5E95" w:rsidRDefault="00673105" w:rsidP="00087CD6">
            <w:pPr>
              <w:spacing w:before="120" w:after="120"/>
              <w:rPr>
                <w:rFonts w:ascii="Verdana" w:hAnsi="Verdana"/>
                <w:sz w:val="24"/>
                <w:szCs w:val="24"/>
              </w:rPr>
            </w:pPr>
            <w:r w:rsidRPr="000F5E95">
              <w:rPr>
                <w:rFonts w:ascii="Verdana" w:hAnsi="Verdana"/>
                <w:sz w:val="24"/>
                <w:szCs w:val="24"/>
              </w:rPr>
              <w:t xml:space="preserve">How will members receive the new Prior Authorization status updates? </w:t>
            </w:r>
          </w:p>
        </w:tc>
        <w:tc>
          <w:tcPr>
            <w:tcW w:w="1971" w:type="pct"/>
          </w:tcPr>
          <w:p w14:paraId="0B3738AC" w14:textId="688585B5" w:rsidR="00673105" w:rsidRPr="00143413" w:rsidRDefault="00673105" w:rsidP="00D30112">
            <w:pPr>
              <w:numPr>
                <w:ilvl w:val="0"/>
                <w:numId w:val="7"/>
              </w:numPr>
              <w:rPr>
                <w:rFonts w:ascii="Verdana" w:hAnsi="Verdana"/>
                <w:sz w:val="24"/>
                <w:szCs w:val="24"/>
              </w:rPr>
            </w:pPr>
            <w:r w:rsidRPr="00143413">
              <w:rPr>
                <w:rFonts w:ascii="Verdana" w:hAnsi="Verdana"/>
                <w:b/>
                <w:bCs/>
                <w:sz w:val="24"/>
                <w:szCs w:val="24"/>
              </w:rPr>
              <w:t>(</w:t>
            </w:r>
            <w:r w:rsidRPr="00143413">
              <w:rPr>
                <w:rFonts w:ascii="Verdana" w:hAnsi="Verdana"/>
                <w:b/>
                <w:bCs/>
                <w:color w:val="C00000"/>
                <w:sz w:val="24"/>
                <w:szCs w:val="24"/>
              </w:rPr>
              <w:t>Commercial &amp; MEDD</w:t>
            </w:r>
            <w:r w:rsidRPr="00143413">
              <w:rPr>
                <w:rFonts w:ascii="Verdana" w:hAnsi="Verdana"/>
                <w:b/>
                <w:bCs/>
                <w:sz w:val="24"/>
                <w:szCs w:val="24"/>
              </w:rPr>
              <w:t>) CMP Alerts</w:t>
            </w:r>
            <w:r w:rsidR="003B3ABF">
              <w:rPr>
                <w:rFonts w:ascii="Verdana" w:hAnsi="Verdana"/>
                <w:b/>
                <w:bCs/>
                <w:sz w:val="24"/>
                <w:szCs w:val="24"/>
              </w:rPr>
              <w:t xml:space="preserve"> </w:t>
            </w:r>
            <w:r w:rsidRPr="00143413">
              <w:rPr>
                <w:rFonts w:ascii="Verdana" w:hAnsi="Verdana"/>
                <w:sz w:val="24"/>
                <w:szCs w:val="24"/>
              </w:rPr>
              <w:t xml:space="preserve">Members will receive alerts via email and text only. Phone calls are NOT in scope. </w:t>
            </w:r>
          </w:p>
          <w:p w14:paraId="6085D900" w14:textId="77777777" w:rsidR="00673105" w:rsidRPr="00143413" w:rsidRDefault="00673105" w:rsidP="00D30112">
            <w:pPr>
              <w:ind w:left="720"/>
              <w:rPr>
                <w:rFonts w:ascii="Verdana" w:hAnsi="Verdana"/>
                <w:sz w:val="24"/>
                <w:szCs w:val="24"/>
              </w:rPr>
            </w:pPr>
          </w:p>
          <w:p w14:paraId="09E2CFE3" w14:textId="4C11DC6D" w:rsidR="00673105" w:rsidRPr="00143413" w:rsidRDefault="00673105" w:rsidP="00D30112">
            <w:pPr>
              <w:numPr>
                <w:ilvl w:val="0"/>
                <w:numId w:val="7"/>
              </w:numPr>
              <w:rPr>
                <w:rFonts w:ascii="Verdana" w:hAnsi="Verdana"/>
                <w:sz w:val="24"/>
                <w:szCs w:val="24"/>
              </w:rPr>
            </w:pPr>
            <w:r w:rsidRPr="00143413">
              <w:rPr>
                <w:rFonts w:ascii="Verdana" w:hAnsi="Verdana"/>
                <w:b/>
                <w:bCs/>
                <w:sz w:val="24"/>
                <w:szCs w:val="24"/>
              </w:rPr>
              <w:t>(</w:t>
            </w:r>
            <w:r w:rsidRPr="00143413">
              <w:rPr>
                <w:rFonts w:ascii="Verdana" w:hAnsi="Verdana"/>
                <w:b/>
                <w:bCs/>
                <w:color w:val="C00000"/>
                <w:sz w:val="24"/>
                <w:szCs w:val="24"/>
              </w:rPr>
              <w:t>Commercial &amp; MEDD</w:t>
            </w:r>
            <w:r w:rsidRPr="00143413">
              <w:rPr>
                <w:rFonts w:ascii="Verdana" w:hAnsi="Verdana"/>
                <w:b/>
                <w:bCs/>
                <w:sz w:val="24"/>
                <w:szCs w:val="24"/>
              </w:rPr>
              <w:t>) Caremark.com</w:t>
            </w:r>
            <w:r w:rsidR="003B3ABF">
              <w:rPr>
                <w:rFonts w:ascii="Verdana" w:hAnsi="Verdana"/>
                <w:b/>
                <w:bCs/>
                <w:sz w:val="24"/>
                <w:szCs w:val="24"/>
              </w:rPr>
              <w:t xml:space="preserve"> </w:t>
            </w:r>
            <w:r w:rsidRPr="00143413">
              <w:rPr>
                <w:rFonts w:ascii="Verdana" w:hAnsi="Verdana"/>
                <w:sz w:val="24"/>
                <w:szCs w:val="24"/>
              </w:rPr>
              <w:t>Enhanced PA status messages will be reflected on the website.</w:t>
            </w:r>
          </w:p>
          <w:p w14:paraId="5D4DE6BE" w14:textId="77777777" w:rsidR="00673105" w:rsidRPr="00143413" w:rsidRDefault="00673105" w:rsidP="00D30112">
            <w:pPr>
              <w:pStyle w:val="ListParagraph"/>
              <w:rPr>
                <w:rFonts w:ascii="Verdana" w:hAnsi="Verdana"/>
                <w:b/>
                <w:bCs/>
                <w:sz w:val="24"/>
                <w:szCs w:val="24"/>
              </w:rPr>
            </w:pPr>
          </w:p>
          <w:p w14:paraId="5759E15F" w14:textId="4B19D187" w:rsidR="00673105" w:rsidRPr="00143413" w:rsidRDefault="00AF3ED5" w:rsidP="00143413">
            <w:pPr>
              <w:numPr>
                <w:ilvl w:val="0"/>
                <w:numId w:val="7"/>
              </w:numPr>
              <w:rPr>
                <w:rFonts w:ascii="Verdana" w:hAnsi="Verdana"/>
                <w:sz w:val="24"/>
                <w:szCs w:val="24"/>
              </w:rPr>
            </w:pPr>
            <w:r>
              <w:rPr>
                <w:rFonts w:ascii="Verdana" w:hAnsi="Verdana"/>
                <w:b/>
                <w:bCs/>
                <w:noProof/>
                <w:sz w:val="24"/>
                <w:szCs w:val="24"/>
              </w:rPr>
              <w:drawing>
                <wp:inline distT="0" distB="0" distL="0" distR="0" wp14:anchorId="4233C3D3" wp14:editId="02AE3139">
                  <wp:extent cx="304762" cy="304762"/>
                  <wp:effectExtent l="0" t="0" r="635" b="635"/>
                  <wp:docPr id="124724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46581" name="Picture 1247246581"/>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73105" w:rsidRPr="00143413">
              <w:rPr>
                <w:rFonts w:ascii="Verdana" w:hAnsi="Verdana"/>
                <w:b/>
                <w:bCs/>
                <w:sz w:val="24"/>
                <w:szCs w:val="24"/>
              </w:rPr>
              <w:t>(</w:t>
            </w:r>
            <w:r w:rsidR="00673105" w:rsidRPr="00143413">
              <w:rPr>
                <w:rFonts w:ascii="Verdana" w:hAnsi="Verdana"/>
                <w:b/>
                <w:bCs/>
                <w:color w:val="C00000"/>
                <w:sz w:val="24"/>
                <w:szCs w:val="24"/>
              </w:rPr>
              <w:t>FEP Only</w:t>
            </w:r>
            <w:r w:rsidR="00673105" w:rsidRPr="00143413">
              <w:rPr>
                <w:rFonts w:ascii="Verdana" w:hAnsi="Verdana"/>
                <w:b/>
                <w:bCs/>
                <w:sz w:val="24"/>
                <w:szCs w:val="24"/>
              </w:rPr>
              <w:t>)</w:t>
            </w:r>
            <w:r w:rsidR="007251FE">
              <w:rPr>
                <w:rFonts w:ascii="Verdana" w:hAnsi="Verdana"/>
                <w:b/>
                <w:bCs/>
                <w:sz w:val="24"/>
                <w:szCs w:val="24"/>
              </w:rPr>
              <w:t>CMP Alerts</w:t>
            </w:r>
            <w:r w:rsidR="00C6453A">
              <w:rPr>
                <w:rFonts w:ascii="Verdana" w:hAnsi="Verdana"/>
                <w:b/>
                <w:bCs/>
                <w:sz w:val="24"/>
                <w:szCs w:val="24"/>
              </w:rPr>
              <w:t xml:space="preserve">:  </w:t>
            </w:r>
            <w:r w:rsidR="00133439">
              <w:rPr>
                <w:rFonts w:ascii="Verdana" w:hAnsi="Verdana"/>
                <w:sz w:val="24"/>
                <w:szCs w:val="24"/>
              </w:rPr>
              <w:t xml:space="preserve">Alerts </w:t>
            </w:r>
            <w:r w:rsidR="00673105" w:rsidRPr="00143413">
              <w:rPr>
                <w:rFonts w:ascii="Verdana" w:hAnsi="Verdana"/>
                <w:sz w:val="24"/>
                <w:szCs w:val="24"/>
              </w:rPr>
              <w:t xml:space="preserve">will be made </w:t>
            </w:r>
            <w:r w:rsidR="0022452D">
              <w:rPr>
                <w:rFonts w:ascii="Verdana" w:hAnsi="Verdana"/>
                <w:sz w:val="24"/>
                <w:szCs w:val="24"/>
              </w:rPr>
              <w:t>via email</w:t>
            </w:r>
            <w:r w:rsidR="00673105" w:rsidRPr="00143413">
              <w:rPr>
                <w:rFonts w:ascii="Verdana" w:hAnsi="Verdana"/>
                <w:sz w:val="24"/>
                <w:szCs w:val="24"/>
              </w:rPr>
              <w:t xml:space="preserve"> </w:t>
            </w:r>
            <w:r w:rsidR="00463439">
              <w:rPr>
                <w:rFonts w:ascii="Verdana" w:hAnsi="Verdana"/>
                <w:sz w:val="24"/>
                <w:szCs w:val="24"/>
              </w:rPr>
              <w:t>advising of an Approved or Denied</w:t>
            </w:r>
            <w:r w:rsidR="00673105" w:rsidRPr="00143413">
              <w:rPr>
                <w:rFonts w:ascii="Verdana" w:hAnsi="Verdana"/>
                <w:sz w:val="24"/>
                <w:szCs w:val="24"/>
              </w:rPr>
              <w:t xml:space="preserve"> PA status.</w:t>
            </w:r>
          </w:p>
        </w:tc>
      </w:tr>
      <w:tr w:rsidR="00673105" w:rsidRPr="000F5E95" w14:paraId="3A5C313A" w14:textId="77777777" w:rsidTr="00DB12A9">
        <w:trPr>
          <w:trHeight w:val="689"/>
        </w:trPr>
        <w:tc>
          <w:tcPr>
            <w:tcW w:w="380" w:type="pct"/>
          </w:tcPr>
          <w:p w14:paraId="02E0089D" w14:textId="1AE9EF7C" w:rsidR="00673105" w:rsidRPr="00143413" w:rsidRDefault="00673105" w:rsidP="00143413">
            <w:pPr>
              <w:spacing w:before="120" w:after="120"/>
              <w:jc w:val="center"/>
              <w:rPr>
                <w:rFonts w:ascii="Verdana" w:hAnsi="Verdana"/>
                <w:b/>
                <w:bCs/>
                <w:sz w:val="24"/>
                <w:szCs w:val="24"/>
              </w:rPr>
            </w:pPr>
            <w:r>
              <w:rPr>
                <w:rFonts w:ascii="Verdana" w:hAnsi="Verdana"/>
                <w:b/>
                <w:bCs/>
                <w:sz w:val="24"/>
                <w:szCs w:val="24"/>
              </w:rPr>
              <w:t>4</w:t>
            </w:r>
          </w:p>
        </w:tc>
        <w:tc>
          <w:tcPr>
            <w:tcW w:w="2648" w:type="pct"/>
          </w:tcPr>
          <w:p w14:paraId="3A713AD7" w14:textId="17145A7C" w:rsidR="00673105" w:rsidRPr="000F5E95" w:rsidRDefault="00673105" w:rsidP="00087CD6">
            <w:pPr>
              <w:spacing w:before="120" w:after="120"/>
              <w:rPr>
                <w:rFonts w:ascii="Verdana" w:hAnsi="Verdana"/>
                <w:sz w:val="24"/>
                <w:szCs w:val="24"/>
              </w:rPr>
            </w:pPr>
            <w:r w:rsidRPr="000F5E95">
              <w:rPr>
                <w:rFonts w:ascii="Verdana" w:hAnsi="Verdana"/>
                <w:sz w:val="24"/>
                <w:szCs w:val="24"/>
              </w:rPr>
              <w:t>How often will members receive a Prior Authorization status update?</w:t>
            </w:r>
          </w:p>
        </w:tc>
        <w:tc>
          <w:tcPr>
            <w:tcW w:w="1971" w:type="pct"/>
          </w:tcPr>
          <w:p w14:paraId="32A192BF" w14:textId="7BD4F2FF" w:rsidR="00673105" w:rsidRPr="000F5E95" w:rsidRDefault="00673105" w:rsidP="00087CD6">
            <w:pPr>
              <w:spacing w:before="120" w:after="120"/>
              <w:rPr>
                <w:rFonts w:ascii="Verdana" w:hAnsi="Verdana"/>
                <w:sz w:val="24"/>
                <w:szCs w:val="24"/>
              </w:rPr>
            </w:pPr>
            <w:r w:rsidRPr="000F5E95">
              <w:rPr>
                <w:rFonts w:ascii="Verdana" w:hAnsi="Verdana"/>
                <w:sz w:val="24"/>
                <w:szCs w:val="24"/>
              </w:rPr>
              <w:t xml:space="preserve">Members will receive a status update every time their Prior Authorization is updated.  </w:t>
            </w:r>
          </w:p>
        </w:tc>
      </w:tr>
      <w:tr w:rsidR="00673105" w:rsidRPr="000F5E95" w14:paraId="70AFECBD" w14:textId="77777777" w:rsidTr="00DB12A9">
        <w:trPr>
          <w:trHeight w:val="687"/>
        </w:trPr>
        <w:tc>
          <w:tcPr>
            <w:tcW w:w="380" w:type="pct"/>
          </w:tcPr>
          <w:p w14:paraId="7754F187" w14:textId="659F35B9" w:rsidR="00673105" w:rsidRPr="00143413" w:rsidRDefault="00673105" w:rsidP="00143413">
            <w:pPr>
              <w:spacing w:before="120" w:after="120"/>
              <w:jc w:val="center"/>
              <w:rPr>
                <w:rFonts w:ascii="Verdana" w:hAnsi="Verdana"/>
                <w:b/>
                <w:bCs/>
                <w:sz w:val="24"/>
                <w:szCs w:val="24"/>
              </w:rPr>
            </w:pPr>
            <w:r>
              <w:rPr>
                <w:rFonts w:ascii="Verdana" w:hAnsi="Verdana"/>
                <w:b/>
                <w:bCs/>
                <w:sz w:val="24"/>
                <w:szCs w:val="24"/>
              </w:rPr>
              <w:t>5</w:t>
            </w:r>
          </w:p>
        </w:tc>
        <w:tc>
          <w:tcPr>
            <w:tcW w:w="2648" w:type="pct"/>
          </w:tcPr>
          <w:p w14:paraId="39566663" w14:textId="67B72009" w:rsidR="00673105" w:rsidRPr="000F5E95" w:rsidRDefault="00673105" w:rsidP="00087CD6">
            <w:pPr>
              <w:spacing w:before="120" w:after="120"/>
              <w:rPr>
                <w:rFonts w:ascii="Verdana" w:hAnsi="Verdana"/>
                <w:sz w:val="24"/>
                <w:szCs w:val="24"/>
              </w:rPr>
            </w:pPr>
            <w:r w:rsidRPr="000F5E95">
              <w:rPr>
                <w:rFonts w:ascii="Verdana" w:hAnsi="Verdana"/>
                <w:sz w:val="24"/>
                <w:szCs w:val="24"/>
              </w:rPr>
              <w:t>Do these new statuses steer members to contact CVS for more information?</w:t>
            </w:r>
          </w:p>
        </w:tc>
        <w:tc>
          <w:tcPr>
            <w:tcW w:w="1971" w:type="pct"/>
          </w:tcPr>
          <w:p w14:paraId="2E66E24B" w14:textId="63A7A962" w:rsidR="00673105" w:rsidRPr="000F5E95" w:rsidRDefault="00673105" w:rsidP="00087CD6">
            <w:pPr>
              <w:spacing w:before="120" w:after="120"/>
              <w:rPr>
                <w:rFonts w:ascii="Verdana" w:hAnsi="Verdana"/>
                <w:sz w:val="24"/>
                <w:szCs w:val="24"/>
              </w:rPr>
            </w:pPr>
            <w:r w:rsidRPr="000F5E95">
              <w:rPr>
                <w:rFonts w:ascii="Verdana" w:hAnsi="Verdana"/>
                <w:sz w:val="24"/>
                <w:szCs w:val="24"/>
              </w:rPr>
              <w:t xml:space="preserve">No. The new statuses will include their doctor’s information to help direct members to speak with their doctor directly.  </w:t>
            </w:r>
          </w:p>
        </w:tc>
      </w:tr>
      <w:tr w:rsidR="00673105" w:rsidRPr="000F5E95" w14:paraId="284C90C6" w14:textId="77777777" w:rsidTr="00DB12A9">
        <w:trPr>
          <w:trHeight w:val="937"/>
        </w:trPr>
        <w:tc>
          <w:tcPr>
            <w:tcW w:w="380" w:type="pct"/>
          </w:tcPr>
          <w:p w14:paraId="1C4C61D8" w14:textId="5CC12B0F" w:rsidR="00673105" w:rsidRPr="00143413" w:rsidRDefault="00673105" w:rsidP="00143413">
            <w:pPr>
              <w:spacing w:before="120" w:after="120"/>
              <w:jc w:val="center"/>
              <w:rPr>
                <w:rFonts w:ascii="Verdana" w:hAnsi="Verdana"/>
                <w:b/>
                <w:bCs/>
                <w:sz w:val="24"/>
                <w:szCs w:val="24"/>
              </w:rPr>
            </w:pPr>
            <w:r>
              <w:rPr>
                <w:rFonts w:ascii="Verdana" w:hAnsi="Verdana"/>
                <w:b/>
                <w:bCs/>
                <w:sz w:val="24"/>
                <w:szCs w:val="24"/>
              </w:rPr>
              <w:t>6</w:t>
            </w:r>
          </w:p>
        </w:tc>
        <w:tc>
          <w:tcPr>
            <w:tcW w:w="2648" w:type="pct"/>
          </w:tcPr>
          <w:p w14:paraId="16CDE404" w14:textId="10C2CD58" w:rsidR="00673105" w:rsidRPr="000F5E95" w:rsidRDefault="00673105" w:rsidP="00087CD6">
            <w:pPr>
              <w:spacing w:before="120" w:after="120"/>
              <w:rPr>
                <w:rFonts w:ascii="Verdana" w:hAnsi="Verdana"/>
                <w:sz w:val="24"/>
                <w:szCs w:val="24"/>
              </w:rPr>
            </w:pPr>
            <w:r w:rsidRPr="000F5E95">
              <w:rPr>
                <w:rFonts w:ascii="Verdana" w:hAnsi="Verdana"/>
                <w:sz w:val="24"/>
                <w:szCs w:val="24"/>
              </w:rPr>
              <w:t>Will I be able to see these new Prior Authorization statuses in Compass?</w:t>
            </w:r>
          </w:p>
        </w:tc>
        <w:tc>
          <w:tcPr>
            <w:tcW w:w="1971" w:type="pct"/>
          </w:tcPr>
          <w:p w14:paraId="057AD87C" w14:textId="31E1C9B6" w:rsidR="00673105" w:rsidRPr="000F5E95" w:rsidRDefault="00673105" w:rsidP="00087CD6">
            <w:pPr>
              <w:spacing w:before="120" w:after="120"/>
              <w:rPr>
                <w:rFonts w:ascii="Verdana" w:hAnsi="Verdana"/>
                <w:sz w:val="24"/>
                <w:szCs w:val="24"/>
              </w:rPr>
            </w:pPr>
            <w:r w:rsidRPr="000F5E95">
              <w:rPr>
                <w:rFonts w:ascii="Verdana" w:hAnsi="Verdana"/>
                <w:sz w:val="24"/>
                <w:szCs w:val="24"/>
              </w:rPr>
              <w:t xml:space="preserve">Not right away. Compass will not show the new statuses in the ‘Override/PA History’ screen until February 20, 2025 (subject to change). More information will be provided when this happens, to ensure awareness. </w:t>
            </w:r>
          </w:p>
        </w:tc>
      </w:tr>
      <w:tr w:rsidR="00673105" w:rsidRPr="000F5E95" w14:paraId="517D3913" w14:textId="77777777" w:rsidTr="00DB12A9">
        <w:trPr>
          <w:trHeight w:val="864"/>
        </w:trPr>
        <w:tc>
          <w:tcPr>
            <w:tcW w:w="380" w:type="pct"/>
          </w:tcPr>
          <w:p w14:paraId="24E51483" w14:textId="6880AF65" w:rsidR="00673105" w:rsidRPr="00143413" w:rsidRDefault="00673105" w:rsidP="00143413">
            <w:pPr>
              <w:spacing w:before="120" w:after="120"/>
              <w:jc w:val="center"/>
              <w:rPr>
                <w:rFonts w:ascii="Verdana" w:hAnsi="Verdana"/>
                <w:b/>
                <w:bCs/>
                <w:sz w:val="24"/>
                <w:szCs w:val="24"/>
              </w:rPr>
            </w:pPr>
            <w:r>
              <w:rPr>
                <w:rFonts w:ascii="Verdana" w:hAnsi="Verdana"/>
                <w:b/>
                <w:bCs/>
                <w:sz w:val="24"/>
                <w:szCs w:val="24"/>
              </w:rPr>
              <w:t>7</w:t>
            </w:r>
          </w:p>
        </w:tc>
        <w:tc>
          <w:tcPr>
            <w:tcW w:w="2648" w:type="pct"/>
          </w:tcPr>
          <w:p w14:paraId="7B420FD1" w14:textId="395249C6" w:rsidR="00673105" w:rsidRPr="000F5E95" w:rsidRDefault="00673105" w:rsidP="00087CD6">
            <w:pPr>
              <w:spacing w:before="120" w:after="120"/>
              <w:rPr>
                <w:rFonts w:ascii="Verdana" w:hAnsi="Verdana"/>
                <w:sz w:val="24"/>
                <w:szCs w:val="24"/>
              </w:rPr>
            </w:pPr>
            <w:r w:rsidRPr="000F5E95">
              <w:rPr>
                <w:rFonts w:ascii="Verdana" w:hAnsi="Verdana"/>
                <w:sz w:val="24"/>
                <w:szCs w:val="24"/>
              </w:rPr>
              <w:t>For members enrolled into CMP, will I be able to see the PA status messages sent in Compass, under the Communication History?</w:t>
            </w:r>
          </w:p>
        </w:tc>
        <w:tc>
          <w:tcPr>
            <w:tcW w:w="1971" w:type="pct"/>
          </w:tcPr>
          <w:p w14:paraId="42ED1B7A" w14:textId="1628B240" w:rsidR="00673105" w:rsidRPr="000F5E95" w:rsidRDefault="00673105" w:rsidP="00087CD6">
            <w:pPr>
              <w:spacing w:before="120" w:after="120"/>
              <w:rPr>
                <w:rFonts w:ascii="Verdana" w:hAnsi="Verdana"/>
                <w:sz w:val="24"/>
                <w:szCs w:val="24"/>
              </w:rPr>
            </w:pPr>
            <w:r w:rsidRPr="000F5E95">
              <w:rPr>
                <w:rFonts w:ascii="Verdana" w:hAnsi="Verdana"/>
                <w:sz w:val="24"/>
                <w:szCs w:val="24"/>
              </w:rPr>
              <w:t xml:space="preserve">Yes, you will. </w:t>
            </w:r>
          </w:p>
        </w:tc>
      </w:tr>
      <w:tr w:rsidR="00673105" w:rsidRPr="000F5E95" w14:paraId="042885FB" w14:textId="77777777" w:rsidTr="00DB12A9">
        <w:trPr>
          <w:trHeight w:val="927"/>
        </w:trPr>
        <w:tc>
          <w:tcPr>
            <w:tcW w:w="380" w:type="pct"/>
          </w:tcPr>
          <w:p w14:paraId="485A3856" w14:textId="78CFEB4F" w:rsidR="00673105" w:rsidRPr="00143413" w:rsidRDefault="00673105" w:rsidP="00143413">
            <w:pPr>
              <w:spacing w:before="120" w:after="120"/>
              <w:jc w:val="center"/>
              <w:rPr>
                <w:rFonts w:ascii="Verdana" w:hAnsi="Verdana"/>
                <w:b/>
                <w:bCs/>
                <w:sz w:val="24"/>
                <w:szCs w:val="24"/>
              </w:rPr>
            </w:pPr>
            <w:r>
              <w:rPr>
                <w:rFonts w:ascii="Verdana" w:hAnsi="Verdana"/>
                <w:b/>
                <w:bCs/>
                <w:sz w:val="24"/>
                <w:szCs w:val="24"/>
              </w:rPr>
              <w:t>8</w:t>
            </w:r>
          </w:p>
        </w:tc>
        <w:tc>
          <w:tcPr>
            <w:tcW w:w="2648" w:type="pct"/>
          </w:tcPr>
          <w:p w14:paraId="074E597E" w14:textId="0350A86E" w:rsidR="00673105" w:rsidRPr="000F5E95" w:rsidRDefault="00673105" w:rsidP="00087CD6">
            <w:pPr>
              <w:spacing w:before="120" w:after="120"/>
              <w:rPr>
                <w:rFonts w:ascii="Verdana" w:hAnsi="Verdana"/>
                <w:sz w:val="24"/>
                <w:szCs w:val="24"/>
              </w:rPr>
            </w:pPr>
            <w:r w:rsidRPr="000F5E95">
              <w:rPr>
                <w:rFonts w:ascii="Verdana" w:hAnsi="Verdana"/>
                <w:sz w:val="24"/>
                <w:szCs w:val="24"/>
              </w:rPr>
              <w:t>How should I respond to a member seeking clarification on the specific information needed from their prescriber after receiving the “PA Response Needed” message?</w:t>
            </w:r>
          </w:p>
        </w:tc>
        <w:tc>
          <w:tcPr>
            <w:tcW w:w="1971" w:type="pct"/>
          </w:tcPr>
          <w:p w14:paraId="58D07C3B" w14:textId="4D0CE37F" w:rsidR="00673105" w:rsidRPr="000F5E95" w:rsidRDefault="00673105" w:rsidP="00087CD6">
            <w:pPr>
              <w:spacing w:before="120" w:after="120"/>
              <w:rPr>
                <w:rFonts w:ascii="Verdana" w:hAnsi="Verdana"/>
                <w:color w:val="FF0000"/>
                <w:sz w:val="24"/>
                <w:szCs w:val="24"/>
              </w:rPr>
            </w:pPr>
            <w:r>
              <w:rPr>
                <w:rFonts w:ascii="Verdana" w:hAnsi="Verdana"/>
                <w:b/>
                <w:bCs/>
                <w:noProof/>
                <w:color w:val="FF0000"/>
                <w:sz w:val="24"/>
                <w:szCs w:val="24"/>
              </w:rPr>
              <w:drawing>
                <wp:inline distT="0" distB="0" distL="0" distR="0" wp14:anchorId="02805263" wp14:editId="1404CDA5">
                  <wp:extent cx="238158" cy="2095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0F5E95">
              <w:rPr>
                <w:rFonts w:ascii="Verdana" w:hAnsi="Verdana"/>
                <w:b/>
                <w:bCs/>
                <w:color w:val="FF0000"/>
                <w:sz w:val="24"/>
                <w:szCs w:val="24"/>
              </w:rPr>
              <w:t> </w:t>
            </w:r>
            <w:r w:rsidRPr="000F5E95">
              <w:rPr>
                <w:rFonts w:ascii="Verdana" w:hAnsi="Verdana"/>
                <w:color w:val="000000" w:themeColor="text1"/>
                <w:sz w:val="24"/>
                <w:szCs w:val="24"/>
              </w:rPr>
              <w:t>Your provider needs to answer a set of questions to determine if the medication prescribed is safe, effective, and appropriate given the options available for your condition.</w:t>
            </w:r>
          </w:p>
        </w:tc>
      </w:tr>
      <w:tr w:rsidR="00673105" w:rsidRPr="000F5E95" w14:paraId="2A46EFFE" w14:textId="77777777" w:rsidTr="00DB12A9">
        <w:trPr>
          <w:trHeight w:val="1991"/>
        </w:trPr>
        <w:tc>
          <w:tcPr>
            <w:tcW w:w="380" w:type="pct"/>
          </w:tcPr>
          <w:p w14:paraId="7774D180" w14:textId="2343CA46" w:rsidR="00673105" w:rsidRPr="00143413" w:rsidRDefault="00673105" w:rsidP="00143413">
            <w:pPr>
              <w:spacing w:before="120" w:after="120"/>
              <w:jc w:val="center"/>
              <w:rPr>
                <w:rFonts w:ascii="Verdana" w:hAnsi="Verdana"/>
                <w:b/>
                <w:bCs/>
                <w:sz w:val="24"/>
                <w:szCs w:val="24"/>
              </w:rPr>
            </w:pPr>
            <w:r>
              <w:rPr>
                <w:rFonts w:ascii="Verdana" w:hAnsi="Verdana"/>
                <w:b/>
                <w:bCs/>
                <w:sz w:val="24"/>
                <w:szCs w:val="24"/>
              </w:rPr>
              <w:t>9</w:t>
            </w:r>
          </w:p>
        </w:tc>
        <w:tc>
          <w:tcPr>
            <w:tcW w:w="2648" w:type="pct"/>
          </w:tcPr>
          <w:p w14:paraId="6FAB8F60" w14:textId="483013CF" w:rsidR="00673105" w:rsidRPr="000F5E95" w:rsidRDefault="00673105" w:rsidP="00087CD6">
            <w:pPr>
              <w:spacing w:before="120" w:after="120"/>
              <w:rPr>
                <w:rFonts w:ascii="Verdana" w:hAnsi="Verdana"/>
                <w:b/>
                <w:bCs/>
                <w:sz w:val="24"/>
                <w:szCs w:val="24"/>
              </w:rPr>
            </w:pPr>
            <w:r w:rsidRPr="000F5E95">
              <w:rPr>
                <w:rFonts w:ascii="Verdana" w:hAnsi="Verdana"/>
                <w:sz w:val="24"/>
                <w:szCs w:val="24"/>
              </w:rPr>
              <w:t xml:space="preserve">Will it help if I actively enroll members into CMP &amp; Caremark.com? </w:t>
            </w:r>
          </w:p>
        </w:tc>
        <w:tc>
          <w:tcPr>
            <w:tcW w:w="1971" w:type="pct"/>
          </w:tcPr>
          <w:p w14:paraId="3B371001" w14:textId="566B74F6" w:rsidR="00673105" w:rsidRPr="000F5E95" w:rsidRDefault="00673105" w:rsidP="00087CD6">
            <w:pPr>
              <w:spacing w:before="120" w:after="120"/>
              <w:rPr>
                <w:rFonts w:ascii="Verdana" w:hAnsi="Verdana"/>
                <w:sz w:val="24"/>
                <w:szCs w:val="24"/>
              </w:rPr>
            </w:pPr>
            <w:r w:rsidRPr="000F5E95">
              <w:rPr>
                <w:rFonts w:ascii="Verdana" w:hAnsi="Verdana"/>
                <w:sz w:val="24"/>
                <w:szCs w:val="24"/>
              </w:rPr>
              <w:t>Yes! When the situation allows, always</w:t>
            </w:r>
            <w:r>
              <w:rPr>
                <w:rFonts w:ascii="Verdana" w:hAnsi="Verdana"/>
                <w:sz w:val="24"/>
                <w:szCs w:val="24"/>
              </w:rPr>
              <w:t>:</w:t>
            </w:r>
          </w:p>
          <w:p w14:paraId="4A6DD0E0" w14:textId="77777777" w:rsidR="00673105" w:rsidRPr="000F5E95" w:rsidRDefault="00673105" w:rsidP="00087CD6">
            <w:pPr>
              <w:spacing w:before="120" w:after="120"/>
              <w:rPr>
                <w:rFonts w:ascii="Verdana" w:hAnsi="Verdana"/>
                <w:b/>
                <w:bCs/>
                <w:sz w:val="24"/>
                <w:szCs w:val="24"/>
              </w:rPr>
            </w:pPr>
          </w:p>
          <w:p w14:paraId="71F30B65" w14:textId="77777777" w:rsidR="00673105" w:rsidRPr="000F5E95" w:rsidRDefault="00673105" w:rsidP="00087CD6">
            <w:pPr>
              <w:numPr>
                <w:ilvl w:val="0"/>
                <w:numId w:val="9"/>
              </w:numPr>
              <w:spacing w:before="120" w:after="120"/>
              <w:rPr>
                <w:rFonts w:ascii="Verdana" w:hAnsi="Verdana"/>
                <w:sz w:val="24"/>
                <w:szCs w:val="24"/>
              </w:rPr>
            </w:pPr>
            <w:r w:rsidRPr="000F5E95">
              <w:rPr>
                <w:rFonts w:ascii="Verdana" w:hAnsi="Verdana"/>
                <w:sz w:val="24"/>
                <w:szCs w:val="24"/>
              </w:rPr>
              <w:t xml:space="preserve">Offer to send members a Quick Registration link so they can self-serve and take advantage of these new PA statuses. </w:t>
            </w:r>
          </w:p>
          <w:p w14:paraId="140922B9" w14:textId="77777777" w:rsidR="00673105" w:rsidRPr="000F5E95" w:rsidRDefault="00673105" w:rsidP="00087CD6">
            <w:pPr>
              <w:spacing w:before="120" w:after="120"/>
              <w:ind w:left="720"/>
              <w:rPr>
                <w:rFonts w:ascii="Verdana" w:hAnsi="Verdana"/>
                <w:sz w:val="24"/>
                <w:szCs w:val="24"/>
              </w:rPr>
            </w:pPr>
          </w:p>
          <w:p w14:paraId="25085F25" w14:textId="13070B33" w:rsidR="00673105" w:rsidRPr="008D4489" w:rsidRDefault="00673105" w:rsidP="008D4489">
            <w:pPr>
              <w:numPr>
                <w:ilvl w:val="0"/>
                <w:numId w:val="9"/>
              </w:numPr>
              <w:spacing w:before="120" w:after="120"/>
              <w:rPr>
                <w:rFonts w:ascii="Verdana" w:hAnsi="Verdana"/>
                <w:sz w:val="24"/>
                <w:szCs w:val="24"/>
              </w:rPr>
            </w:pPr>
            <w:r w:rsidRPr="000F5E95">
              <w:rPr>
                <w:rFonts w:ascii="Verdana" w:hAnsi="Verdana"/>
                <w:sz w:val="24"/>
                <w:szCs w:val="24"/>
              </w:rPr>
              <w:t xml:space="preserve">Always collect email addresses and phone numbers if they are missing in Compass and then enroll the member into CMP using whatever you have. If they are available, always verify with the member </w:t>
            </w:r>
            <w:r w:rsidR="00C6453A" w:rsidRPr="000F5E95">
              <w:rPr>
                <w:rFonts w:ascii="Verdana" w:hAnsi="Verdana"/>
                <w:sz w:val="24"/>
                <w:szCs w:val="24"/>
              </w:rPr>
              <w:t>they are</w:t>
            </w:r>
            <w:r w:rsidRPr="000F5E95">
              <w:rPr>
                <w:rFonts w:ascii="Verdana" w:hAnsi="Verdana"/>
                <w:sz w:val="24"/>
                <w:szCs w:val="24"/>
              </w:rPr>
              <w:t xml:space="preserve"> still accurate.</w:t>
            </w:r>
          </w:p>
        </w:tc>
      </w:tr>
    </w:tbl>
    <w:p w14:paraId="798DD4DB" w14:textId="77F02C44" w:rsidR="00265420" w:rsidRDefault="00265420" w:rsidP="00265420">
      <w:pPr>
        <w:pStyle w:val="NormalWeb"/>
        <w:spacing w:before="0" w:beforeAutospacing="0" w:after="0" w:afterAutospacing="0"/>
        <w:jc w:val="right"/>
        <w:rPr>
          <w:color w:val="000000"/>
          <w:sz w:val="27"/>
          <w:szCs w:val="27"/>
        </w:rPr>
      </w:pPr>
      <w:hyperlink w:anchor="_top" w:history="1">
        <w:r w:rsidRPr="00265420">
          <w:rPr>
            <w:rStyle w:val="Hyperlink"/>
            <w:rFonts w:ascii="Verdana" w:hAnsi="Verdana"/>
          </w:rPr>
          <w:br/>
        </w:r>
        <w:r w:rsidRPr="00265420">
          <w:rPr>
            <w:rStyle w:val="Hyperlink"/>
            <w:rFonts w:ascii="Verdana" w:eastAsiaTheme="majorEastAsia" w:hAnsi="Verdana"/>
          </w:rPr>
          <w:t>Top of the Document</w:t>
        </w:r>
      </w:hyperlink>
    </w:p>
    <w:p w14:paraId="512BCC78" w14:textId="77777777" w:rsidR="00265420" w:rsidRDefault="00265420" w:rsidP="00265420">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184FFBA0" w14:textId="77777777" w:rsidR="00265420" w:rsidRDefault="00265420" w:rsidP="00265420">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p w14:paraId="7F3E3937" w14:textId="24EA6B43" w:rsidR="003642BB" w:rsidRPr="000F5E95" w:rsidRDefault="003642BB" w:rsidP="363CA748">
      <w:pPr>
        <w:rPr>
          <w:rFonts w:ascii="Verdana" w:hAnsi="Verdana"/>
          <w:b/>
          <w:bCs/>
          <w:sz w:val="24"/>
          <w:szCs w:val="24"/>
        </w:rPr>
      </w:pPr>
    </w:p>
    <w:sectPr w:rsidR="003642BB" w:rsidRPr="000F5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62DD"/>
    <w:multiLevelType w:val="multilevel"/>
    <w:tmpl w:val="1D7C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2A63"/>
    <w:multiLevelType w:val="multilevel"/>
    <w:tmpl w:val="F794A9CE"/>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0AC3B"/>
    <w:multiLevelType w:val="hybridMultilevel"/>
    <w:tmpl w:val="51941CC2"/>
    <w:lvl w:ilvl="0" w:tplc="9A1809BA">
      <w:start w:val="1"/>
      <w:numFmt w:val="bullet"/>
      <w:lvlText w:val=""/>
      <w:lvlJc w:val="left"/>
      <w:pPr>
        <w:ind w:left="720" w:hanging="360"/>
      </w:pPr>
      <w:rPr>
        <w:rFonts w:ascii="Symbol" w:hAnsi="Symbol" w:hint="default"/>
      </w:rPr>
    </w:lvl>
    <w:lvl w:ilvl="1" w:tplc="9D46261C">
      <w:start w:val="1"/>
      <w:numFmt w:val="bullet"/>
      <w:lvlText w:val="o"/>
      <w:lvlJc w:val="left"/>
      <w:pPr>
        <w:ind w:left="1440" w:hanging="360"/>
      </w:pPr>
      <w:rPr>
        <w:rFonts w:ascii="Courier New" w:hAnsi="Courier New" w:hint="default"/>
      </w:rPr>
    </w:lvl>
    <w:lvl w:ilvl="2" w:tplc="8332873C">
      <w:start w:val="1"/>
      <w:numFmt w:val="bullet"/>
      <w:lvlText w:val=""/>
      <w:lvlJc w:val="left"/>
      <w:pPr>
        <w:ind w:left="2160" w:hanging="360"/>
      </w:pPr>
      <w:rPr>
        <w:rFonts w:ascii="Wingdings" w:hAnsi="Wingdings" w:hint="default"/>
      </w:rPr>
    </w:lvl>
    <w:lvl w:ilvl="3" w:tplc="77940642">
      <w:start w:val="1"/>
      <w:numFmt w:val="bullet"/>
      <w:lvlText w:val=""/>
      <w:lvlJc w:val="left"/>
      <w:pPr>
        <w:ind w:left="2880" w:hanging="360"/>
      </w:pPr>
      <w:rPr>
        <w:rFonts w:ascii="Symbol" w:hAnsi="Symbol" w:hint="default"/>
      </w:rPr>
    </w:lvl>
    <w:lvl w:ilvl="4" w:tplc="737E43B0">
      <w:start w:val="1"/>
      <w:numFmt w:val="bullet"/>
      <w:lvlText w:val="o"/>
      <w:lvlJc w:val="left"/>
      <w:pPr>
        <w:ind w:left="3600" w:hanging="360"/>
      </w:pPr>
      <w:rPr>
        <w:rFonts w:ascii="Courier New" w:hAnsi="Courier New" w:hint="default"/>
      </w:rPr>
    </w:lvl>
    <w:lvl w:ilvl="5" w:tplc="42809AF2">
      <w:start w:val="1"/>
      <w:numFmt w:val="bullet"/>
      <w:lvlText w:val=""/>
      <w:lvlJc w:val="left"/>
      <w:pPr>
        <w:ind w:left="4320" w:hanging="360"/>
      </w:pPr>
      <w:rPr>
        <w:rFonts w:ascii="Wingdings" w:hAnsi="Wingdings" w:hint="default"/>
      </w:rPr>
    </w:lvl>
    <w:lvl w:ilvl="6" w:tplc="BFD4BF20">
      <w:start w:val="1"/>
      <w:numFmt w:val="bullet"/>
      <w:lvlText w:val=""/>
      <w:lvlJc w:val="left"/>
      <w:pPr>
        <w:ind w:left="5040" w:hanging="360"/>
      </w:pPr>
      <w:rPr>
        <w:rFonts w:ascii="Symbol" w:hAnsi="Symbol" w:hint="default"/>
      </w:rPr>
    </w:lvl>
    <w:lvl w:ilvl="7" w:tplc="C0FE8AF8">
      <w:start w:val="1"/>
      <w:numFmt w:val="bullet"/>
      <w:lvlText w:val="o"/>
      <w:lvlJc w:val="left"/>
      <w:pPr>
        <w:ind w:left="5760" w:hanging="360"/>
      </w:pPr>
      <w:rPr>
        <w:rFonts w:ascii="Courier New" w:hAnsi="Courier New" w:hint="default"/>
      </w:rPr>
    </w:lvl>
    <w:lvl w:ilvl="8" w:tplc="B22AA382">
      <w:start w:val="1"/>
      <w:numFmt w:val="bullet"/>
      <w:lvlText w:val=""/>
      <w:lvlJc w:val="left"/>
      <w:pPr>
        <w:ind w:left="6480" w:hanging="360"/>
      </w:pPr>
      <w:rPr>
        <w:rFonts w:ascii="Wingdings" w:hAnsi="Wingdings" w:hint="default"/>
      </w:rPr>
    </w:lvl>
  </w:abstractNum>
  <w:abstractNum w:abstractNumId="3" w15:restartNumberingAfterBreak="0">
    <w:nsid w:val="25E7C348"/>
    <w:multiLevelType w:val="hybridMultilevel"/>
    <w:tmpl w:val="DC6A72AE"/>
    <w:lvl w:ilvl="0" w:tplc="FB9ACAAE">
      <w:start w:val="1"/>
      <w:numFmt w:val="bullet"/>
      <w:lvlText w:val=""/>
      <w:lvlJc w:val="left"/>
      <w:pPr>
        <w:ind w:left="720" w:hanging="360"/>
      </w:pPr>
      <w:rPr>
        <w:rFonts w:ascii="Symbol" w:hAnsi="Symbol" w:hint="default"/>
      </w:rPr>
    </w:lvl>
    <w:lvl w:ilvl="1" w:tplc="29424A44">
      <w:start w:val="1"/>
      <w:numFmt w:val="bullet"/>
      <w:lvlText w:val="o"/>
      <w:lvlJc w:val="left"/>
      <w:pPr>
        <w:ind w:left="1440" w:hanging="360"/>
      </w:pPr>
      <w:rPr>
        <w:rFonts w:ascii="Courier New" w:hAnsi="Courier New" w:hint="default"/>
      </w:rPr>
    </w:lvl>
    <w:lvl w:ilvl="2" w:tplc="A118AD76">
      <w:start w:val="1"/>
      <w:numFmt w:val="bullet"/>
      <w:lvlText w:val=""/>
      <w:lvlJc w:val="left"/>
      <w:pPr>
        <w:ind w:left="2160" w:hanging="360"/>
      </w:pPr>
      <w:rPr>
        <w:rFonts w:ascii="Wingdings" w:hAnsi="Wingdings" w:hint="default"/>
      </w:rPr>
    </w:lvl>
    <w:lvl w:ilvl="3" w:tplc="F32692CA">
      <w:start w:val="1"/>
      <w:numFmt w:val="bullet"/>
      <w:lvlText w:val=""/>
      <w:lvlJc w:val="left"/>
      <w:pPr>
        <w:ind w:left="2880" w:hanging="360"/>
      </w:pPr>
      <w:rPr>
        <w:rFonts w:ascii="Symbol" w:hAnsi="Symbol" w:hint="default"/>
      </w:rPr>
    </w:lvl>
    <w:lvl w:ilvl="4" w:tplc="D368C9FA">
      <w:start w:val="1"/>
      <w:numFmt w:val="bullet"/>
      <w:lvlText w:val="o"/>
      <w:lvlJc w:val="left"/>
      <w:pPr>
        <w:ind w:left="3600" w:hanging="360"/>
      </w:pPr>
      <w:rPr>
        <w:rFonts w:ascii="Courier New" w:hAnsi="Courier New" w:hint="default"/>
      </w:rPr>
    </w:lvl>
    <w:lvl w:ilvl="5" w:tplc="2AD82CA2">
      <w:start w:val="1"/>
      <w:numFmt w:val="bullet"/>
      <w:lvlText w:val=""/>
      <w:lvlJc w:val="left"/>
      <w:pPr>
        <w:ind w:left="4320" w:hanging="360"/>
      </w:pPr>
      <w:rPr>
        <w:rFonts w:ascii="Wingdings" w:hAnsi="Wingdings" w:hint="default"/>
      </w:rPr>
    </w:lvl>
    <w:lvl w:ilvl="6" w:tplc="9D1AA012">
      <w:start w:val="1"/>
      <w:numFmt w:val="bullet"/>
      <w:lvlText w:val=""/>
      <w:lvlJc w:val="left"/>
      <w:pPr>
        <w:ind w:left="5040" w:hanging="360"/>
      </w:pPr>
      <w:rPr>
        <w:rFonts w:ascii="Symbol" w:hAnsi="Symbol" w:hint="default"/>
      </w:rPr>
    </w:lvl>
    <w:lvl w:ilvl="7" w:tplc="6126744A">
      <w:start w:val="1"/>
      <w:numFmt w:val="bullet"/>
      <w:lvlText w:val="o"/>
      <w:lvlJc w:val="left"/>
      <w:pPr>
        <w:ind w:left="5760" w:hanging="360"/>
      </w:pPr>
      <w:rPr>
        <w:rFonts w:ascii="Courier New" w:hAnsi="Courier New" w:hint="default"/>
      </w:rPr>
    </w:lvl>
    <w:lvl w:ilvl="8" w:tplc="D2E08080">
      <w:start w:val="1"/>
      <w:numFmt w:val="bullet"/>
      <w:lvlText w:val=""/>
      <w:lvlJc w:val="left"/>
      <w:pPr>
        <w:ind w:left="6480" w:hanging="360"/>
      </w:pPr>
      <w:rPr>
        <w:rFonts w:ascii="Wingdings" w:hAnsi="Wingdings" w:hint="default"/>
      </w:rPr>
    </w:lvl>
  </w:abstractNum>
  <w:abstractNum w:abstractNumId="4" w15:restartNumberingAfterBreak="0">
    <w:nsid w:val="2DE61D4A"/>
    <w:multiLevelType w:val="multilevel"/>
    <w:tmpl w:val="A9D846FC"/>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5" w15:restartNumberingAfterBreak="0">
    <w:nsid w:val="62AA9A25"/>
    <w:multiLevelType w:val="hybridMultilevel"/>
    <w:tmpl w:val="7684072C"/>
    <w:lvl w:ilvl="0" w:tplc="9E467C5C">
      <w:start w:val="1"/>
      <w:numFmt w:val="bullet"/>
      <w:lvlText w:val=""/>
      <w:lvlJc w:val="left"/>
      <w:pPr>
        <w:ind w:left="1080" w:hanging="360"/>
      </w:pPr>
      <w:rPr>
        <w:rFonts w:ascii="Symbol" w:hAnsi="Symbol" w:hint="default"/>
      </w:rPr>
    </w:lvl>
    <w:lvl w:ilvl="1" w:tplc="3990A4BA">
      <w:start w:val="1"/>
      <w:numFmt w:val="bullet"/>
      <w:lvlText w:val="o"/>
      <w:lvlJc w:val="left"/>
      <w:pPr>
        <w:ind w:left="1800" w:hanging="360"/>
      </w:pPr>
      <w:rPr>
        <w:rFonts w:ascii="Courier New" w:hAnsi="Courier New" w:hint="default"/>
      </w:rPr>
    </w:lvl>
    <w:lvl w:ilvl="2" w:tplc="EB7ED8F4">
      <w:start w:val="1"/>
      <w:numFmt w:val="bullet"/>
      <w:lvlText w:val=""/>
      <w:lvlJc w:val="left"/>
      <w:pPr>
        <w:ind w:left="2520" w:hanging="360"/>
      </w:pPr>
      <w:rPr>
        <w:rFonts w:ascii="Wingdings" w:hAnsi="Wingdings" w:hint="default"/>
      </w:rPr>
    </w:lvl>
    <w:lvl w:ilvl="3" w:tplc="8D101E42">
      <w:start w:val="1"/>
      <w:numFmt w:val="bullet"/>
      <w:lvlText w:val=""/>
      <w:lvlJc w:val="left"/>
      <w:pPr>
        <w:ind w:left="3240" w:hanging="360"/>
      </w:pPr>
      <w:rPr>
        <w:rFonts w:ascii="Symbol" w:hAnsi="Symbol" w:hint="default"/>
      </w:rPr>
    </w:lvl>
    <w:lvl w:ilvl="4" w:tplc="2EE223A4">
      <w:start w:val="1"/>
      <w:numFmt w:val="bullet"/>
      <w:lvlText w:val="o"/>
      <w:lvlJc w:val="left"/>
      <w:pPr>
        <w:ind w:left="3960" w:hanging="360"/>
      </w:pPr>
      <w:rPr>
        <w:rFonts w:ascii="Courier New" w:hAnsi="Courier New" w:hint="default"/>
      </w:rPr>
    </w:lvl>
    <w:lvl w:ilvl="5" w:tplc="D04CA68E">
      <w:start w:val="1"/>
      <w:numFmt w:val="bullet"/>
      <w:lvlText w:val=""/>
      <w:lvlJc w:val="left"/>
      <w:pPr>
        <w:ind w:left="4680" w:hanging="360"/>
      </w:pPr>
      <w:rPr>
        <w:rFonts w:ascii="Wingdings" w:hAnsi="Wingdings" w:hint="default"/>
      </w:rPr>
    </w:lvl>
    <w:lvl w:ilvl="6" w:tplc="09EAB6E6">
      <w:start w:val="1"/>
      <w:numFmt w:val="bullet"/>
      <w:lvlText w:val=""/>
      <w:lvlJc w:val="left"/>
      <w:pPr>
        <w:ind w:left="5400" w:hanging="360"/>
      </w:pPr>
      <w:rPr>
        <w:rFonts w:ascii="Symbol" w:hAnsi="Symbol" w:hint="default"/>
      </w:rPr>
    </w:lvl>
    <w:lvl w:ilvl="7" w:tplc="3CA012E0">
      <w:start w:val="1"/>
      <w:numFmt w:val="bullet"/>
      <w:lvlText w:val="o"/>
      <w:lvlJc w:val="left"/>
      <w:pPr>
        <w:ind w:left="6120" w:hanging="360"/>
      </w:pPr>
      <w:rPr>
        <w:rFonts w:ascii="Courier New" w:hAnsi="Courier New" w:hint="default"/>
      </w:rPr>
    </w:lvl>
    <w:lvl w:ilvl="8" w:tplc="6B4228D4">
      <w:start w:val="1"/>
      <w:numFmt w:val="bullet"/>
      <w:lvlText w:val=""/>
      <w:lvlJc w:val="left"/>
      <w:pPr>
        <w:ind w:left="6840" w:hanging="360"/>
      </w:pPr>
      <w:rPr>
        <w:rFonts w:ascii="Wingdings" w:hAnsi="Wingdings" w:hint="default"/>
      </w:rPr>
    </w:lvl>
  </w:abstractNum>
  <w:abstractNum w:abstractNumId="6" w15:restartNumberingAfterBreak="0">
    <w:nsid w:val="71797D6F"/>
    <w:multiLevelType w:val="multilevel"/>
    <w:tmpl w:val="FA0666A2"/>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DE775"/>
    <w:multiLevelType w:val="hybridMultilevel"/>
    <w:tmpl w:val="C08C3C94"/>
    <w:lvl w:ilvl="0" w:tplc="754092E2">
      <w:start w:val="1"/>
      <w:numFmt w:val="bullet"/>
      <w:lvlText w:val=""/>
      <w:lvlJc w:val="left"/>
      <w:pPr>
        <w:ind w:left="1080" w:hanging="360"/>
      </w:pPr>
      <w:rPr>
        <w:rFonts w:ascii="Symbol" w:hAnsi="Symbol" w:hint="default"/>
      </w:rPr>
    </w:lvl>
    <w:lvl w:ilvl="1" w:tplc="61D82A94">
      <w:start w:val="1"/>
      <w:numFmt w:val="bullet"/>
      <w:lvlText w:val="o"/>
      <w:lvlJc w:val="left"/>
      <w:pPr>
        <w:ind w:left="1800" w:hanging="360"/>
      </w:pPr>
      <w:rPr>
        <w:rFonts w:ascii="Courier New" w:hAnsi="Courier New" w:hint="default"/>
      </w:rPr>
    </w:lvl>
    <w:lvl w:ilvl="2" w:tplc="F7CC09DA">
      <w:start w:val="1"/>
      <w:numFmt w:val="bullet"/>
      <w:lvlText w:val=""/>
      <w:lvlJc w:val="left"/>
      <w:pPr>
        <w:ind w:left="2520" w:hanging="360"/>
      </w:pPr>
      <w:rPr>
        <w:rFonts w:ascii="Wingdings" w:hAnsi="Wingdings" w:hint="default"/>
      </w:rPr>
    </w:lvl>
    <w:lvl w:ilvl="3" w:tplc="6EE017C8">
      <w:start w:val="1"/>
      <w:numFmt w:val="bullet"/>
      <w:lvlText w:val=""/>
      <w:lvlJc w:val="left"/>
      <w:pPr>
        <w:ind w:left="3240" w:hanging="360"/>
      </w:pPr>
      <w:rPr>
        <w:rFonts w:ascii="Symbol" w:hAnsi="Symbol" w:hint="default"/>
      </w:rPr>
    </w:lvl>
    <w:lvl w:ilvl="4" w:tplc="B6A09700">
      <w:start w:val="1"/>
      <w:numFmt w:val="bullet"/>
      <w:lvlText w:val="o"/>
      <w:lvlJc w:val="left"/>
      <w:pPr>
        <w:ind w:left="3960" w:hanging="360"/>
      </w:pPr>
      <w:rPr>
        <w:rFonts w:ascii="Courier New" w:hAnsi="Courier New" w:hint="default"/>
      </w:rPr>
    </w:lvl>
    <w:lvl w:ilvl="5" w:tplc="5122DA36">
      <w:start w:val="1"/>
      <w:numFmt w:val="bullet"/>
      <w:lvlText w:val=""/>
      <w:lvlJc w:val="left"/>
      <w:pPr>
        <w:ind w:left="4680" w:hanging="360"/>
      </w:pPr>
      <w:rPr>
        <w:rFonts w:ascii="Wingdings" w:hAnsi="Wingdings" w:hint="default"/>
      </w:rPr>
    </w:lvl>
    <w:lvl w:ilvl="6" w:tplc="FF502C64">
      <w:start w:val="1"/>
      <w:numFmt w:val="bullet"/>
      <w:lvlText w:val=""/>
      <w:lvlJc w:val="left"/>
      <w:pPr>
        <w:ind w:left="5400" w:hanging="360"/>
      </w:pPr>
      <w:rPr>
        <w:rFonts w:ascii="Symbol" w:hAnsi="Symbol" w:hint="default"/>
      </w:rPr>
    </w:lvl>
    <w:lvl w:ilvl="7" w:tplc="5252A96E">
      <w:start w:val="1"/>
      <w:numFmt w:val="bullet"/>
      <w:lvlText w:val="o"/>
      <w:lvlJc w:val="left"/>
      <w:pPr>
        <w:ind w:left="6120" w:hanging="360"/>
      </w:pPr>
      <w:rPr>
        <w:rFonts w:ascii="Courier New" w:hAnsi="Courier New" w:hint="default"/>
      </w:rPr>
    </w:lvl>
    <w:lvl w:ilvl="8" w:tplc="631818BA">
      <w:start w:val="1"/>
      <w:numFmt w:val="bullet"/>
      <w:lvlText w:val=""/>
      <w:lvlJc w:val="left"/>
      <w:pPr>
        <w:ind w:left="6840" w:hanging="360"/>
      </w:pPr>
      <w:rPr>
        <w:rFonts w:ascii="Wingdings" w:hAnsi="Wingdings" w:hint="default"/>
      </w:rPr>
    </w:lvl>
  </w:abstractNum>
  <w:abstractNum w:abstractNumId="8" w15:restartNumberingAfterBreak="0">
    <w:nsid w:val="7DE05200"/>
    <w:multiLevelType w:val="multilevel"/>
    <w:tmpl w:val="39C6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0941">
    <w:abstractNumId w:val="5"/>
  </w:num>
  <w:num w:numId="2" w16cid:durableId="1460221376">
    <w:abstractNumId w:val="2"/>
  </w:num>
  <w:num w:numId="3" w16cid:durableId="77870019">
    <w:abstractNumId w:val="7"/>
  </w:num>
  <w:num w:numId="4" w16cid:durableId="232544383">
    <w:abstractNumId w:val="3"/>
  </w:num>
  <w:num w:numId="5" w16cid:durableId="699858995">
    <w:abstractNumId w:val="0"/>
  </w:num>
  <w:num w:numId="6" w16cid:durableId="1480462553">
    <w:abstractNumId w:val="4"/>
  </w:num>
  <w:num w:numId="7" w16cid:durableId="1589579669">
    <w:abstractNumId w:val="1"/>
  </w:num>
  <w:num w:numId="8" w16cid:durableId="313679393">
    <w:abstractNumId w:val="8"/>
  </w:num>
  <w:num w:numId="9" w16cid:durableId="1066993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44"/>
    <w:rsid w:val="00002F94"/>
    <w:rsid w:val="0001038D"/>
    <w:rsid w:val="00011367"/>
    <w:rsid w:val="000160EF"/>
    <w:rsid w:val="00016726"/>
    <w:rsid w:val="00016945"/>
    <w:rsid w:val="00022A25"/>
    <w:rsid w:val="00022F00"/>
    <w:rsid w:val="000301B7"/>
    <w:rsid w:val="00042431"/>
    <w:rsid w:val="00042FC2"/>
    <w:rsid w:val="000729A0"/>
    <w:rsid w:val="000845D2"/>
    <w:rsid w:val="00087CD6"/>
    <w:rsid w:val="00091987"/>
    <w:rsid w:val="00095CCE"/>
    <w:rsid w:val="000A255C"/>
    <w:rsid w:val="000D2199"/>
    <w:rsid w:val="000D3724"/>
    <w:rsid w:val="000D7E84"/>
    <w:rsid w:val="000E47F8"/>
    <w:rsid w:val="000F26B9"/>
    <w:rsid w:val="000F5E95"/>
    <w:rsid w:val="001018D5"/>
    <w:rsid w:val="00101938"/>
    <w:rsid w:val="00107372"/>
    <w:rsid w:val="0012099C"/>
    <w:rsid w:val="001225E6"/>
    <w:rsid w:val="00126308"/>
    <w:rsid w:val="00127647"/>
    <w:rsid w:val="00133439"/>
    <w:rsid w:val="00143413"/>
    <w:rsid w:val="0014429B"/>
    <w:rsid w:val="00154CDE"/>
    <w:rsid w:val="00165ADA"/>
    <w:rsid w:val="00170A95"/>
    <w:rsid w:val="00173B11"/>
    <w:rsid w:val="00186F1A"/>
    <w:rsid w:val="0019141D"/>
    <w:rsid w:val="00192447"/>
    <w:rsid w:val="001A6B9A"/>
    <w:rsid w:val="001E2DAC"/>
    <w:rsid w:val="0020320B"/>
    <w:rsid w:val="002136B5"/>
    <w:rsid w:val="00216039"/>
    <w:rsid w:val="00222C64"/>
    <w:rsid w:val="0022452D"/>
    <w:rsid w:val="002325D1"/>
    <w:rsid w:val="0023747C"/>
    <w:rsid w:val="00242206"/>
    <w:rsid w:val="002438C9"/>
    <w:rsid w:val="00247A96"/>
    <w:rsid w:val="0026240D"/>
    <w:rsid w:val="00265420"/>
    <w:rsid w:val="00266C95"/>
    <w:rsid w:val="00274E00"/>
    <w:rsid w:val="00297B7F"/>
    <w:rsid w:val="002A221A"/>
    <w:rsid w:val="002B5984"/>
    <w:rsid w:val="002C4925"/>
    <w:rsid w:val="002C4F87"/>
    <w:rsid w:val="002C67F1"/>
    <w:rsid w:val="002E2404"/>
    <w:rsid w:val="00305FCD"/>
    <w:rsid w:val="0031D12E"/>
    <w:rsid w:val="0032132C"/>
    <w:rsid w:val="00323521"/>
    <w:rsid w:val="00327C59"/>
    <w:rsid w:val="00331B18"/>
    <w:rsid w:val="00342956"/>
    <w:rsid w:val="00343938"/>
    <w:rsid w:val="00361AAA"/>
    <w:rsid w:val="003642BB"/>
    <w:rsid w:val="003664D0"/>
    <w:rsid w:val="00374336"/>
    <w:rsid w:val="00383CB5"/>
    <w:rsid w:val="00385369"/>
    <w:rsid w:val="00393AC5"/>
    <w:rsid w:val="003A78AE"/>
    <w:rsid w:val="003A7B8A"/>
    <w:rsid w:val="003B3ABF"/>
    <w:rsid w:val="003C6AF5"/>
    <w:rsid w:val="003E3FDA"/>
    <w:rsid w:val="00404AB1"/>
    <w:rsid w:val="00410603"/>
    <w:rsid w:val="00416F73"/>
    <w:rsid w:val="004177C9"/>
    <w:rsid w:val="00417A45"/>
    <w:rsid w:val="0042624F"/>
    <w:rsid w:val="004300E5"/>
    <w:rsid w:val="00454043"/>
    <w:rsid w:val="004554D7"/>
    <w:rsid w:val="00463439"/>
    <w:rsid w:val="0047654C"/>
    <w:rsid w:val="00496550"/>
    <w:rsid w:val="00497B14"/>
    <w:rsid w:val="004D0A6B"/>
    <w:rsid w:val="004D2F07"/>
    <w:rsid w:val="004E5CDE"/>
    <w:rsid w:val="005038F5"/>
    <w:rsid w:val="00505A9A"/>
    <w:rsid w:val="0051194E"/>
    <w:rsid w:val="0051346B"/>
    <w:rsid w:val="0051539C"/>
    <w:rsid w:val="00517ED3"/>
    <w:rsid w:val="00522C9F"/>
    <w:rsid w:val="0052360A"/>
    <w:rsid w:val="00530CD7"/>
    <w:rsid w:val="005415AA"/>
    <w:rsid w:val="005456BE"/>
    <w:rsid w:val="005511DD"/>
    <w:rsid w:val="00552329"/>
    <w:rsid w:val="00554D68"/>
    <w:rsid w:val="00573D80"/>
    <w:rsid w:val="00596079"/>
    <w:rsid w:val="005A5AB7"/>
    <w:rsid w:val="005C4E37"/>
    <w:rsid w:val="005D0CEF"/>
    <w:rsid w:val="005D4245"/>
    <w:rsid w:val="00606526"/>
    <w:rsid w:val="00625FA8"/>
    <w:rsid w:val="00626582"/>
    <w:rsid w:val="00633087"/>
    <w:rsid w:val="00636D89"/>
    <w:rsid w:val="00646A5C"/>
    <w:rsid w:val="00670A19"/>
    <w:rsid w:val="00673105"/>
    <w:rsid w:val="0068558E"/>
    <w:rsid w:val="00685CAD"/>
    <w:rsid w:val="0069176E"/>
    <w:rsid w:val="006A7F35"/>
    <w:rsid w:val="006B03CE"/>
    <w:rsid w:val="006B24E9"/>
    <w:rsid w:val="006D2D1A"/>
    <w:rsid w:val="0072069C"/>
    <w:rsid w:val="00724F63"/>
    <w:rsid w:val="007251FE"/>
    <w:rsid w:val="0073134D"/>
    <w:rsid w:val="00746B12"/>
    <w:rsid w:val="00766A8B"/>
    <w:rsid w:val="0076C5D0"/>
    <w:rsid w:val="00782BB7"/>
    <w:rsid w:val="007C0FF2"/>
    <w:rsid w:val="007C480F"/>
    <w:rsid w:val="007C60C8"/>
    <w:rsid w:val="007D4DA4"/>
    <w:rsid w:val="007F3F64"/>
    <w:rsid w:val="008029D8"/>
    <w:rsid w:val="0081755A"/>
    <w:rsid w:val="008316E5"/>
    <w:rsid w:val="00831B73"/>
    <w:rsid w:val="008537C0"/>
    <w:rsid w:val="00857CA0"/>
    <w:rsid w:val="00870A2A"/>
    <w:rsid w:val="00872F0B"/>
    <w:rsid w:val="0088419E"/>
    <w:rsid w:val="00894080"/>
    <w:rsid w:val="0089538B"/>
    <w:rsid w:val="008A7138"/>
    <w:rsid w:val="008B204E"/>
    <w:rsid w:val="008D1E9A"/>
    <w:rsid w:val="008D3CDB"/>
    <w:rsid w:val="008D4489"/>
    <w:rsid w:val="008F0921"/>
    <w:rsid w:val="008F2F62"/>
    <w:rsid w:val="008F55C6"/>
    <w:rsid w:val="0092151C"/>
    <w:rsid w:val="009317A8"/>
    <w:rsid w:val="00957898"/>
    <w:rsid w:val="00960D12"/>
    <w:rsid w:val="0096637E"/>
    <w:rsid w:val="009840BF"/>
    <w:rsid w:val="00985CB0"/>
    <w:rsid w:val="00992D8D"/>
    <w:rsid w:val="00993D0C"/>
    <w:rsid w:val="009A541E"/>
    <w:rsid w:val="009D326C"/>
    <w:rsid w:val="009E75E9"/>
    <w:rsid w:val="00A0356B"/>
    <w:rsid w:val="00A07F24"/>
    <w:rsid w:val="00A11AA1"/>
    <w:rsid w:val="00A11C2F"/>
    <w:rsid w:val="00A34ABD"/>
    <w:rsid w:val="00A370EB"/>
    <w:rsid w:val="00A40377"/>
    <w:rsid w:val="00A425E8"/>
    <w:rsid w:val="00A43637"/>
    <w:rsid w:val="00A577D6"/>
    <w:rsid w:val="00A57A6C"/>
    <w:rsid w:val="00A63034"/>
    <w:rsid w:val="00A64ADE"/>
    <w:rsid w:val="00A65DF7"/>
    <w:rsid w:val="00A6643B"/>
    <w:rsid w:val="00A8262F"/>
    <w:rsid w:val="00A87491"/>
    <w:rsid w:val="00AA3404"/>
    <w:rsid w:val="00AB53C6"/>
    <w:rsid w:val="00AB57D7"/>
    <w:rsid w:val="00AC19F4"/>
    <w:rsid w:val="00AC6DAE"/>
    <w:rsid w:val="00AD4112"/>
    <w:rsid w:val="00AE0CB5"/>
    <w:rsid w:val="00AF3ED5"/>
    <w:rsid w:val="00AF4DD8"/>
    <w:rsid w:val="00AF5426"/>
    <w:rsid w:val="00B05ACC"/>
    <w:rsid w:val="00B10D95"/>
    <w:rsid w:val="00B20227"/>
    <w:rsid w:val="00B22131"/>
    <w:rsid w:val="00B37192"/>
    <w:rsid w:val="00B41E9B"/>
    <w:rsid w:val="00B618BC"/>
    <w:rsid w:val="00B67CBB"/>
    <w:rsid w:val="00B93FDE"/>
    <w:rsid w:val="00BA6B1F"/>
    <w:rsid w:val="00BB78D9"/>
    <w:rsid w:val="00BC63A8"/>
    <w:rsid w:val="00BE0B1E"/>
    <w:rsid w:val="00BE20EB"/>
    <w:rsid w:val="00C0074A"/>
    <w:rsid w:val="00C015F8"/>
    <w:rsid w:val="00C11124"/>
    <w:rsid w:val="00C1421F"/>
    <w:rsid w:val="00C5350F"/>
    <w:rsid w:val="00C53892"/>
    <w:rsid w:val="00C5562A"/>
    <w:rsid w:val="00C62FF9"/>
    <w:rsid w:val="00C6453A"/>
    <w:rsid w:val="00C77A9F"/>
    <w:rsid w:val="00C91B2E"/>
    <w:rsid w:val="00C92057"/>
    <w:rsid w:val="00CA13CE"/>
    <w:rsid w:val="00CA7722"/>
    <w:rsid w:val="00CB503F"/>
    <w:rsid w:val="00CC0B12"/>
    <w:rsid w:val="00CC4110"/>
    <w:rsid w:val="00CE06CA"/>
    <w:rsid w:val="00CE168C"/>
    <w:rsid w:val="00CE51AD"/>
    <w:rsid w:val="00CF4AA5"/>
    <w:rsid w:val="00D25C4E"/>
    <w:rsid w:val="00D30112"/>
    <w:rsid w:val="00D44177"/>
    <w:rsid w:val="00D46D7C"/>
    <w:rsid w:val="00D71357"/>
    <w:rsid w:val="00D837BB"/>
    <w:rsid w:val="00D872B7"/>
    <w:rsid w:val="00D87A5F"/>
    <w:rsid w:val="00D90C2A"/>
    <w:rsid w:val="00D92AD5"/>
    <w:rsid w:val="00D94545"/>
    <w:rsid w:val="00DA1F34"/>
    <w:rsid w:val="00DB12A9"/>
    <w:rsid w:val="00DB221F"/>
    <w:rsid w:val="00DC2380"/>
    <w:rsid w:val="00DC4ACF"/>
    <w:rsid w:val="00DC5D2A"/>
    <w:rsid w:val="00DC674B"/>
    <w:rsid w:val="00DE74CB"/>
    <w:rsid w:val="00DF0540"/>
    <w:rsid w:val="00E04297"/>
    <w:rsid w:val="00E06474"/>
    <w:rsid w:val="00E07BBD"/>
    <w:rsid w:val="00E23140"/>
    <w:rsid w:val="00E23B37"/>
    <w:rsid w:val="00E3396B"/>
    <w:rsid w:val="00E3680E"/>
    <w:rsid w:val="00E4027F"/>
    <w:rsid w:val="00E50185"/>
    <w:rsid w:val="00E57722"/>
    <w:rsid w:val="00E62332"/>
    <w:rsid w:val="00E72881"/>
    <w:rsid w:val="00E950B8"/>
    <w:rsid w:val="00E978A9"/>
    <w:rsid w:val="00EA47D2"/>
    <w:rsid w:val="00EB3949"/>
    <w:rsid w:val="00EB4444"/>
    <w:rsid w:val="00EC6837"/>
    <w:rsid w:val="00ED22DD"/>
    <w:rsid w:val="00ED7010"/>
    <w:rsid w:val="00EF1FB4"/>
    <w:rsid w:val="00F40642"/>
    <w:rsid w:val="00F40A45"/>
    <w:rsid w:val="00F428DD"/>
    <w:rsid w:val="00F502AC"/>
    <w:rsid w:val="00F516E0"/>
    <w:rsid w:val="00F64039"/>
    <w:rsid w:val="00F6757C"/>
    <w:rsid w:val="00F754C9"/>
    <w:rsid w:val="00F76C15"/>
    <w:rsid w:val="00FA0CB3"/>
    <w:rsid w:val="00FA4EBF"/>
    <w:rsid w:val="00FD3CC1"/>
    <w:rsid w:val="00FF6A98"/>
    <w:rsid w:val="01382B92"/>
    <w:rsid w:val="02C4F356"/>
    <w:rsid w:val="02FF2C06"/>
    <w:rsid w:val="033EF7D4"/>
    <w:rsid w:val="034D5BCA"/>
    <w:rsid w:val="036400EC"/>
    <w:rsid w:val="036F89DB"/>
    <w:rsid w:val="037B2CB0"/>
    <w:rsid w:val="039E5231"/>
    <w:rsid w:val="04598138"/>
    <w:rsid w:val="04DC4307"/>
    <w:rsid w:val="04E89AF8"/>
    <w:rsid w:val="050B5E27"/>
    <w:rsid w:val="0569D4B7"/>
    <w:rsid w:val="06C38EB0"/>
    <w:rsid w:val="0828B5E9"/>
    <w:rsid w:val="0940D015"/>
    <w:rsid w:val="09B4675C"/>
    <w:rsid w:val="09F7544E"/>
    <w:rsid w:val="0ACBCCDB"/>
    <w:rsid w:val="0B2978E2"/>
    <w:rsid w:val="0CAEF044"/>
    <w:rsid w:val="0D8D209B"/>
    <w:rsid w:val="0D967CE3"/>
    <w:rsid w:val="0DA59F3B"/>
    <w:rsid w:val="0E03F5C7"/>
    <w:rsid w:val="0E828F3B"/>
    <w:rsid w:val="1002F17F"/>
    <w:rsid w:val="114D7C51"/>
    <w:rsid w:val="11AA4907"/>
    <w:rsid w:val="122C0EDC"/>
    <w:rsid w:val="125A7C00"/>
    <w:rsid w:val="136284E1"/>
    <w:rsid w:val="1564AE71"/>
    <w:rsid w:val="157E8453"/>
    <w:rsid w:val="15C5838A"/>
    <w:rsid w:val="1782E750"/>
    <w:rsid w:val="19114005"/>
    <w:rsid w:val="1A130FD3"/>
    <w:rsid w:val="1A682E3C"/>
    <w:rsid w:val="1C2CA71C"/>
    <w:rsid w:val="1D00EABD"/>
    <w:rsid w:val="1D891D73"/>
    <w:rsid w:val="1D8F449F"/>
    <w:rsid w:val="1E7AA1A5"/>
    <w:rsid w:val="1F251031"/>
    <w:rsid w:val="1FCB4B34"/>
    <w:rsid w:val="204DF5DB"/>
    <w:rsid w:val="209B104C"/>
    <w:rsid w:val="212A8924"/>
    <w:rsid w:val="21BEEAD2"/>
    <w:rsid w:val="21BF5627"/>
    <w:rsid w:val="227606D0"/>
    <w:rsid w:val="23D1EA81"/>
    <w:rsid w:val="245E1BEB"/>
    <w:rsid w:val="247835CD"/>
    <w:rsid w:val="24C6DB84"/>
    <w:rsid w:val="24CA218A"/>
    <w:rsid w:val="250F6626"/>
    <w:rsid w:val="2511963A"/>
    <w:rsid w:val="2534145B"/>
    <w:rsid w:val="262BE601"/>
    <w:rsid w:val="26BECA06"/>
    <w:rsid w:val="26E2AA4F"/>
    <w:rsid w:val="289256FC"/>
    <w:rsid w:val="28BF1DE3"/>
    <w:rsid w:val="28C361BA"/>
    <w:rsid w:val="28F19236"/>
    <w:rsid w:val="28F4270A"/>
    <w:rsid w:val="299A8AD4"/>
    <w:rsid w:val="2A07F081"/>
    <w:rsid w:val="2A0E60F1"/>
    <w:rsid w:val="2ADD497E"/>
    <w:rsid w:val="2B5CF65F"/>
    <w:rsid w:val="2BBAA256"/>
    <w:rsid w:val="2C0289D1"/>
    <w:rsid w:val="2C3A116A"/>
    <w:rsid w:val="2C9E5FEF"/>
    <w:rsid w:val="2DE40C66"/>
    <w:rsid w:val="2E9DDBA7"/>
    <w:rsid w:val="2EAAEA93"/>
    <w:rsid w:val="2F6D2CEC"/>
    <w:rsid w:val="3029BA10"/>
    <w:rsid w:val="305236D5"/>
    <w:rsid w:val="307A2D06"/>
    <w:rsid w:val="311102A9"/>
    <w:rsid w:val="317B2CF6"/>
    <w:rsid w:val="336248E8"/>
    <w:rsid w:val="339F63F8"/>
    <w:rsid w:val="33D7A380"/>
    <w:rsid w:val="340D0F34"/>
    <w:rsid w:val="34F0281B"/>
    <w:rsid w:val="35EA6809"/>
    <w:rsid w:val="35EE8784"/>
    <w:rsid w:val="3602D3D9"/>
    <w:rsid w:val="363CA748"/>
    <w:rsid w:val="36714849"/>
    <w:rsid w:val="36BFA808"/>
    <w:rsid w:val="37AA8FB1"/>
    <w:rsid w:val="37D70AF6"/>
    <w:rsid w:val="3913C685"/>
    <w:rsid w:val="391C84B1"/>
    <w:rsid w:val="394218B4"/>
    <w:rsid w:val="3A21B0E4"/>
    <w:rsid w:val="3AC5BB5B"/>
    <w:rsid w:val="3AE1018D"/>
    <w:rsid w:val="3AEEE7DE"/>
    <w:rsid w:val="3B3EE538"/>
    <w:rsid w:val="3BA15CCA"/>
    <w:rsid w:val="3BEBCC5E"/>
    <w:rsid w:val="3BEC6BB3"/>
    <w:rsid w:val="3CF0BA1D"/>
    <w:rsid w:val="3D06F6B3"/>
    <w:rsid w:val="3D243D8B"/>
    <w:rsid w:val="3D3AE4EC"/>
    <w:rsid w:val="3D3BA2C9"/>
    <w:rsid w:val="3D76DE90"/>
    <w:rsid w:val="3E095827"/>
    <w:rsid w:val="3E3C1F52"/>
    <w:rsid w:val="3E865D8B"/>
    <w:rsid w:val="3EC178F0"/>
    <w:rsid w:val="3F919CD3"/>
    <w:rsid w:val="3FC0584A"/>
    <w:rsid w:val="4085FA3C"/>
    <w:rsid w:val="4105C59F"/>
    <w:rsid w:val="41E22B8D"/>
    <w:rsid w:val="424C53E5"/>
    <w:rsid w:val="42689577"/>
    <w:rsid w:val="429443BF"/>
    <w:rsid w:val="4317F385"/>
    <w:rsid w:val="4348FD84"/>
    <w:rsid w:val="43644FAD"/>
    <w:rsid w:val="43913024"/>
    <w:rsid w:val="43C16074"/>
    <w:rsid w:val="4586A515"/>
    <w:rsid w:val="460C6DC1"/>
    <w:rsid w:val="465B95A7"/>
    <w:rsid w:val="468CBECF"/>
    <w:rsid w:val="473F6CBB"/>
    <w:rsid w:val="474EA62F"/>
    <w:rsid w:val="47C7D2B4"/>
    <w:rsid w:val="47E73B32"/>
    <w:rsid w:val="48306378"/>
    <w:rsid w:val="4896095F"/>
    <w:rsid w:val="4915A8B7"/>
    <w:rsid w:val="4998690B"/>
    <w:rsid w:val="49A91064"/>
    <w:rsid w:val="4A43997F"/>
    <w:rsid w:val="4B681CA1"/>
    <w:rsid w:val="4BA41A71"/>
    <w:rsid w:val="4BF3705F"/>
    <w:rsid w:val="4CD748BB"/>
    <w:rsid w:val="4D8F5DB1"/>
    <w:rsid w:val="4DCA1C54"/>
    <w:rsid w:val="4E19B1BB"/>
    <w:rsid w:val="4F14B4B4"/>
    <w:rsid w:val="50B6A65A"/>
    <w:rsid w:val="50E94555"/>
    <w:rsid w:val="5123EA04"/>
    <w:rsid w:val="51267D6D"/>
    <w:rsid w:val="512A1C71"/>
    <w:rsid w:val="51E4F5B9"/>
    <w:rsid w:val="52006207"/>
    <w:rsid w:val="52C4357A"/>
    <w:rsid w:val="5315D4E0"/>
    <w:rsid w:val="53230634"/>
    <w:rsid w:val="537A039B"/>
    <w:rsid w:val="549883C4"/>
    <w:rsid w:val="54ED0CFE"/>
    <w:rsid w:val="5505C4AA"/>
    <w:rsid w:val="55674B7E"/>
    <w:rsid w:val="561A89DF"/>
    <w:rsid w:val="56749916"/>
    <w:rsid w:val="569972A9"/>
    <w:rsid w:val="57092116"/>
    <w:rsid w:val="57750830"/>
    <w:rsid w:val="57E25260"/>
    <w:rsid w:val="57F29285"/>
    <w:rsid w:val="580C92B2"/>
    <w:rsid w:val="58295C4C"/>
    <w:rsid w:val="58396B23"/>
    <w:rsid w:val="5BA8F3EB"/>
    <w:rsid w:val="5BF98579"/>
    <w:rsid w:val="5C05439B"/>
    <w:rsid w:val="5CA36B87"/>
    <w:rsid w:val="5CAC2045"/>
    <w:rsid w:val="5D0BA88E"/>
    <w:rsid w:val="5D857623"/>
    <w:rsid w:val="5F3C7E26"/>
    <w:rsid w:val="5FBC2408"/>
    <w:rsid w:val="604755F3"/>
    <w:rsid w:val="60B7167D"/>
    <w:rsid w:val="61D6AC65"/>
    <w:rsid w:val="62BDA15C"/>
    <w:rsid w:val="636C74BE"/>
    <w:rsid w:val="63A016EB"/>
    <w:rsid w:val="63B2DC2F"/>
    <w:rsid w:val="6406CC97"/>
    <w:rsid w:val="6421DACC"/>
    <w:rsid w:val="658C8044"/>
    <w:rsid w:val="65DF5581"/>
    <w:rsid w:val="66207117"/>
    <w:rsid w:val="66A2C5A4"/>
    <w:rsid w:val="67C7E6BC"/>
    <w:rsid w:val="67FF6D34"/>
    <w:rsid w:val="686BAD7F"/>
    <w:rsid w:val="6871406C"/>
    <w:rsid w:val="68834E59"/>
    <w:rsid w:val="68A4F769"/>
    <w:rsid w:val="68FBD652"/>
    <w:rsid w:val="6B2AFAF6"/>
    <w:rsid w:val="6B5371B7"/>
    <w:rsid w:val="6B6F7FD4"/>
    <w:rsid w:val="6BDE172E"/>
    <w:rsid w:val="6C2F6C1C"/>
    <w:rsid w:val="6C464827"/>
    <w:rsid w:val="6C47619E"/>
    <w:rsid w:val="6CD0BC58"/>
    <w:rsid w:val="6D3FF2BE"/>
    <w:rsid w:val="6DFF387F"/>
    <w:rsid w:val="6E479591"/>
    <w:rsid w:val="6E7D4B51"/>
    <w:rsid w:val="6F5B9A4E"/>
    <w:rsid w:val="7011EBC3"/>
    <w:rsid w:val="7052C215"/>
    <w:rsid w:val="719726B3"/>
    <w:rsid w:val="719E5CF9"/>
    <w:rsid w:val="71E34F2A"/>
    <w:rsid w:val="73501C22"/>
    <w:rsid w:val="73887220"/>
    <w:rsid w:val="73E66EBB"/>
    <w:rsid w:val="7502827B"/>
    <w:rsid w:val="753989AB"/>
    <w:rsid w:val="756472A3"/>
    <w:rsid w:val="75AD51C0"/>
    <w:rsid w:val="7786FC6F"/>
    <w:rsid w:val="77C57E86"/>
    <w:rsid w:val="77E74893"/>
    <w:rsid w:val="77F286DA"/>
    <w:rsid w:val="7906074E"/>
    <w:rsid w:val="7906193A"/>
    <w:rsid w:val="7A4A17B5"/>
    <w:rsid w:val="7A73DFCB"/>
    <w:rsid w:val="7B403820"/>
    <w:rsid w:val="7CBCD1B8"/>
    <w:rsid w:val="7CCD2458"/>
    <w:rsid w:val="7D6AE96B"/>
    <w:rsid w:val="7E04F964"/>
    <w:rsid w:val="7E6D93E6"/>
    <w:rsid w:val="7EECB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60DE"/>
  <w15:chartTrackingRefBased/>
  <w15:docId w15:val="{89F21085-2269-42DA-B478-C9D165A0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CCE"/>
  </w:style>
  <w:style w:type="paragraph" w:styleId="Heading1">
    <w:name w:val="heading 1"/>
    <w:basedOn w:val="Normal"/>
    <w:next w:val="Normal"/>
    <w:link w:val="Heading1Char"/>
    <w:uiPriority w:val="9"/>
    <w:qFormat/>
    <w:rsid w:val="00EB4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7A9F"/>
    <w:pPr>
      <w:keepNext/>
      <w:keepLines/>
      <w:spacing w:before="160" w:after="80"/>
      <w:outlineLvl w:val="1"/>
    </w:pPr>
    <w:rPr>
      <w:rFonts w:ascii="Verdana" w:eastAsiaTheme="majorEastAsia" w:hAnsi="Verdana" w:cstheme="majorBidi"/>
      <w:b/>
      <w:sz w:val="28"/>
      <w:szCs w:val="32"/>
    </w:rPr>
  </w:style>
  <w:style w:type="paragraph" w:styleId="Heading3">
    <w:name w:val="heading 3"/>
    <w:basedOn w:val="Normal"/>
    <w:next w:val="Normal"/>
    <w:link w:val="Heading3Char"/>
    <w:uiPriority w:val="9"/>
    <w:semiHidden/>
    <w:unhideWhenUsed/>
    <w:qFormat/>
    <w:rsid w:val="00EB4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7A9F"/>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EB4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444"/>
    <w:rPr>
      <w:rFonts w:eastAsiaTheme="majorEastAsia" w:cstheme="majorBidi"/>
      <w:color w:val="272727" w:themeColor="text1" w:themeTint="D8"/>
    </w:rPr>
  </w:style>
  <w:style w:type="paragraph" w:styleId="Title">
    <w:name w:val="Title"/>
    <w:basedOn w:val="Normal"/>
    <w:next w:val="Normal"/>
    <w:link w:val="TitleChar"/>
    <w:uiPriority w:val="10"/>
    <w:qFormat/>
    <w:rsid w:val="00EB4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444"/>
    <w:pPr>
      <w:spacing w:before="160"/>
      <w:jc w:val="center"/>
    </w:pPr>
    <w:rPr>
      <w:i/>
      <w:iCs/>
      <w:color w:val="404040" w:themeColor="text1" w:themeTint="BF"/>
    </w:rPr>
  </w:style>
  <w:style w:type="character" w:customStyle="1" w:styleId="QuoteChar">
    <w:name w:val="Quote Char"/>
    <w:basedOn w:val="DefaultParagraphFont"/>
    <w:link w:val="Quote"/>
    <w:uiPriority w:val="29"/>
    <w:rsid w:val="00EB4444"/>
    <w:rPr>
      <w:i/>
      <w:iCs/>
      <w:color w:val="404040" w:themeColor="text1" w:themeTint="BF"/>
    </w:rPr>
  </w:style>
  <w:style w:type="paragraph" w:styleId="ListParagraph">
    <w:name w:val="List Paragraph"/>
    <w:basedOn w:val="Normal"/>
    <w:uiPriority w:val="34"/>
    <w:qFormat/>
    <w:rsid w:val="00EB4444"/>
    <w:pPr>
      <w:ind w:left="720"/>
      <w:contextualSpacing/>
    </w:pPr>
  </w:style>
  <w:style w:type="character" w:styleId="IntenseEmphasis">
    <w:name w:val="Intense Emphasis"/>
    <w:basedOn w:val="DefaultParagraphFont"/>
    <w:uiPriority w:val="21"/>
    <w:qFormat/>
    <w:rsid w:val="00EB4444"/>
    <w:rPr>
      <w:i/>
      <w:iCs/>
      <w:color w:val="0F4761" w:themeColor="accent1" w:themeShade="BF"/>
    </w:rPr>
  </w:style>
  <w:style w:type="paragraph" w:styleId="IntenseQuote">
    <w:name w:val="Intense Quote"/>
    <w:basedOn w:val="Normal"/>
    <w:next w:val="Normal"/>
    <w:link w:val="IntenseQuoteChar"/>
    <w:uiPriority w:val="30"/>
    <w:qFormat/>
    <w:rsid w:val="00EB4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444"/>
    <w:rPr>
      <w:i/>
      <w:iCs/>
      <w:color w:val="0F4761" w:themeColor="accent1" w:themeShade="BF"/>
    </w:rPr>
  </w:style>
  <w:style w:type="character" w:styleId="IntenseReference">
    <w:name w:val="Intense Reference"/>
    <w:basedOn w:val="DefaultParagraphFont"/>
    <w:uiPriority w:val="32"/>
    <w:qFormat/>
    <w:rsid w:val="00EB4444"/>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52360A"/>
    <w:rPr>
      <w:b/>
      <w:bCs/>
    </w:rPr>
  </w:style>
  <w:style w:type="paragraph" w:styleId="NormalWeb">
    <w:name w:val="Normal (Web)"/>
    <w:basedOn w:val="Normal"/>
    <w:uiPriority w:val="99"/>
    <w:semiHidden/>
    <w:unhideWhenUsed/>
    <w:rsid w:val="002654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65420"/>
    <w:rPr>
      <w:color w:val="0000FF"/>
      <w:u w:val="single"/>
    </w:rPr>
  </w:style>
  <w:style w:type="character" w:styleId="UnresolvedMention">
    <w:name w:val="Unresolved Mention"/>
    <w:basedOn w:val="DefaultParagraphFont"/>
    <w:uiPriority w:val="99"/>
    <w:semiHidden/>
    <w:unhideWhenUsed/>
    <w:rsid w:val="00265420"/>
    <w:rPr>
      <w:color w:val="605E5C"/>
      <w:shd w:val="clear" w:color="auto" w:fill="E1DFDD"/>
    </w:rPr>
  </w:style>
  <w:style w:type="paragraph" w:styleId="TOC2">
    <w:name w:val="toc 2"/>
    <w:basedOn w:val="Normal"/>
    <w:next w:val="Normal"/>
    <w:autoRedefine/>
    <w:uiPriority w:val="39"/>
    <w:unhideWhenUsed/>
    <w:rsid w:val="00410603"/>
    <w:pPr>
      <w:spacing w:after="100"/>
      <w:ind w:left="220"/>
    </w:pPr>
  </w:style>
  <w:style w:type="paragraph" w:styleId="Revision">
    <w:name w:val="Revision"/>
    <w:hidden/>
    <w:uiPriority w:val="99"/>
    <w:semiHidden/>
    <w:rsid w:val="00D30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62458">
      <w:bodyDiv w:val="1"/>
      <w:marLeft w:val="0"/>
      <w:marRight w:val="0"/>
      <w:marTop w:val="0"/>
      <w:marBottom w:val="0"/>
      <w:divBdr>
        <w:top w:val="none" w:sz="0" w:space="0" w:color="auto"/>
        <w:left w:val="none" w:sz="0" w:space="0" w:color="auto"/>
        <w:bottom w:val="none" w:sz="0" w:space="0" w:color="auto"/>
        <w:right w:val="none" w:sz="0" w:space="0" w:color="auto"/>
      </w:divBdr>
    </w:div>
    <w:div w:id="316032632">
      <w:bodyDiv w:val="1"/>
      <w:marLeft w:val="0"/>
      <w:marRight w:val="0"/>
      <w:marTop w:val="0"/>
      <w:marBottom w:val="0"/>
      <w:divBdr>
        <w:top w:val="none" w:sz="0" w:space="0" w:color="auto"/>
        <w:left w:val="none" w:sz="0" w:space="0" w:color="auto"/>
        <w:bottom w:val="none" w:sz="0" w:space="0" w:color="auto"/>
        <w:right w:val="none" w:sz="0" w:space="0" w:color="auto"/>
      </w:divBdr>
    </w:div>
    <w:div w:id="603000995">
      <w:bodyDiv w:val="1"/>
      <w:marLeft w:val="0"/>
      <w:marRight w:val="0"/>
      <w:marTop w:val="0"/>
      <w:marBottom w:val="0"/>
      <w:divBdr>
        <w:top w:val="none" w:sz="0" w:space="0" w:color="auto"/>
        <w:left w:val="none" w:sz="0" w:space="0" w:color="auto"/>
        <w:bottom w:val="none" w:sz="0" w:space="0" w:color="auto"/>
        <w:right w:val="none" w:sz="0" w:space="0" w:color="auto"/>
      </w:divBdr>
    </w:div>
    <w:div w:id="20861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95CFF-C2B2-404E-BD67-ECABE877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1245246</vt:i4>
      </vt:variant>
      <vt:variant>
        <vt:i4>11</vt:i4>
      </vt:variant>
      <vt:variant>
        <vt:i4>0</vt:i4>
      </vt:variant>
      <vt:variant>
        <vt:i4>5</vt:i4>
      </vt:variant>
      <vt:variant>
        <vt:lpwstr/>
      </vt:variant>
      <vt:variant>
        <vt:lpwstr>_Toc181783680</vt:lpwstr>
      </vt:variant>
      <vt:variant>
        <vt:i4>1835070</vt:i4>
      </vt:variant>
      <vt:variant>
        <vt:i4>8</vt:i4>
      </vt:variant>
      <vt:variant>
        <vt:i4>0</vt:i4>
      </vt:variant>
      <vt:variant>
        <vt:i4>5</vt:i4>
      </vt:variant>
      <vt:variant>
        <vt:lpwstr/>
      </vt:variant>
      <vt:variant>
        <vt:lpwstr>_Toc181783679</vt:lpwstr>
      </vt:variant>
      <vt:variant>
        <vt:i4>1835070</vt:i4>
      </vt:variant>
      <vt:variant>
        <vt:i4>5</vt:i4>
      </vt:variant>
      <vt:variant>
        <vt:i4>0</vt:i4>
      </vt:variant>
      <vt:variant>
        <vt:i4>5</vt:i4>
      </vt:variant>
      <vt:variant>
        <vt:lpwstr/>
      </vt:variant>
      <vt:variant>
        <vt:lpwstr>_Toc181783678</vt:lpwstr>
      </vt:variant>
      <vt:variant>
        <vt:i4>1835070</vt:i4>
      </vt:variant>
      <vt:variant>
        <vt:i4>2</vt:i4>
      </vt:variant>
      <vt:variant>
        <vt:i4>0</vt:i4>
      </vt:variant>
      <vt:variant>
        <vt:i4>5</vt:i4>
      </vt:variant>
      <vt:variant>
        <vt:lpwstr/>
      </vt:variant>
      <vt:variant>
        <vt:lpwstr>_Toc181783677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Adam B.</dc:creator>
  <cp:keywords/>
  <dc:description/>
  <cp:lastModifiedBy>Davis, David P.</cp:lastModifiedBy>
  <cp:revision>6</cp:revision>
  <dcterms:created xsi:type="dcterms:W3CDTF">2025-07-08T17:41:00Z</dcterms:created>
  <dcterms:modified xsi:type="dcterms:W3CDTF">2025-07-08T17:47:00Z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2024-10-30T13:59:31Z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6e329fd7-eb99-47a3-9c4f-1342f834df79</vt:lpwstr>
  </property>
  <property fmtid="{D5CDD505-2E9C-101B-9397-08002B2CF9AE}" pid="8" name="MSIP_Label_1ecdf243-b9b0-4f63-8694-76742e4201b7_ContentBits">
    <vt:lpwstr>0</vt:lpwstr>
  </property>
</Properties>
</file>