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3A31F" w14:textId="77777777" w:rsidR="00DF6C38" w:rsidRPr="00DF6C38" w:rsidRDefault="00DF6C38" w:rsidP="00DF6C38">
      <w:pPr>
        <w:pStyle w:val="Heading1"/>
        <w:spacing w:before="120" w:after="120"/>
      </w:pPr>
      <w:bookmarkStart w:id="0" w:name="_top"/>
      <w:bookmarkEnd w:id="0"/>
      <w:r w:rsidRPr="00DF6C38">
        <w:t>Member Education Talking Points</w:t>
      </w:r>
      <w:r>
        <w:t>:  Prior Authorizations / Exceptions</w:t>
      </w:r>
    </w:p>
    <w:p w14:paraId="262BB071" w14:textId="6FB2442C" w:rsidR="0019727F" w:rsidRDefault="00A356F6">
      <w:pPr>
        <w:pStyle w:val="TOC2"/>
        <w:rPr>
          <w:rFonts w:asciiTheme="minorHAnsi" w:eastAsiaTheme="minorEastAsia" w:hAnsiTheme="minorHAnsi"/>
          <w:noProof/>
          <w:szCs w:val="24"/>
        </w:rPr>
      </w:pPr>
      <w:r>
        <w:fldChar w:fldCharType="begin"/>
      </w:r>
      <w:r>
        <w:instrText xml:space="preserve"> TOC \o "2-2" \n \p " " \h \z \u </w:instrText>
      </w:r>
      <w:r>
        <w:fldChar w:fldCharType="separate"/>
      </w:r>
      <w:hyperlink w:anchor="_Toc193464874" w:history="1">
        <w:r w:rsidR="0019727F" w:rsidRPr="004B10FA">
          <w:rPr>
            <w:rStyle w:val="Hyperlink"/>
            <w:noProof/>
          </w:rPr>
          <w:t>How a PA Works and Why is a PA Required?</w:t>
        </w:r>
      </w:hyperlink>
    </w:p>
    <w:p w14:paraId="751CB4B1" w14:textId="65551A87" w:rsidR="0019727F" w:rsidRDefault="0019727F">
      <w:pPr>
        <w:pStyle w:val="TOC2"/>
        <w:rPr>
          <w:rFonts w:asciiTheme="minorHAnsi" w:eastAsiaTheme="minorEastAsia" w:hAnsiTheme="minorHAnsi"/>
          <w:noProof/>
          <w:szCs w:val="24"/>
        </w:rPr>
      </w:pPr>
      <w:hyperlink w:anchor="_Toc193464875" w:history="1">
        <w:r w:rsidRPr="004B10FA">
          <w:rPr>
            <w:rStyle w:val="Hyperlink"/>
            <w:noProof/>
          </w:rPr>
          <w:t>Member has Questions about Paying for a Claim Before the PA is Approved</w:t>
        </w:r>
      </w:hyperlink>
    </w:p>
    <w:p w14:paraId="694CDBBD" w14:textId="2AEBE9BB" w:rsidR="0019727F" w:rsidRDefault="0019727F">
      <w:pPr>
        <w:pStyle w:val="TOC2"/>
        <w:rPr>
          <w:rFonts w:asciiTheme="minorHAnsi" w:eastAsiaTheme="minorEastAsia" w:hAnsiTheme="minorHAnsi"/>
          <w:noProof/>
          <w:szCs w:val="24"/>
        </w:rPr>
      </w:pPr>
      <w:hyperlink w:anchor="_Toc193464876" w:history="1">
        <w:r w:rsidRPr="004B10FA">
          <w:rPr>
            <w:rStyle w:val="Hyperlink"/>
            <w:noProof/>
          </w:rPr>
          <w:t>Member Education on How the PA Will Be Approved and the Status on Caremark.com</w:t>
        </w:r>
      </w:hyperlink>
    </w:p>
    <w:p w14:paraId="4496E22A" w14:textId="3B8DFD72" w:rsidR="0019727F" w:rsidRDefault="0019727F">
      <w:pPr>
        <w:pStyle w:val="TOC2"/>
        <w:rPr>
          <w:rFonts w:asciiTheme="minorHAnsi" w:eastAsiaTheme="minorEastAsia" w:hAnsiTheme="minorHAnsi"/>
          <w:noProof/>
          <w:szCs w:val="24"/>
        </w:rPr>
      </w:pPr>
      <w:hyperlink w:anchor="_Toc193464877" w:history="1">
        <w:r w:rsidRPr="004B10FA">
          <w:rPr>
            <w:rStyle w:val="Hyperlink"/>
            <w:noProof/>
          </w:rPr>
          <w:t>Member is Inquiring about Why a PA May Need Renewal</w:t>
        </w:r>
      </w:hyperlink>
    </w:p>
    <w:p w14:paraId="6B6F2C70" w14:textId="3C484EBB" w:rsidR="0019727F" w:rsidRDefault="0019727F">
      <w:pPr>
        <w:pStyle w:val="TOC2"/>
        <w:rPr>
          <w:rFonts w:asciiTheme="minorHAnsi" w:eastAsiaTheme="minorEastAsia" w:hAnsiTheme="minorHAnsi"/>
          <w:noProof/>
          <w:szCs w:val="24"/>
        </w:rPr>
      </w:pPr>
      <w:hyperlink w:anchor="_Toc193464878" w:history="1">
        <w:r w:rsidRPr="004B10FA">
          <w:rPr>
            <w:rStyle w:val="Hyperlink"/>
            <w:noProof/>
          </w:rPr>
          <w:t>Member Needs Education about Why a PA was Denied</w:t>
        </w:r>
      </w:hyperlink>
    </w:p>
    <w:p w14:paraId="1325BA99" w14:textId="2308B3F5" w:rsidR="00DF6C38" w:rsidRPr="00DF6C38" w:rsidRDefault="00A356F6" w:rsidP="00DF6C38">
      <w:r>
        <w:fldChar w:fldCharType="end"/>
      </w:r>
    </w:p>
    <w:p w14:paraId="62AA2A60" w14:textId="6EB8F166" w:rsidR="009360E5" w:rsidRPr="00DF6C38" w:rsidRDefault="00DF6C38" w:rsidP="00DF6C38">
      <w:r w:rsidRPr="00DF6C38">
        <w:rPr>
          <w:b/>
          <w:bCs/>
        </w:rPr>
        <w:t>Description:</w:t>
      </w:r>
      <w:r w:rsidRPr="00DF6C38">
        <w:t xml:space="preserve">  Overview of the Prior Authorization (PA) or Exception process and requirements</w:t>
      </w:r>
      <w:r w:rsidR="00A06F35">
        <w:t xml:space="preserve"> with talk tracks</w:t>
      </w:r>
      <w:r w:rsidRPr="00DF6C38">
        <w:t>.</w:t>
      </w:r>
    </w:p>
    <w:p w14:paraId="4D68372C" w14:textId="3AEF187F" w:rsidR="009360E5" w:rsidRPr="00DF6C38" w:rsidRDefault="009360E5" w:rsidP="00EE40AA"/>
    <w:tbl>
      <w:tblPr>
        <w:tblStyle w:val="TableGrid"/>
        <w:tblW w:w="5000" w:type="pct"/>
        <w:tblLook w:val="04A0" w:firstRow="1" w:lastRow="0" w:firstColumn="1" w:lastColumn="0" w:noHBand="0" w:noVBand="1"/>
      </w:tblPr>
      <w:tblGrid>
        <w:gridCol w:w="9350"/>
      </w:tblGrid>
      <w:tr w:rsidR="00DF6C38" w:rsidRPr="00DF6C38" w14:paraId="03D64895" w14:textId="77777777" w:rsidTr="00DF6C38">
        <w:tc>
          <w:tcPr>
            <w:tcW w:w="5000" w:type="pct"/>
            <w:shd w:val="clear" w:color="auto" w:fill="BFBFBF" w:themeFill="background1" w:themeFillShade="BF"/>
          </w:tcPr>
          <w:p w14:paraId="3219772A" w14:textId="7C9E419D" w:rsidR="009360E5" w:rsidRPr="00DF6C38" w:rsidRDefault="00DF6C38" w:rsidP="00DF6C38">
            <w:pPr>
              <w:pStyle w:val="Heading2"/>
            </w:pPr>
            <w:bookmarkStart w:id="1" w:name="_Toc193464874"/>
            <w:r w:rsidRPr="00DF6C38">
              <w:t xml:space="preserve">How a PA </w:t>
            </w:r>
            <w:r w:rsidR="00211833">
              <w:t>W</w:t>
            </w:r>
            <w:r w:rsidRPr="00DF6C38">
              <w:t xml:space="preserve">orks </w:t>
            </w:r>
            <w:r w:rsidR="00211833">
              <w:t>and</w:t>
            </w:r>
            <w:r w:rsidRPr="00DF6C38">
              <w:t xml:space="preserve"> Why is a PA </w:t>
            </w:r>
            <w:r w:rsidR="00211833">
              <w:t>R</w:t>
            </w:r>
            <w:r w:rsidRPr="00DF6C38">
              <w:t>equired</w:t>
            </w:r>
            <w:r w:rsidR="00211833">
              <w:t>?</w:t>
            </w:r>
            <w:bookmarkEnd w:id="1"/>
            <w:r w:rsidRPr="00DF6C38">
              <w:t xml:space="preserve"> </w:t>
            </w:r>
          </w:p>
        </w:tc>
      </w:tr>
    </w:tbl>
    <w:p w14:paraId="098F2FBB" w14:textId="198A242C" w:rsidR="00DF6C38" w:rsidRPr="00DF6C38" w:rsidRDefault="00DF6C38" w:rsidP="00211833">
      <w:r w:rsidRPr="00DF6C38">
        <w:t>Requirements depend on the benefit plan. Here are common reasons a Prior Authorization (PA) or Exception may be needed:</w:t>
      </w:r>
    </w:p>
    <w:p w14:paraId="36137A2E" w14:textId="79AE2FA8" w:rsidR="00DF6C38" w:rsidRPr="00DF6C38" w:rsidRDefault="00DF6C38" w:rsidP="00211833">
      <w:pPr>
        <w:pStyle w:val="ListParagraph"/>
        <w:numPr>
          <w:ilvl w:val="0"/>
          <w:numId w:val="5"/>
        </w:numPr>
      </w:pPr>
      <w:r w:rsidRPr="00DF6C38">
        <w:t>There may be a lower cost option that’s just as effective.</w:t>
      </w:r>
    </w:p>
    <w:p w14:paraId="24430829" w14:textId="2A673944" w:rsidR="00DF6C38" w:rsidRPr="00DF6C38" w:rsidRDefault="00DF6C38" w:rsidP="00211833">
      <w:pPr>
        <w:pStyle w:val="ListParagraph"/>
        <w:numPr>
          <w:ilvl w:val="0"/>
          <w:numId w:val="5"/>
        </w:numPr>
      </w:pPr>
      <w:r w:rsidRPr="00DF6C38">
        <w:t>The medication has potential for misuse or abuse.</w:t>
      </w:r>
    </w:p>
    <w:p w14:paraId="3A9CD161" w14:textId="550CBBA5" w:rsidR="00DF6C38" w:rsidRDefault="00DF6C38" w:rsidP="00211833">
      <w:pPr>
        <w:pStyle w:val="ListParagraph"/>
        <w:numPr>
          <w:ilvl w:val="0"/>
          <w:numId w:val="5"/>
        </w:numPr>
      </w:pPr>
      <w:r w:rsidRPr="00DF6C38">
        <w:t xml:space="preserve">The medication is for certain conditions or diagnoses. </w:t>
      </w:r>
    </w:p>
    <w:p w14:paraId="4E8D530A" w14:textId="04C9240A" w:rsidR="000E0AD2" w:rsidRPr="00DF6C38" w:rsidRDefault="0019727F" w:rsidP="00211833">
      <w:pPr>
        <w:pStyle w:val="ListParagraph"/>
        <w:numPr>
          <w:ilvl w:val="0"/>
          <w:numId w:val="5"/>
        </w:numPr>
      </w:pPr>
      <w:r>
        <w:t>The medication is u</w:t>
      </w:r>
      <w:r w:rsidR="000E0AD2">
        <w:t xml:space="preserve">sed for conditions that are not included </w:t>
      </w:r>
      <w:r w:rsidR="004F0A80">
        <w:t>in the pharmacy benefit, such as cosmetic uses.</w:t>
      </w:r>
    </w:p>
    <w:p w14:paraId="3F3E9FA5" w14:textId="5B4DF630" w:rsidR="00DF6C38" w:rsidRPr="00DF6C38" w:rsidRDefault="00DF6C38" w:rsidP="00211833">
      <w:r w:rsidRPr="00DF6C38">
        <w:t> </w:t>
      </w:r>
    </w:p>
    <w:p w14:paraId="0FB28E06" w14:textId="6AE7742C" w:rsidR="00DF6C38" w:rsidRPr="00DF6C38" w:rsidRDefault="00DF6C38" w:rsidP="00211833">
      <w:r w:rsidRPr="00DF6C38">
        <w:t xml:space="preserve">Additional information that can be provided: </w:t>
      </w:r>
      <w:r w:rsidR="00211833">
        <w:t xml:space="preserve"> </w:t>
      </w:r>
      <w:r w:rsidR="008A2941">
        <w:rPr>
          <w:noProof/>
        </w:rPr>
        <w:drawing>
          <wp:inline distT="0" distB="0" distL="0" distR="0" wp14:anchorId="4C609C7E" wp14:editId="4F8DE2C4">
            <wp:extent cx="238158" cy="209579"/>
            <wp:effectExtent l="0" t="0" r="9525" b="0"/>
            <wp:docPr id="143068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682563" name="Picture 1430682563"/>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8A2941">
        <w:t xml:space="preserve"> </w:t>
      </w:r>
      <w:r w:rsidRPr="00DF6C38">
        <w:t>When an item requires a PA or an Exception</w:t>
      </w:r>
      <w:r w:rsidR="00211833">
        <w:t>,</w:t>
      </w:r>
      <w:r w:rsidRPr="00DF6C38">
        <w:t xml:space="preserve"> it will not be considered for coverage under your prescription plan until your prescriber provides additional clinical information to our Prior Authorization department. Once received, the information is reviewed by the Prior Authorization department. If criteria are met (approved), the authorization is applied to the system to allow coverage. The approval or denial is provided to your doctor’s office, and a letter of approval or denial will be mailed to you. The requestor will not be able to request an Appeal prior to PA or Exception being completed and denied.</w:t>
      </w:r>
    </w:p>
    <w:p w14:paraId="4A6965B3" w14:textId="77777777" w:rsidR="009360E5" w:rsidRPr="00DF6C38" w:rsidRDefault="009360E5" w:rsidP="00DF6C38"/>
    <w:p w14:paraId="1A064AE1" w14:textId="77777777" w:rsidR="009360E5" w:rsidRPr="00DF6C38" w:rsidRDefault="009360E5" w:rsidP="00DF6C38">
      <w:pPr>
        <w:jc w:val="right"/>
      </w:pPr>
      <w:hyperlink w:anchor="_top" w:history="1">
        <w:r w:rsidRPr="00DF6C38">
          <w:rPr>
            <w:rStyle w:val="Hyperlink"/>
          </w:rPr>
          <w:t>Top of the Document</w:t>
        </w:r>
      </w:hyperlink>
    </w:p>
    <w:tbl>
      <w:tblPr>
        <w:tblStyle w:val="TableGrid"/>
        <w:tblW w:w="5000" w:type="pct"/>
        <w:tblLook w:val="04A0" w:firstRow="1" w:lastRow="0" w:firstColumn="1" w:lastColumn="0" w:noHBand="0" w:noVBand="1"/>
      </w:tblPr>
      <w:tblGrid>
        <w:gridCol w:w="9350"/>
      </w:tblGrid>
      <w:tr w:rsidR="00DF6C38" w:rsidRPr="00DF6C38" w14:paraId="62CF689C" w14:textId="77777777" w:rsidTr="00DF6C38">
        <w:tc>
          <w:tcPr>
            <w:tcW w:w="5000" w:type="pct"/>
            <w:shd w:val="clear" w:color="auto" w:fill="BFBFBF" w:themeFill="background1" w:themeFillShade="BF"/>
          </w:tcPr>
          <w:p w14:paraId="7E735501" w14:textId="5D488CD6" w:rsidR="009360E5" w:rsidRPr="00DF6C38" w:rsidRDefault="008A2941" w:rsidP="00DF6C38">
            <w:pPr>
              <w:pStyle w:val="Heading2"/>
            </w:pPr>
            <w:bookmarkStart w:id="2" w:name="_Toc193464875"/>
            <w:r>
              <w:t>M</w:t>
            </w:r>
            <w:r w:rsidR="00DF6C38" w:rsidRPr="00DF6C38">
              <w:t xml:space="preserve">ember has </w:t>
            </w:r>
            <w:r>
              <w:t>Q</w:t>
            </w:r>
            <w:r w:rsidR="00DF6C38" w:rsidRPr="00DF6C38">
              <w:t xml:space="preserve">uestions about </w:t>
            </w:r>
            <w:r>
              <w:t>P</w:t>
            </w:r>
            <w:r w:rsidR="00DF6C38" w:rsidRPr="00DF6C38">
              <w:t xml:space="preserve">aying for a </w:t>
            </w:r>
            <w:r>
              <w:t>C</w:t>
            </w:r>
            <w:r w:rsidR="00DF6C38" w:rsidRPr="00DF6C38">
              <w:t xml:space="preserve">laim </w:t>
            </w:r>
            <w:r>
              <w:t>B</w:t>
            </w:r>
            <w:r w:rsidR="00DF6C38" w:rsidRPr="00DF6C38">
              <w:t xml:space="preserve">efore the PA is </w:t>
            </w:r>
            <w:r>
              <w:t>A</w:t>
            </w:r>
            <w:r w:rsidR="00DF6C38" w:rsidRPr="00DF6C38">
              <w:t>pproved</w:t>
            </w:r>
            <w:bookmarkEnd w:id="2"/>
          </w:p>
        </w:tc>
      </w:tr>
    </w:tbl>
    <w:p w14:paraId="70357BE6" w14:textId="03205E90" w:rsidR="00DF6C38" w:rsidRPr="00211833" w:rsidRDefault="00DF6C38" w:rsidP="00211833">
      <w:pPr>
        <w:pStyle w:val="ListParagraph"/>
        <w:numPr>
          <w:ilvl w:val="0"/>
          <w:numId w:val="7"/>
        </w:numPr>
      </w:pPr>
      <w:r w:rsidRPr="00211833">
        <w:rPr>
          <w:rFonts w:eastAsia="Times New Roman"/>
          <w:b/>
          <w:bCs/>
          <w:kern w:val="0"/>
          <w14:ligatures w14:val="none"/>
        </w:rPr>
        <w:t>If the member wishes to use a coupon or another form of prescription assistance:</w:t>
      </w:r>
      <w:r w:rsidRPr="00211833">
        <w:t xml:space="preserve"> </w:t>
      </w:r>
      <w:r w:rsidR="00211833">
        <w:t xml:space="preserve"> </w:t>
      </w:r>
      <w:r w:rsidR="008A2941">
        <w:rPr>
          <w:noProof/>
        </w:rPr>
        <w:drawing>
          <wp:inline distT="0" distB="0" distL="0" distR="0" wp14:anchorId="0BD87F40" wp14:editId="20924C1B">
            <wp:extent cx="238158" cy="209579"/>
            <wp:effectExtent l="0" t="0" r="9525" b="0"/>
            <wp:docPr id="230942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2665" name="Picture 230942665"/>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8A2941">
        <w:t xml:space="preserve"> </w:t>
      </w:r>
      <w:r w:rsidRPr="00211833">
        <w:t>You may have the medication filled at the retail pharmacy by paying with coupon/prescription assistance before your prior authorization is approved. Please note</w:t>
      </w:r>
      <w:r w:rsidR="00211833">
        <w:t>,</w:t>
      </w:r>
      <w:r w:rsidRPr="00211833">
        <w:t xml:space="preserve"> if you pay with coupon/prescription assistance and then the prior authorization is approved</w:t>
      </w:r>
      <w:r w:rsidR="00211833">
        <w:t>,</w:t>
      </w:r>
      <w:r w:rsidRPr="00211833">
        <w:t xml:space="preserve"> the claim will not be eligible for reimbursement. </w:t>
      </w:r>
    </w:p>
    <w:p w14:paraId="1FA3A835" w14:textId="77777777" w:rsidR="00211833" w:rsidRDefault="00211833" w:rsidP="00211833">
      <w:pPr>
        <w:rPr>
          <w:rFonts w:eastAsia="Times New Roman"/>
          <w:b/>
          <w:bCs/>
          <w:kern w:val="0"/>
          <w14:ligatures w14:val="none"/>
        </w:rPr>
      </w:pPr>
    </w:p>
    <w:p w14:paraId="5D72252D" w14:textId="63856DA4" w:rsidR="00DF6C38" w:rsidRPr="00211833" w:rsidRDefault="00DF6C38" w:rsidP="00211833">
      <w:pPr>
        <w:pStyle w:val="ListParagraph"/>
        <w:numPr>
          <w:ilvl w:val="0"/>
          <w:numId w:val="7"/>
        </w:numPr>
      </w:pPr>
      <w:r w:rsidRPr="00211833">
        <w:rPr>
          <w:rFonts w:eastAsia="Times New Roman"/>
          <w:b/>
          <w:bCs/>
          <w:kern w:val="0"/>
          <w14:ligatures w14:val="none"/>
        </w:rPr>
        <w:t xml:space="preserve">If the member </w:t>
      </w:r>
      <w:r w:rsidRPr="00211833">
        <w:rPr>
          <w:b/>
          <w:bCs/>
        </w:rPr>
        <w:t xml:space="preserve">wishes </w:t>
      </w:r>
      <w:r w:rsidRPr="00211833">
        <w:rPr>
          <w:rFonts w:eastAsia="Times New Roman"/>
          <w:b/>
          <w:bCs/>
          <w:kern w:val="0"/>
          <w14:ligatures w14:val="none"/>
        </w:rPr>
        <w:t>to pay cash out of pocket:</w:t>
      </w:r>
      <w:r w:rsidRPr="00211833">
        <w:t xml:space="preserve"> </w:t>
      </w:r>
      <w:r w:rsidR="00211833">
        <w:t xml:space="preserve"> </w:t>
      </w:r>
      <w:r w:rsidR="008A2941">
        <w:rPr>
          <w:noProof/>
        </w:rPr>
        <w:drawing>
          <wp:inline distT="0" distB="0" distL="0" distR="0" wp14:anchorId="10CC0718" wp14:editId="7E38E760">
            <wp:extent cx="238158" cy="209579"/>
            <wp:effectExtent l="0" t="0" r="9525" b="0"/>
            <wp:docPr id="9446079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2665" name="Picture 230942665"/>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sidR="008A2941">
        <w:t xml:space="preserve"> </w:t>
      </w:r>
      <w:r w:rsidRPr="00211833">
        <w:t>You may have the medication filled at the retail pharmacy by paying cash out of pocket before your prior authorization is approved. If your prior authorization is approved, it will be back dated 30 days. If you paid cash out of pocket during the 30-day back period, before the prior authorization was approved</w:t>
      </w:r>
      <w:r w:rsidR="00211833">
        <w:t>,</w:t>
      </w:r>
      <w:r w:rsidRPr="00211833">
        <w:t xml:space="preserve"> you can submit a claim for reimbursement. </w:t>
      </w:r>
    </w:p>
    <w:p w14:paraId="7F091C24" w14:textId="77777777" w:rsidR="00DF6C38" w:rsidRPr="00DF6C38" w:rsidRDefault="00DF6C38" w:rsidP="00DF6C38">
      <w:pPr>
        <w:pStyle w:val="NormalWeb"/>
        <w:spacing w:before="120" w:beforeAutospacing="0" w:after="120" w:afterAutospacing="0"/>
        <w:rPr>
          <w:rFonts w:ascii="Verdana" w:hAnsi="Verdana" w:cs="Calibri"/>
          <w:sz w:val="22"/>
          <w:szCs w:val="22"/>
        </w:rPr>
      </w:pPr>
      <w:r w:rsidRPr="00DF6C38">
        <w:rPr>
          <w:rFonts w:ascii="Verdana" w:hAnsi="Verdana" w:cs="Calibri"/>
          <w:sz w:val="22"/>
          <w:szCs w:val="22"/>
        </w:rPr>
        <w:t> </w:t>
      </w:r>
    </w:p>
    <w:p w14:paraId="3CA5956F" w14:textId="77777777" w:rsidR="009360E5" w:rsidRPr="00DF6C38" w:rsidRDefault="009360E5" w:rsidP="00DF6C38">
      <w:pPr>
        <w:jc w:val="right"/>
      </w:pPr>
      <w:hyperlink w:anchor="_top" w:history="1">
        <w:r w:rsidRPr="00DF6C38">
          <w:rPr>
            <w:rStyle w:val="Hyperlink"/>
          </w:rPr>
          <w:t>Top of the Document</w:t>
        </w:r>
      </w:hyperlink>
    </w:p>
    <w:tbl>
      <w:tblPr>
        <w:tblStyle w:val="TableGrid"/>
        <w:tblW w:w="5000" w:type="pct"/>
        <w:tblLook w:val="04A0" w:firstRow="1" w:lastRow="0" w:firstColumn="1" w:lastColumn="0" w:noHBand="0" w:noVBand="1"/>
      </w:tblPr>
      <w:tblGrid>
        <w:gridCol w:w="9350"/>
      </w:tblGrid>
      <w:tr w:rsidR="00DF6C38" w:rsidRPr="00DF6C38" w14:paraId="250DDAF2" w14:textId="77777777" w:rsidTr="009A4A42">
        <w:tc>
          <w:tcPr>
            <w:tcW w:w="5000" w:type="pct"/>
            <w:shd w:val="clear" w:color="auto" w:fill="BFBFBF" w:themeFill="background1" w:themeFillShade="BF"/>
          </w:tcPr>
          <w:p w14:paraId="3762A987" w14:textId="786009F3" w:rsidR="009360E5" w:rsidRPr="00DF6C38" w:rsidRDefault="008A2941" w:rsidP="00DF6C38">
            <w:pPr>
              <w:pStyle w:val="Heading2"/>
            </w:pPr>
            <w:bookmarkStart w:id="3" w:name="_Toc193464876"/>
            <w:r>
              <w:t>M</w:t>
            </w:r>
            <w:r w:rsidR="00DF6C38" w:rsidRPr="00DF6C38">
              <w:t>ember</w:t>
            </w:r>
            <w:r>
              <w:t xml:space="preserve"> Education</w:t>
            </w:r>
            <w:r w:rsidR="00DF6C38" w:rsidRPr="00DF6C38">
              <w:t xml:space="preserve"> on </w:t>
            </w:r>
            <w:r>
              <w:t>H</w:t>
            </w:r>
            <w:r w:rsidR="00DF6C38" w:rsidRPr="00DF6C38">
              <w:t xml:space="preserve">ow the PA </w:t>
            </w:r>
            <w:r>
              <w:t>W</w:t>
            </w:r>
            <w:r w:rsidR="00DF6C38" w:rsidRPr="00DF6C38">
              <w:t xml:space="preserve">ill </w:t>
            </w:r>
            <w:r>
              <w:t>B</w:t>
            </w:r>
            <w:r w:rsidR="00DF6C38" w:rsidRPr="00DF6C38">
              <w:t xml:space="preserve">e </w:t>
            </w:r>
            <w:r>
              <w:t>A</w:t>
            </w:r>
            <w:r w:rsidR="00DF6C38" w:rsidRPr="00DF6C38">
              <w:t xml:space="preserve">pproved and the </w:t>
            </w:r>
            <w:r>
              <w:t>S</w:t>
            </w:r>
            <w:r w:rsidR="00DF6C38" w:rsidRPr="00DF6C38">
              <w:t>tatus on Caremark.com</w:t>
            </w:r>
            <w:bookmarkEnd w:id="3"/>
          </w:p>
        </w:tc>
      </w:tr>
    </w:tbl>
    <w:p w14:paraId="39F063A6" w14:textId="77777777" w:rsidR="00DF6C38" w:rsidRPr="00DF6C38" w:rsidRDefault="00DF6C38" w:rsidP="00211833">
      <w:r w:rsidRPr="00DF6C38">
        <w:t>Members will be able to see the following Prior Authorization statuses on Caremark.com:</w:t>
      </w:r>
    </w:p>
    <w:p w14:paraId="562BBAA9" w14:textId="77777777" w:rsidR="00DF6C38" w:rsidRPr="00DF6C38" w:rsidRDefault="00DF6C38" w:rsidP="00211833">
      <w:pPr>
        <w:pStyle w:val="ListParagraph"/>
        <w:numPr>
          <w:ilvl w:val="0"/>
          <w:numId w:val="8"/>
        </w:numPr>
      </w:pPr>
      <w:r w:rsidRPr="00DF6C38">
        <w:t>Initiated</w:t>
      </w:r>
    </w:p>
    <w:p w14:paraId="66A4B9B0" w14:textId="77777777" w:rsidR="00DF6C38" w:rsidRPr="00DF6C38" w:rsidRDefault="00DF6C38" w:rsidP="00211833">
      <w:pPr>
        <w:pStyle w:val="ListParagraph"/>
        <w:numPr>
          <w:ilvl w:val="0"/>
          <w:numId w:val="8"/>
        </w:numPr>
      </w:pPr>
      <w:r w:rsidRPr="00DF6C38">
        <w:t>Pending</w:t>
      </w:r>
    </w:p>
    <w:p w14:paraId="58747C0A" w14:textId="77777777" w:rsidR="00DF6C38" w:rsidRPr="00DF6C38" w:rsidRDefault="00DF6C38" w:rsidP="00211833">
      <w:pPr>
        <w:pStyle w:val="ListParagraph"/>
        <w:numPr>
          <w:ilvl w:val="0"/>
          <w:numId w:val="8"/>
        </w:numPr>
      </w:pPr>
      <w:r w:rsidRPr="00DF6C38">
        <w:t>Response Needed</w:t>
      </w:r>
    </w:p>
    <w:p w14:paraId="07C76314" w14:textId="77777777" w:rsidR="00DF6C38" w:rsidRPr="00DF6C38" w:rsidRDefault="00DF6C38" w:rsidP="00211833">
      <w:pPr>
        <w:pStyle w:val="ListParagraph"/>
        <w:numPr>
          <w:ilvl w:val="0"/>
          <w:numId w:val="8"/>
        </w:numPr>
      </w:pPr>
      <w:r w:rsidRPr="00DF6C38">
        <w:t>Under Review</w:t>
      </w:r>
    </w:p>
    <w:p w14:paraId="0730A8C5" w14:textId="77777777" w:rsidR="00DF6C38" w:rsidRPr="00DF6C38" w:rsidRDefault="00DF6C38" w:rsidP="00211833">
      <w:pPr>
        <w:pStyle w:val="ListParagraph"/>
        <w:numPr>
          <w:ilvl w:val="0"/>
          <w:numId w:val="8"/>
        </w:numPr>
      </w:pPr>
      <w:r w:rsidRPr="00DF6C38">
        <w:t>Not Completed</w:t>
      </w:r>
    </w:p>
    <w:p w14:paraId="70C75160" w14:textId="77777777" w:rsidR="00DF6C38" w:rsidRPr="00DF6C38" w:rsidRDefault="00DF6C38" w:rsidP="00211833">
      <w:pPr>
        <w:pStyle w:val="ListParagraph"/>
        <w:numPr>
          <w:ilvl w:val="0"/>
          <w:numId w:val="8"/>
        </w:numPr>
      </w:pPr>
      <w:r w:rsidRPr="00DF6C38">
        <w:t>Approved</w:t>
      </w:r>
    </w:p>
    <w:p w14:paraId="2989B87A" w14:textId="77777777" w:rsidR="00DF6C38" w:rsidRPr="00DF6C38" w:rsidRDefault="00DF6C38" w:rsidP="00211833">
      <w:pPr>
        <w:pStyle w:val="ListParagraph"/>
        <w:numPr>
          <w:ilvl w:val="0"/>
          <w:numId w:val="8"/>
        </w:numPr>
      </w:pPr>
      <w:r w:rsidRPr="00DF6C38">
        <w:t>Denied</w:t>
      </w:r>
    </w:p>
    <w:p w14:paraId="2376E9AD" w14:textId="77777777" w:rsidR="00DF6C38" w:rsidRPr="00DF6C38" w:rsidRDefault="00DF6C38" w:rsidP="00211833">
      <w:pPr>
        <w:pStyle w:val="ListParagraph"/>
        <w:numPr>
          <w:ilvl w:val="0"/>
          <w:numId w:val="8"/>
        </w:numPr>
      </w:pPr>
      <w:r w:rsidRPr="00DF6C38">
        <w:t>Appeal Pending</w:t>
      </w:r>
    </w:p>
    <w:p w14:paraId="23EF6505" w14:textId="77777777" w:rsidR="00DF6C38" w:rsidRPr="00DF6C38" w:rsidRDefault="00DF6C38" w:rsidP="00211833">
      <w:pPr>
        <w:pStyle w:val="ListParagraph"/>
        <w:numPr>
          <w:ilvl w:val="0"/>
          <w:numId w:val="8"/>
        </w:numPr>
      </w:pPr>
      <w:r w:rsidRPr="00DF6C38">
        <w:t>Expiration</w:t>
      </w:r>
    </w:p>
    <w:p w14:paraId="32033C1F" w14:textId="77777777" w:rsidR="00DF6C38" w:rsidRPr="00DF6C38" w:rsidRDefault="00DF6C38" w:rsidP="00211833"/>
    <w:p w14:paraId="13F69F81" w14:textId="77777777" w:rsidR="008A2941" w:rsidRDefault="008A2941" w:rsidP="00211833">
      <w:pPr>
        <w:rPr>
          <w:rStyle w:val="normaltextrun"/>
          <w:color w:val="000000"/>
          <w:szCs w:val="24"/>
          <w:shd w:val="clear" w:color="auto" w:fill="FFFFFF"/>
        </w:rPr>
      </w:pPr>
      <w:r>
        <w:rPr>
          <w:noProof/>
        </w:rPr>
        <w:drawing>
          <wp:inline distT="0" distB="0" distL="0" distR="0" wp14:anchorId="6093B0AC" wp14:editId="1CED8E74">
            <wp:extent cx="238158" cy="209579"/>
            <wp:effectExtent l="0" t="0" r="9525" b="0"/>
            <wp:docPr id="2144572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2665" name="Picture 230942665"/>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00DF6C38" w:rsidRPr="00211833">
        <w:rPr>
          <w:szCs w:val="24"/>
        </w:rPr>
        <w:t xml:space="preserve">A letter will also be sent to you with additional information about your Prior Authorization. Your prescriber will also receive a fax. </w:t>
      </w:r>
      <w:r w:rsidR="00DF6C38" w:rsidRPr="00211833">
        <w:rPr>
          <w:rStyle w:val="normaltextrun"/>
          <w:color w:val="000000"/>
          <w:szCs w:val="24"/>
          <w:shd w:val="clear" w:color="auto" w:fill="FFFFFF"/>
        </w:rPr>
        <w:t> </w:t>
      </w:r>
    </w:p>
    <w:p w14:paraId="51C6870E" w14:textId="77777777" w:rsidR="008A2941" w:rsidRDefault="008A2941" w:rsidP="00211833">
      <w:pPr>
        <w:rPr>
          <w:rStyle w:val="normaltextrun"/>
          <w:color w:val="000000" w:themeColor="text1"/>
          <w:szCs w:val="24"/>
        </w:rPr>
      </w:pPr>
    </w:p>
    <w:p w14:paraId="412639CB" w14:textId="7F2D8CE9" w:rsidR="00DF6C38" w:rsidRPr="00211833" w:rsidRDefault="00DF6C38" w:rsidP="00211833">
      <w:pPr>
        <w:rPr>
          <w:szCs w:val="24"/>
        </w:rPr>
      </w:pPr>
      <w:r w:rsidRPr="00211833">
        <w:rPr>
          <w:rStyle w:val="normaltextrun"/>
          <w:color w:val="000000" w:themeColor="text1"/>
          <w:szCs w:val="24"/>
        </w:rPr>
        <w:t xml:space="preserve">Inform the caller they can set up </w:t>
      </w:r>
      <w:hyperlink r:id="rId10" w:anchor="!/view?docid=16d97031-aab3-4e30-b5d8-69ba322678d6" w:history="1">
        <w:r w:rsidR="008A2941" w:rsidRPr="008A2941">
          <w:rPr>
            <w:rStyle w:val="Hyperlink"/>
            <w:szCs w:val="24"/>
          </w:rPr>
          <w:t>CMP Alerts (0</w:t>
        </w:r>
        <w:r w:rsidR="00B056A4">
          <w:rPr>
            <w:rStyle w:val="Hyperlink"/>
            <w:szCs w:val="24"/>
          </w:rPr>
          <w:t>5</w:t>
        </w:r>
        <w:r w:rsidR="008A2941" w:rsidRPr="008A2941">
          <w:rPr>
            <w:rStyle w:val="Hyperlink"/>
            <w:szCs w:val="24"/>
          </w:rPr>
          <w:t>4195)</w:t>
        </w:r>
      </w:hyperlink>
      <w:r w:rsidRPr="00211833">
        <w:rPr>
          <w:rStyle w:val="normaltextrun"/>
          <w:color w:val="000000" w:themeColor="text1"/>
          <w:szCs w:val="24"/>
        </w:rPr>
        <w:t xml:space="preserve">, </w:t>
      </w:r>
      <w:r w:rsidRPr="00211833">
        <w:rPr>
          <w:rStyle w:val="normaltextrun"/>
          <w:rFonts w:eastAsia="Verdana" w:cs="Verdana"/>
          <w:color w:val="000000" w:themeColor="text1"/>
          <w:szCs w:val="24"/>
        </w:rPr>
        <w:t xml:space="preserve">or to assist the member with finding the status on Caremark.com, refer to </w:t>
      </w:r>
      <w:hyperlink r:id="rId11" w:anchor="!/view?docid=20ba7691-5b2a-4780-9c3a-f671151ab55c" w:history="1">
        <w:r w:rsidRPr="00211833">
          <w:rPr>
            <w:rStyle w:val="Hyperlink"/>
            <w:rFonts w:eastAsia="Verdana" w:cs="Verdana"/>
            <w:szCs w:val="24"/>
          </w:rPr>
          <w:t>Caremark.com – Prior Authorization (070305)</w:t>
        </w:r>
      </w:hyperlink>
      <w:r w:rsidRPr="00211833">
        <w:rPr>
          <w:rStyle w:val="normaltextrun"/>
          <w:rFonts w:eastAsia="Verdana" w:cs="Verdana"/>
          <w:szCs w:val="24"/>
        </w:rPr>
        <w:t>.</w:t>
      </w:r>
    </w:p>
    <w:p w14:paraId="4B34298B" w14:textId="77777777" w:rsidR="00DF6C38" w:rsidRPr="00DF6C38" w:rsidRDefault="00DF6C38" w:rsidP="00211833">
      <w:r w:rsidRPr="00DF6C38">
        <w:t> </w:t>
      </w:r>
    </w:p>
    <w:p w14:paraId="2D26C83A" w14:textId="7278169C" w:rsidR="00281F94" w:rsidRDefault="00DF6C38" w:rsidP="00211833">
      <w:r w:rsidRPr="00DF6C38">
        <w:t>If less than two business days since the request was sent to the prescriber:</w:t>
      </w:r>
      <w:r w:rsidR="00211833">
        <w:t xml:space="preserve"> </w:t>
      </w:r>
      <w:r w:rsidRPr="00DF6C38">
        <w:t xml:space="preserve"> Explain that the turnaround time is three (3) business days from the time that the prescriber responds. They can follow up with their prescriber for the status of the request.</w:t>
      </w:r>
    </w:p>
    <w:p w14:paraId="0E7C963E" w14:textId="77777777" w:rsidR="009A4A42" w:rsidRDefault="009A4A42" w:rsidP="00211833"/>
    <w:p w14:paraId="1422B453" w14:textId="57303459" w:rsidR="00281F94" w:rsidRPr="00DF6C38" w:rsidRDefault="009A4A42" w:rsidP="00281F94">
      <w:r>
        <w:rPr>
          <w:noProof/>
        </w:rPr>
        <w:drawing>
          <wp:inline distT="0" distB="0" distL="0" distR="0" wp14:anchorId="403DDCDD" wp14:editId="204EEED7">
            <wp:extent cx="304762" cy="304762"/>
            <wp:effectExtent l="0" t="0" r="635" b="635"/>
            <wp:docPr id="1817447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179515" name="Picture 1863179515"/>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281F94">
        <w:t xml:space="preserve">For more information on the PA Statuses in Compass, refer to </w:t>
      </w:r>
      <w:hyperlink r:id="rId13" w:anchor="!/view?docid=6d3aac37-46a9-4417-ac20-fa3a32337652" w:tgtFrame="_blank" w:history="1">
        <w:r w:rsidR="00BD1C36" w:rsidRPr="00BD1C36">
          <w:rPr>
            <w:rStyle w:val="Hyperlink"/>
          </w:rPr>
          <w:t>Compass – Viewing and Advising on Prior Authorization (PA) or Clinical Exception Status (056368)</w:t>
        </w:r>
      </w:hyperlink>
      <w:r w:rsidR="00BD1C36">
        <w:t>.</w:t>
      </w:r>
    </w:p>
    <w:p w14:paraId="1DF27E6E" w14:textId="38F514AB" w:rsidR="00DF6C38" w:rsidRPr="00DF6C38" w:rsidRDefault="00DF6C38" w:rsidP="00211833">
      <w:r w:rsidRPr="00DF6C38">
        <w:t> </w:t>
      </w:r>
    </w:p>
    <w:p w14:paraId="7AE90877" w14:textId="36A6C635" w:rsidR="00DF6C38" w:rsidRPr="00DF6C38" w:rsidRDefault="00DF6C38" w:rsidP="00211833">
      <w:r w:rsidRPr="00DF6C38">
        <w:rPr>
          <w:b/>
          <w:bCs/>
        </w:rPr>
        <w:t>Note:</w:t>
      </w:r>
      <w:r w:rsidRPr="00DF6C38">
        <w:t xml:space="preserve"> </w:t>
      </w:r>
      <w:r w:rsidR="00211833">
        <w:t xml:space="preserve"> </w:t>
      </w:r>
      <w:r w:rsidRPr="00DF6C38">
        <w:t>Not all clients participate in Caremark.com</w:t>
      </w:r>
      <w:r w:rsidR="00211833">
        <w:t>;</w:t>
      </w:r>
      <w:r w:rsidRPr="00DF6C38">
        <w:t xml:space="preserve"> refer to the CIF.</w:t>
      </w:r>
    </w:p>
    <w:p w14:paraId="78B1FEF6" w14:textId="77777777" w:rsidR="009360E5" w:rsidRPr="00DF6C38" w:rsidRDefault="009360E5" w:rsidP="00DF6C38">
      <w:pPr>
        <w:jc w:val="right"/>
      </w:pPr>
      <w:hyperlink w:anchor="_top" w:history="1">
        <w:r w:rsidRPr="00DF6C38">
          <w:rPr>
            <w:rStyle w:val="Hyperlink"/>
          </w:rPr>
          <w:t>Top of the Document</w:t>
        </w:r>
      </w:hyperlink>
    </w:p>
    <w:tbl>
      <w:tblPr>
        <w:tblStyle w:val="TableGrid"/>
        <w:tblW w:w="5000" w:type="pct"/>
        <w:tblLook w:val="04A0" w:firstRow="1" w:lastRow="0" w:firstColumn="1" w:lastColumn="0" w:noHBand="0" w:noVBand="1"/>
      </w:tblPr>
      <w:tblGrid>
        <w:gridCol w:w="9350"/>
      </w:tblGrid>
      <w:tr w:rsidR="00DF6C38" w:rsidRPr="00DF6C38" w14:paraId="345A01B4" w14:textId="77777777" w:rsidTr="00DF6C38">
        <w:tc>
          <w:tcPr>
            <w:tcW w:w="5000" w:type="pct"/>
            <w:shd w:val="clear" w:color="auto" w:fill="BFBFBF" w:themeFill="background1" w:themeFillShade="BF"/>
          </w:tcPr>
          <w:p w14:paraId="5F8F11CF" w14:textId="7116AFD4" w:rsidR="009360E5" w:rsidRPr="00DF6C38" w:rsidRDefault="008A2941" w:rsidP="00DF6C38">
            <w:pPr>
              <w:pStyle w:val="Heading2"/>
            </w:pPr>
            <w:bookmarkStart w:id="4" w:name="_Toc193464877"/>
            <w:r>
              <w:t>M</w:t>
            </w:r>
            <w:r w:rsidR="00DF6C38" w:rsidRPr="00DF6C38">
              <w:t xml:space="preserve">ember is </w:t>
            </w:r>
            <w:r>
              <w:t>I</w:t>
            </w:r>
            <w:r w:rsidR="00DF6C38" w:rsidRPr="00DF6C38">
              <w:t xml:space="preserve">nquiring about </w:t>
            </w:r>
            <w:r>
              <w:t>W</w:t>
            </w:r>
            <w:r w:rsidR="00DF6C38" w:rsidRPr="00DF6C38">
              <w:t xml:space="preserve">hy a PA </w:t>
            </w:r>
            <w:r>
              <w:t>M</w:t>
            </w:r>
            <w:r w:rsidR="00DF6C38" w:rsidRPr="00DF6C38">
              <w:t xml:space="preserve">ay </w:t>
            </w:r>
            <w:r>
              <w:t>N</w:t>
            </w:r>
            <w:r w:rsidR="00DF6C38" w:rsidRPr="00DF6C38">
              <w:t xml:space="preserve">eed </w:t>
            </w:r>
            <w:r>
              <w:t>R</w:t>
            </w:r>
            <w:r w:rsidR="00DF6C38" w:rsidRPr="00DF6C38">
              <w:t>enew</w:t>
            </w:r>
            <w:r>
              <w:t>al</w:t>
            </w:r>
            <w:bookmarkEnd w:id="4"/>
          </w:p>
        </w:tc>
      </w:tr>
    </w:tbl>
    <w:p w14:paraId="6803E280" w14:textId="77777777" w:rsidR="00DF6C38" w:rsidRPr="00DF6C38" w:rsidRDefault="00DF6C38" w:rsidP="00211833">
      <w:r w:rsidRPr="00DF6C38">
        <w:t>Prior Approval renewal is required to reevaluate the current indication for use, lab values, and disease progression. We try to balance the need for clinical re-evaluation of the medication with the least amount of disruption to the member and prescriber.</w:t>
      </w:r>
    </w:p>
    <w:p w14:paraId="7815276E" w14:textId="77777777" w:rsidR="00DF6C38" w:rsidRPr="00DF6C38" w:rsidRDefault="00DF6C38" w:rsidP="00211833">
      <w:r w:rsidRPr="00DF6C38">
        <w:t> </w:t>
      </w:r>
    </w:p>
    <w:p w14:paraId="5E96AC7B" w14:textId="7B10B33E" w:rsidR="00DF6C38" w:rsidRPr="00DF6C38" w:rsidRDefault="008A2941" w:rsidP="00211833">
      <w:r>
        <w:rPr>
          <w:noProof/>
        </w:rPr>
        <w:drawing>
          <wp:inline distT="0" distB="0" distL="0" distR="0" wp14:anchorId="4AB93C12" wp14:editId="3F4263C4">
            <wp:extent cx="238158" cy="209579"/>
            <wp:effectExtent l="0" t="0" r="9525" b="0"/>
            <wp:docPr id="9659564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2665" name="Picture 230942665"/>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00DF6C38" w:rsidRPr="00DF6C38">
        <w:t>Most medications can be renewed up to 90 days prior to expiring</w:t>
      </w:r>
      <w:r w:rsidR="00211833">
        <w:t>. P</w:t>
      </w:r>
      <w:r w:rsidR="00DF6C38" w:rsidRPr="00DF6C38">
        <w:t>lease work with your prescriber’s office on when it would be appropriate to request the renewal prior to the expiration date on the Approval Letter.</w:t>
      </w:r>
    </w:p>
    <w:p w14:paraId="5563DEE5" w14:textId="77777777" w:rsidR="00DF6C38" w:rsidRPr="00DF6C38" w:rsidRDefault="00DF6C38" w:rsidP="00211833"/>
    <w:p w14:paraId="736AECD3" w14:textId="53F8E7EF" w:rsidR="00DF6C38" w:rsidRPr="00DF6C38" w:rsidRDefault="00DF6C38" w:rsidP="00211833">
      <w:r w:rsidRPr="00DF6C38">
        <w:t>In unique situations</w:t>
      </w:r>
      <w:r w:rsidR="008A2941">
        <w:t>,</w:t>
      </w:r>
      <w:r w:rsidRPr="00DF6C38">
        <w:t xml:space="preserve"> some prior authorizations may be cancelled prior to the expiration date due to plan changes. </w:t>
      </w:r>
    </w:p>
    <w:p w14:paraId="680C6199" w14:textId="77777777" w:rsidR="00DF6C38" w:rsidRPr="00DF6C38" w:rsidRDefault="00DF6C38" w:rsidP="00211833">
      <w:r w:rsidRPr="00DF6C38">
        <w:t> </w:t>
      </w:r>
    </w:p>
    <w:p w14:paraId="3E0909AB" w14:textId="15ECEE57" w:rsidR="00DF6C38" w:rsidRPr="00DF6C38" w:rsidRDefault="00211833" w:rsidP="00211833">
      <w:r w:rsidRPr="00C83165">
        <w:rPr>
          <w:b/>
          <w:bCs/>
        </w:rPr>
        <w:t>CCR Note</w:t>
      </w:r>
      <w:r w:rsidR="00DF6C38" w:rsidRPr="00C83165">
        <w:rPr>
          <w:b/>
          <w:bCs/>
        </w:rPr>
        <w:t>:</w:t>
      </w:r>
      <w:r>
        <w:t xml:space="preserve"> </w:t>
      </w:r>
      <w:r w:rsidR="00DF6C38" w:rsidRPr="00DF6C38">
        <w:t xml:space="preserve"> An approval is NOT guaranteed, even when previous Prior Approvals were approved. The decision to approve or deny coverage for a medication is based on information provided by the prescriber.</w:t>
      </w:r>
    </w:p>
    <w:p w14:paraId="4E533EEF" w14:textId="77777777" w:rsidR="009360E5" w:rsidRPr="00DF6C38" w:rsidRDefault="009360E5" w:rsidP="00DF6C38"/>
    <w:p w14:paraId="0BC8BC16" w14:textId="77777777" w:rsidR="009360E5" w:rsidRPr="00DF6C38" w:rsidRDefault="009360E5" w:rsidP="00DF6C38">
      <w:pPr>
        <w:jc w:val="right"/>
      </w:pPr>
      <w:hyperlink w:anchor="_top" w:history="1">
        <w:r w:rsidRPr="00DF6C38">
          <w:rPr>
            <w:rStyle w:val="Hyperlink"/>
          </w:rPr>
          <w:t>Top of the Document</w:t>
        </w:r>
      </w:hyperlink>
    </w:p>
    <w:tbl>
      <w:tblPr>
        <w:tblStyle w:val="TableGrid"/>
        <w:tblW w:w="5000" w:type="pct"/>
        <w:tblLook w:val="04A0" w:firstRow="1" w:lastRow="0" w:firstColumn="1" w:lastColumn="0" w:noHBand="0" w:noVBand="1"/>
      </w:tblPr>
      <w:tblGrid>
        <w:gridCol w:w="9350"/>
      </w:tblGrid>
      <w:tr w:rsidR="00DF6C38" w:rsidRPr="00DF6C38" w14:paraId="5D5C91B9" w14:textId="77777777" w:rsidTr="008A2941">
        <w:tc>
          <w:tcPr>
            <w:tcW w:w="5000" w:type="pct"/>
            <w:shd w:val="clear" w:color="auto" w:fill="BFBFBF" w:themeFill="background1" w:themeFillShade="BF"/>
          </w:tcPr>
          <w:p w14:paraId="2EE44361" w14:textId="19F01A56" w:rsidR="009360E5" w:rsidRPr="00DF6C38" w:rsidRDefault="008A2941" w:rsidP="00DF6C38">
            <w:pPr>
              <w:pStyle w:val="Heading2"/>
            </w:pPr>
            <w:bookmarkStart w:id="5" w:name="_Toc193464878"/>
            <w:r>
              <w:t>M</w:t>
            </w:r>
            <w:r w:rsidR="00DF6C38" w:rsidRPr="00DF6C38">
              <w:t xml:space="preserve">ember </w:t>
            </w:r>
            <w:r>
              <w:t>N</w:t>
            </w:r>
            <w:r w:rsidR="00DF6C38" w:rsidRPr="00DF6C38">
              <w:t xml:space="preserve">eeds </w:t>
            </w:r>
            <w:r>
              <w:t>E</w:t>
            </w:r>
            <w:r w:rsidR="00DF6C38" w:rsidRPr="00DF6C38">
              <w:t xml:space="preserve">ducation about </w:t>
            </w:r>
            <w:r>
              <w:t>W</w:t>
            </w:r>
            <w:r w:rsidR="00DF6C38" w:rsidRPr="00DF6C38">
              <w:t xml:space="preserve">hy a PA was </w:t>
            </w:r>
            <w:r>
              <w:t>D</w:t>
            </w:r>
            <w:r w:rsidR="00DF6C38" w:rsidRPr="00DF6C38">
              <w:t>enied</w:t>
            </w:r>
            <w:bookmarkEnd w:id="5"/>
            <w:r w:rsidR="00DF6C38" w:rsidRPr="00DF6C38">
              <w:t xml:space="preserve"> </w:t>
            </w:r>
          </w:p>
        </w:tc>
      </w:tr>
    </w:tbl>
    <w:p w14:paraId="34E29ACE" w14:textId="2B4633FB" w:rsidR="00F80E07" w:rsidRPr="00DF6C38" w:rsidRDefault="008A2941" w:rsidP="00211833">
      <w:pPr>
        <w:rPr>
          <w:b/>
          <w:bCs/>
        </w:rPr>
      </w:pPr>
      <w:r>
        <w:rPr>
          <w:noProof/>
        </w:rPr>
        <w:drawing>
          <wp:inline distT="0" distB="0" distL="0" distR="0" wp14:anchorId="19418D04" wp14:editId="02CB857C">
            <wp:extent cx="238158" cy="209579"/>
            <wp:effectExtent l="0" t="0" r="9525" b="0"/>
            <wp:docPr id="256332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42665" name="Picture 230942665"/>
                    <pic:cNvPicPr/>
                  </pic:nvPicPr>
                  <pic:blipFill>
                    <a:blip r:embed="rId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t xml:space="preserve"> </w:t>
      </w:r>
      <w:r w:rsidR="00DE0432" w:rsidRPr="00DF6C38">
        <w:t>If your Prior Authorization is denied for insufficient information</w:t>
      </w:r>
      <w:r w:rsidR="00211833">
        <w:t>,</w:t>
      </w:r>
      <w:r w:rsidR="00DE0432" w:rsidRPr="00DF6C38">
        <w:t xml:space="preserve"> you may have your physician submit a new PA. If your PA was denied due to clinical reasons you may follow the appeal process outlined within the denial letter, you may pay out of pocket for the medication, or </w:t>
      </w:r>
      <w:r w:rsidR="00211833">
        <w:t xml:space="preserve">you may </w:t>
      </w:r>
      <w:r w:rsidR="00DE0432" w:rsidRPr="00DF6C38">
        <w:t>contact your prescriber to discuss alternative medications covered under your plan. If you’d like, I’ll be happy to search for potentially cost-saving alternatives that do not require a Prior Authorization.</w:t>
      </w:r>
      <w:r w:rsidR="00DE0432" w:rsidRPr="00DF6C38">
        <w:rPr>
          <w:b/>
          <w:bCs/>
        </w:rPr>
        <w:t xml:space="preserve"> </w:t>
      </w:r>
      <w:r w:rsidR="72CAD3EA" w:rsidRPr="00DF6C38">
        <w:rPr>
          <w:rFonts w:cs="Calibri"/>
        </w:rPr>
        <w:t xml:space="preserve"> </w:t>
      </w:r>
    </w:p>
    <w:p w14:paraId="1E323754" w14:textId="1F516BE1" w:rsidR="00B32E73" w:rsidRDefault="00B32E73" w:rsidP="00DF6C38">
      <w:pPr>
        <w:rPr>
          <w:rFonts w:eastAsia="Calibri" w:cs="Calibri"/>
          <w:highlight w:val="yellow"/>
        </w:rPr>
      </w:pPr>
    </w:p>
    <w:p w14:paraId="666FD984" w14:textId="06E7F989" w:rsidR="008A2941" w:rsidRDefault="008A2941" w:rsidP="008A2941">
      <w:pPr>
        <w:jc w:val="right"/>
        <w:rPr>
          <w:rFonts w:eastAsia="Calibri" w:cs="Calibri"/>
        </w:rPr>
      </w:pPr>
      <w:hyperlink w:anchor="_top" w:history="1">
        <w:r w:rsidRPr="00C83165">
          <w:rPr>
            <w:rStyle w:val="Hyperlink"/>
            <w:rFonts w:eastAsia="Calibri" w:cs="Calibri"/>
          </w:rPr>
          <w:t>Top of the Document</w:t>
        </w:r>
      </w:hyperlink>
    </w:p>
    <w:p w14:paraId="1E89DA5B" w14:textId="77777777" w:rsidR="008A2941" w:rsidRDefault="008A2941" w:rsidP="008A2941">
      <w:pPr>
        <w:pStyle w:val="NormalWeb"/>
        <w:spacing w:before="120" w:beforeAutospacing="0" w:after="12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077781D3" w14:textId="007F266E" w:rsidR="008A2941" w:rsidRPr="00C83165" w:rsidRDefault="008A2941" w:rsidP="00C83165">
      <w:pPr>
        <w:pStyle w:val="NormalWeb"/>
        <w:spacing w:before="120" w:beforeAutospacing="0" w:after="120" w:afterAutospacing="0"/>
        <w:jc w:val="center"/>
        <w:rPr>
          <w:rFonts w:eastAsia="Calibri" w:cs="Calibri"/>
        </w:rPr>
      </w:pPr>
      <w:r>
        <w:rPr>
          <w:rFonts w:ascii="Verdana" w:hAnsi="Verdana"/>
          <w:b/>
          <w:bCs/>
          <w:color w:val="000000"/>
          <w:sz w:val="16"/>
          <w:szCs w:val="16"/>
        </w:rPr>
        <w:t>ELECTRONIC DATA = OFFICIAL VERSION / PAPER COPY = INFORMATIONAL ONLY</w:t>
      </w:r>
    </w:p>
    <w:sectPr w:rsidR="008A2941" w:rsidRPr="00C83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E2360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85852557" o:spid="_x0000_i1025" type="#_x0000_t75" style="width:18.75pt;height:16.5pt;visibility:visible;mso-wrap-style:square">
            <v:imagedata r:id="rId1" o:title=""/>
          </v:shape>
        </w:pict>
      </mc:Choice>
      <mc:Fallback>
        <w:drawing>
          <wp:inline distT="0" distB="0" distL="0" distR="0" wp14:anchorId="1211F264" wp14:editId="558C94EF">
            <wp:extent cx="238125" cy="209550"/>
            <wp:effectExtent l="0" t="0" r="0" b="0"/>
            <wp:docPr id="1485852557" name="Picture 1485852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7AE5C50"/>
    <w:multiLevelType w:val="hybridMultilevel"/>
    <w:tmpl w:val="FE583836"/>
    <w:lvl w:ilvl="0" w:tplc="CA72EE3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20F1A"/>
    <w:multiLevelType w:val="hybridMultilevel"/>
    <w:tmpl w:val="206AC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851F9"/>
    <w:multiLevelType w:val="hybridMultilevel"/>
    <w:tmpl w:val="05445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5381E"/>
    <w:multiLevelType w:val="hybridMultilevel"/>
    <w:tmpl w:val="50065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40FC2"/>
    <w:multiLevelType w:val="hybridMultilevel"/>
    <w:tmpl w:val="6876E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241CB2"/>
    <w:multiLevelType w:val="hybridMultilevel"/>
    <w:tmpl w:val="FFFFFFFF"/>
    <w:lvl w:ilvl="0" w:tplc="FE0A8FE6">
      <w:start w:val="1"/>
      <w:numFmt w:val="bullet"/>
      <w:lvlText w:val="-"/>
      <w:lvlJc w:val="left"/>
      <w:pPr>
        <w:ind w:left="720" w:hanging="360"/>
      </w:pPr>
      <w:rPr>
        <w:rFonts w:ascii="Aptos" w:hAnsi="Aptos" w:hint="default"/>
      </w:rPr>
    </w:lvl>
    <w:lvl w:ilvl="1" w:tplc="F4180188">
      <w:start w:val="1"/>
      <w:numFmt w:val="bullet"/>
      <w:lvlText w:val="o"/>
      <w:lvlJc w:val="left"/>
      <w:pPr>
        <w:ind w:left="1440" w:hanging="360"/>
      </w:pPr>
      <w:rPr>
        <w:rFonts w:ascii="Courier New" w:hAnsi="Courier New" w:hint="default"/>
      </w:rPr>
    </w:lvl>
    <w:lvl w:ilvl="2" w:tplc="096A84DC">
      <w:start w:val="1"/>
      <w:numFmt w:val="bullet"/>
      <w:lvlText w:val=""/>
      <w:lvlJc w:val="left"/>
      <w:pPr>
        <w:ind w:left="2160" w:hanging="360"/>
      </w:pPr>
      <w:rPr>
        <w:rFonts w:ascii="Wingdings" w:hAnsi="Wingdings" w:hint="default"/>
      </w:rPr>
    </w:lvl>
    <w:lvl w:ilvl="3" w:tplc="6C28CDCE">
      <w:start w:val="1"/>
      <w:numFmt w:val="bullet"/>
      <w:lvlText w:val=""/>
      <w:lvlJc w:val="left"/>
      <w:pPr>
        <w:ind w:left="2880" w:hanging="360"/>
      </w:pPr>
      <w:rPr>
        <w:rFonts w:ascii="Symbol" w:hAnsi="Symbol" w:hint="default"/>
      </w:rPr>
    </w:lvl>
    <w:lvl w:ilvl="4" w:tplc="FBA6BC48">
      <w:start w:val="1"/>
      <w:numFmt w:val="bullet"/>
      <w:lvlText w:val="o"/>
      <w:lvlJc w:val="left"/>
      <w:pPr>
        <w:ind w:left="3600" w:hanging="360"/>
      </w:pPr>
      <w:rPr>
        <w:rFonts w:ascii="Courier New" w:hAnsi="Courier New" w:hint="default"/>
      </w:rPr>
    </w:lvl>
    <w:lvl w:ilvl="5" w:tplc="C21EA91C">
      <w:start w:val="1"/>
      <w:numFmt w:val="bullet"/>
      <w:lvlText w:val=""/>
      <w:lvlJc w:val="left"/>
      <w:pPr>
        <w:ind w:left="4320" w:hanging="360"/>
      </w:pPr>
      <w:rPr>
        <w:rFonts w:ascii="Wingdings" w:hAnsi="Wingdings" w:hint="default"/>
      </w:rPr>
    </w:lvl>
    <w:lvl w:ilvl="6" w:tplc="1A08110A">
      <w:start w:val="1"/>
      <w:numFmt w:val="bullet"/>
      <w:lvlText w:val=""/>
      <w:lvlJc w:val="left"/>
      <w:pPr>
        <w:ind w:left="5040" w:hanging="360"/>
      </w:pPr>
      <w:rPr>
        <w:rFonts w:ascii="Symbol" w:hAnsi="Symbol" w:hint="default"/>
      </w:rPr>
    </w:lvl>
    <w:lvl w:ilvl="7" w:tplc="1BC47548">
      <w:start w:val="1"/>
      <w:numFmt w:val="bullet"/>
      <w:lvlText w:val="o"/>
      <w:lvlJc w:val="left"/>
      <w:pPr>
        <w:ind w:left="5760" w:hanging="360"/>
      </w:pPr>
      <w:rPr>
        <w:rFonts w:ascii="Courier New" w:hAnsi="Courier New" w:hint="default"/>
      </w:rPr>
    </w:lvl>
    <w:lvl w:ilvl="8" w:tplc="A4F0024C">
      <w:start w:val="1"/>
      <w:numFmt w:val="bullet"/>
      <w:lvlText w:val=""/>
      <w:lvlJc w:val="left"/>
      <w:pPr>
        <w:ind w:left="6480" w:hanging="360"/>
      </w:pPr>
      <w:rPr>
        <w:rFonts w:ascii="Wingdings" w:hAnsi="Wingdings" w:hint="default"/>
      </w:rPr>
    </w:lvl>
  </w:abstractNum>
  <w:abstractNum w:abstractNumId="6" w15:restartNumberingAfterBreak="0">
    <w:nsid w:val="63784AB7"/>
    <w:multiLevelType w:val="hybridMultilevel"/>
    <w:tmpl w:val="193C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5316B"/>
    <w:multiLevelType w:val="hybridMultilevel"/>
    <w:tmpl w:val="52980982"/>
    <w:lvl w:ilvl="0" w:tplc="EE1AEEF8">
      <w:start w:val="2"/>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355496887">
    <w:abstractNumId w:val="5"/>
  </w:num>
  <w:num w:numId="2" w16cid:durableId="1159885116">
    <w:abstractNumId w:val="6"/>
  </w:num>
  <w:num w:numId="3" w16cid:durableId="1839037774">
    <w:abstractNumId w:val="0"/>
  </w:num>
  <w:num w:numId="4" w16cid:durableId="685180634">
    <w:abstractNumId w:val="7"/>
  </w:num>
  <w:num w:numId="5" w16cid:durableId="1420130759">
    <w:abstractNumId w:val="3"/>
  </w:num>
  <w:num w:numId="6" w16cid:durableId="354888403">
    <w:abstractNumId w:val="2"/>
  </w:num>
  <w:num w:numId="7" w16cid:durableId="313074764">
    <w:abstractNumId w:val="4"/>
  </w:num>
  <w:num w:numId="8" w16cid:durableId="2022078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601"/>
    <w:rsid w:val="00020938"/>
    <w:rsid w:val="00025FA9"/>
    <w:rsid w:val="00030057"/>
    <w:rsid w:val="00030486"/>
    <w:rsid w:val="000435CA"/>
    <w:rsid w:val="000528DB"/>
    <w:rsid w:val="000A14DC"/>
    <w:rsid w:val="000D755C"/>
    <w:rsid w:val="000D7D9C"/>
    <w:rsid w:val="000E0AD2"/>
    <w:rsid w:val="000F7060"/>
    <w:rsid w:val="000F7910"/>
    <w:rsid w:val="001255D1"/>
    <w:rsid w:val="001647B9"/>
    <w:rsid w:val="00171F5A"/>
    <w:rsid w:val="00192198"/>
    <w:rsid w:val="00192377"/>
    <w:rsid w:val="0019727F"/>
    <w:rsid w:val="001A35BD"/>
    <w:rsid w:val="001C06B8"/>
    <w:rsid w:val="001C55D9"/>
    <w:rsid w:val="001C7BF0"/>
    <w:rsid w:val="001F72C2"/>
    <w:rsid w:val="00201780"/>
    <w:rsid w:val="00202AD1"/>
    <w:rsid w:val="00211833"/>
    <w:rsid w:val="0022173F"/>
    <w:rsid w:val="00227BD6"/>
    <w:rsid w:val="002371CA"/>
    <w:rsid w:val="00261FC2"/>
    <w:rsid w:val="00264D28"/>
    <w:rsid w:val="002814EE"/>
    <w:rsid w:val="00281F94"/>
    <w:rsid w:val="002A61AA"/>
    <w:rsid w:val="002A6D63"/>
    <w:rsid w:val="002C4429"/>
    <w:rsid w:val="002F4896"/>
    <w:rsid w:val="003101D0"/>
    <w:rsid w:val="003213BD"/>
    <w:rsid w:val="0032200D"/>
    <w:rsid w:val="0033756D"/>
    <w:rsid w:val="00346A95"/>
    <w:rsid w:val="003476BD"/>
    <w:rsid w:val="00350967"/>
    <w:rsid w:val="00372660"/>
    <w:rsid w:val="0037373C"/>
    <w:rsid w:val="0038510A"/>
    <w:rsid w:val="00387B86"/>
    <w:rsid w:val="003B0BCB"/>
    <w:rsid w:val="003C0F6E"/>
    <w:rsid w:val="003C7D20"/>
    <w:rsid w:val="003D030A"/>
    <w:rsid w:val="003D7DE8"/>
    <w:rsid w:val="003F4417"/>
    <w:rsid w:val="00416303"/>
    <w:rsid w:val="004514DB"/>
    <w:rsid w:val="00474D3F"/>
    <w:rsid w:val="00483228"/>
    <w:rsid w:val="00491C0B"/>
    <w:rsid w:val="004974C3"/>
    <w:rsid w:val="004A492A"/>
    <w:rsid w:val="004A4AF5"/>
    <w:rsid w:val="004A78BD"/>
    <w:rsid w:val="004D5EA8"/>
    <w:rsid w:val="004E69E0"/>
    <w:rsid w:val="004F0A80"/>
    <w:rsid w:val="005242F2"/>
    <w:rsid w:val="005311F3"/>
    <w:rsid w:val="00552A90"/>
    <w:rsid w:val="005A0356"/>
    <w:rsid w:val="00611D8C"/>
    <w:rsid w:val="0062152D"/>
    <w:rsid w:val="00635EDA"/>
    <w:rsid w:val="00636084"/>
    <w:rsid w:val="00651C3D"/>
    <w:rsid w:val="00675675"/>
    <w:rsid w:val="0068730D"/>
    <w:rsid w:val="00696544"/>
    <w:rsid w:val="006A26F1"/>
    <w:rsid w:val="006E10C4"/>
    <w:rsid w:val="007055C4"/>
    <w:rsid w:val="007068E6"/>
    <w:rsid w:val="00760141"/>
    <w:rsid w:val="007603A3"/>
    <w:rsid w:val="0077308E"/>
    <w:rsid w:val="00794820"/>
    <w:rsid w:val="007B3CE1"/>
    <w:rsid w:val="007B770F"/>
    <w:rsid w:val="007F4543"/>
    <w:rsid w:val="00823203"/>
    <w:rsid w:val="008317DE"/>
    <w:rsid w:val="008321FB"/>
    <w:rsid w:val="00847D3A"/>
    <w:rsid w:val="008561EE"/>
    <w:rsid w:val="0086209E"/>
    <w:rsid w:val="008622B8"/>
    <w:rsid w:val="00874B15"/>
    <w:rsid w:val="0087547E"/>
    <w:rsid w:val="0088377D"/>
    <w:rsid w:val="0089313D"/>
    <w:rsid w:val="008A2941"/>
    <w:rsid w:val="009013DE"/>
    <w:rsid w:val="0090312C"/>
    <w:rsid w:val="00932310"/>
    <w:rsid w:val="00933EEC"/>
    <w:rsid w:val="009360E5"/>
    <w:rsid w:val="009425C7"/>
    <w:rsid w:val="009515B9"/>
    <w:rsid w:val="009534FC"/>
    <w:rsid w:val="00981AC3"/>
    <w:rsid w:val="00992743"/>
    <w:rsid w:val="009A4A42"/>
    <w:rsid w:val="009C5AB2"/>
    <w:rsid w:val="009C5CEB"/>
    <w:rsid w:val="009D1197"/>
    <w:rsid w:val="00A06F35"/>
    <w:rsid w:val="00A07EB5"/>
    <w:rsid w:val="00A21AA9"/>
    <w:rsid w:val="00A31641"/>
    <w:rsid w:val="00A33DFF"/>
    <w:rsid w:val="00A35336"/>
    <w:rsid w:val="00A356F6"/>
    <w:rsid w:val="00A41DC7"/>
    <w:rsid w:val="00A42829"/>
    <w:rsid w:val="00A4500E"/>
    <w:rsid w:val="00A629E6"/>
    <w:rsid w:val="00A744D5"/>
    <w:rsid w:val="00A774ED"/>
    <w:rsid w:val="00A803FF"/>
    <w:rsid w:val="00A82818"/>
    <w:rsid w:val="00A82BD3"/>
    <w:rsid w:val="00A82F9C"/>
    <w:rsid w:val="00A84DC9"/>
    <w:rsid w:val="00AB5B6B"/>
    <w:rsid w:val="00AB6C3C"/>
    <w:rsid w:val="00AC37E9"/>
    <w:rsid w:val="00AD5450"/>
    <w:rsid w:val="00AE0D53"/>
    <w:rsid w:val="00AE6A2B"/>
    <w:rsid w:val="00AF14A0"/>
    <w:rsid w:val="00B056A4"/>
    <w:rsid w:val="00B122F6"/>
    <w:rsid w:val="00B207AB"/>
    <w:rsid w:val="00B2556B"/>
    <w:rsid w:val="00B32E73"/>
    <w:rsid w:val="00B365B4"/>
    <w:rsid w:val="00B607D5"/>
    <w:rsid w:val="00B66EE2"/>
    <w:rsid w:val="00B85C83"/>
    <w:rsid w:val="00B86976"/>
    <w:rsid w:val="00BA1164"/>
    <w:rsid w:val="00BA20D9"/>
    <w:rsid w:val="00BA39B6"/>
    <w:rsid w:val="00BA417B"/>
    <w:rsid w:val="00BB72CF"/>
    <w:rsid w:val="00BC6AEB"/>
    <w:rsid w:val="00BD1C36"/>
    <w:rsid w:val="00BF648F"/>
    <w:rsid w:val="00C61844"/>
    <w:rsid w:val="00C742D5"/>
    <w:rsid w:val="00C83165"/>
    <w:rsid w:val="00CA7284"/>
    <w:rsid w:val="00CB28C2"/>
    <w:rsid w:val="00CC25DB"/>
    <w:rsid w:val="00CD60EE"/>
    <w:rsid w:val="00CF5CB8"/>
    <w:rsid w:val="00CF7391"/>
    <w:rsid w:val="00CF741E"/>
    <w:rsid w:val="00D0451D"/>
    <w:rsid w:val="00D2501E"/>
    <w:rsid w:val="00D33F99"/>
    <w:rsid w:val="00D53601"/>
    <w:rsid w:val="00D567F8"/>
    <w:rsid w:val="00D91C1A"/>
    <w:rsid w:val="00DA1F3E"/>
    <w:rsid w:val="00DB0285"/>
    <w:rsid w:val="00DB3F67"/>
    <w:rsid w:val="00DB4D24"/>
    <w:rsid w:val="00DE0432"/>
    <w:rsid w:val="00DE39D5"/>
    <w:rsid w:val="00DE5427"/>
    <w:rsid w:val="00DF62AC"/>
    <w:rsid w:val="00DF6C38"/>
    <w:rsid w:val="00E131E3"/>
    <w:rsid w:val="00E15337"/>
    <w:rsid w:val="00E176C9"/>
    <w:rsid w:val="00E24772"/>
    <w:rsid w:val="00E248A4"/>
    <w:rsid w:val="00E279C4"/>
    <w:rsid w:val="00E67ADC"/>
    <w:rsid w:val="00E84D16"/>
    <w:rsid w:val="00EA3097"/>
    <w:rsid w:val="00EA42D4"/>
    <w:rsid w:val="00EC235C"/>
    <w:rsid w:val="00EC4996"/>
    <w:rsid w:val="00EE40AA"/>
    <w:rsid w:val="00EE61D8"/>
    <w:rsid w:val="00EF0BDA"/>
    <w:rsid w:val="00F138CB"/>
    <w:rsid w:val="00F274AF"/>
    <w:rsid w:val="00F409C2"/>
    <w:rsid w:val="00F615D2"/>
    <w:rsid w:val="00F722FF"/>
    <w:rsid w:val="00F80E07"/>
    <w:rsid w:val="00F8113B"/>
    <w:rsid w:val="00F846FA"/>
    <w:rsid w:val="00F85A73"/>
    <w:rsid w:val="00F90230"/>
    <w:rsid w:val="00F93DEA"/>
    <w:rsid w:val="00FA1F86"/>
    <w:rsid w:val="00FA7B90"/>
    <w:rsid w:val="00FC5117"/>
    <w:rsid w:val="01BC5D6C"/>
    <w:rsid w:val="0503DE81"/>
    <w:rsid w:val="071EA190"/>
    <w:rsid w:val="088DFAE4"/>
    <w:rsid w:val="0CA86C29"/>
    <w:rsid w:val="0D73A773"/>
    <w:rsid w:val="0E8B6AD6"/>
    <w:rsid w:val="1047604A"/>
    <w:rsid w:val="123A84B2"/>
    <w:rsid w:val="1261471D"/>
    <w:rsid w:val="14BD7D4F"/>
    <w:rsid w:val="153C4E69"/>
    <w:rsid w:val="16FCC2E9"/>
    <w:rsid w:val="17431382"/>
    <w:rsid w:val="18877C62"/>
    <w:rsid w:val="1DB9161C"/>
    <w:rsid w:val="1E331EFB"/>
    <w:rsid w:val="1FADA0B9"/>
    <w:rsid w:val="201A311F"/>
    <w:rsid w:val="2155EFBD"/>
    <w:rsid w:val="21FCF243"/>
    <w:rsid w:val="22F9302F"/>
    <w:rsid w:val="2558D9B5"/>
    <w:rsid w:val="2A11DCC4"/>
    <w:rsid w:val="2A33F2B3"/>
    <w:rsid w:val="2C55D3F8"/>
    <w:rsid w:val="31BC10F3"/>
    <w:rsid w:val="3428B36D"/>
    <w:rsid w:val="3758D25F"/>
    <w:rsid w:val="3956C359"/>
    <w:rsid w:val="3AF826CB"/>
    <w:rsid w:val="3C72C9DD"/>
    <w:rsid w:val="3EA71149"/>
    <w:rsid w:val="3FE74CB7"/>
    <w:rsid w:val="3FF3E547"/>
    <w:rsid w:val="40022712"/>
    <w:rsid w:val="403AEE0B"/>
    <w:rsid w:val="438917B7"/>
    <w:rsid w:val="43CA3C38"/>
    <w:rsid w:val="46B12CB1"/>
    <w:rsid w:val="4B40410B"/>
    <w:rsid w:val="4B9F71E6"/>
    <w:rsid w:val="4E278753"/>
    <w:rsid w:val="4F8C142C"/>
    <w:rsid w:val="50189C4D"/>
    <w:rsid w:val="53EC4051"/>
    <w:rsid w:val="553DDF1B"/>
    <w:rsid w:val="580E63CB"/>
    <w:rsid w:val="59473126"/>
    <w:rsid w:val="5AABF601"/>
    <w:rsid w:val="5BC7921A"/>
    <w:rsid w:val="5C698840"/>
    <w:rsid w:val="5F3FA7E9"/>
    <w:rsid w:val="60F59C96"/>
    <w:rsid w:val="645422E4"/>
    <w:rsid w:val="64816E99"/>
    <w:rsid w:val="64B8D4F6"/>
    <w:rsid w:val="65A0A5F3"/>
    <w:rsid w:val="65B9186A"/>
    <w:rsid w:val="66AC4A93"/>
    <w:rsid w:val="67510C81"/>
    <w:rsid w:val="691F4752"/>
    <w:rsid w:val="69410A11"/>
    <w:rsid w:val="6A491100"/>
    <w:rsid w:val="6AA4B95C"/>
    <w:rsid w:val="6B0D6EBF"/>
    <w:rsid w:val="6BCFED6D"/>
    <w:rsid w:val="6D75F69F"/>
    <w:rsid w:val="72CAD3EA"/>
    <w:rsid w:val="733A4904"/>
    <w:rsid w:val="7356ECDB"/>
    <w:rsid w:val="737667A1"/>
    <w:rsid w:val="737EC2C5"/>
    <w:rsid w:val="7438C369"/>
    <w:rsid w:val="76CE24B1"/>
    <w:rsid w:val="779E01C7"/>
    <w:rsid w:val="7B34D0E2"/>
    <w:rsid w:val="7BA2E404"/>
    <w:rsid w:val="7D0F9347"/>
    <w:rsid w:val="7FAC8F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8074"/>
  <w15:chartTrackingRefBased/>
  <w15:docId w15:val="{14485B49-0885-46C3-91B1-BB95F5E1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0E5"/>
    <w:pPr>
      <w:spacing w:before="120" w:after="120"/>
    </w:pPr>
    <w:rPr>
      <w:rFonts w:ascii="Verdana" w:hAnsi="Verdana"/>
      <w:sz w:val="24"/>
    </w:rPr>
  </w:style>
  <w:style w:type="paragraph" w:styleId="Heading1">
    <w:name w:val="heading 1"/>
    <w:basedOn w:val="Normal"/>
    <w:next w:val="Normal"/>
    <w:link w:val="Heading1Char"/>
    <w:uiPriority w:val="9"/>
    <w:qFormat/>
    <w:rsid w:val="009360E5"/>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F6C38"/>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A356F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0E07"/>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CommentReference">
    <w:name w:val="annotation reference"/>
    <w:basedOn w:val="DefaultParagraphFont"/>
    <w:uiPriority w:val="99"/>
    <w:semiHidden/>
    <w:unhideWhenUsed/>
    <w:rsid w:val="00B66EE2"/>
    <w:rPr>
      <w:sz w:val="16"/>
      <w:szCs w:val="16"/>
    </w:rPr>
  </w:style>
  <w:style w:type="paragraph" w:styleId="CommentText">
    <w:name w:val="annotation text"/>
    <w:basedOn w:val="Normal"/>
    <w:link w:val="CommentTextChar"/>
    <w:uiPriority w:val="99"/>
    <w:unhideWhenUsed/>
    <w:rsid w:val="00B66EE2"/>
    <w:pPr>
      <w:spacing w:line="240" w:lineRule="auto"/>
    </w:pPr>
    <w:rPr>
      <w:sz w:val="20"/>
      <w:szCs w:val="20"/>
    </w:rPr>
  </w:style>
  <w:style w:type="character" w:customStyle="1" w:styleId="CommentTextChar">
    <w:name w:val="Comment Text Char"/>
    <w:basedOn w:val="DefaultParagraphFont"/>
    <w:link w:val="CommentText"/>
    <w:uiPriority w:val="99"/>
    <w:rsid w:val="00B66EE2"/>
    <w:rPr>
      <w:sz w:val="20"/>
      <w:szCs w:val="20"/>
    </w:rPr>
  </w:style>
  <w:style w:type="character" w:customStyle="1" w:styleId="normaltextrun">
    <w:name w:val="normaltextrun"/>
    <w:basedOn w:val="DefaultParagraphFont"/>
    <w:rsid w:val="00F138CB"/>
  </w:style>
  <w:style w:type="character" w:customStyle="1" w:styleId="eop">
    <w:name w:val="eop"/>
    <w:basedOn w:val="DefaultParagraphFont"/>
    <w:rsid w:val="00F138CB"/>
  </w:style>
  <w:style w:type="paragraph" w:styleId="Revision">
    <w:name w:val="Revision"/>
    <w:hidden/>
    <w:uiPriority w:val="99"/>
    <w:semiHidden/>
    <w:rsid w:val="001A35BD"/>
    <w:pPr>
      <w:spacing w:after="0" w:line="240" w:lineRule="auto"/>
    </w:pPr>
  </w:style>
  <w:style w:type="character" w:customStyle="1" w:styleId="Heading1Char">
    <w:name w:val="Heading 1 Char"/>
    <w:basedOn w:val="DefaultParagraphFont"/>
    <w:link w:val="Heading1"/>
    <w:uiPriority w:val="9"/>
    <w:rsid w:val="009360E5"/>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DF6C38"/>
    <w:rPr>
      <w:rFonts w:ascii="Verdana" w:eastAsiaTheme="majorEastAsia" w:hAnsi="Verdana" w:cstheme="majorBidi"/>
      <w:b/>
      <w:sz w:val="28"/>
      <w:szCs w:val="26"/>
    </w:rPr>
  </w:style>
  <w:style w:type="character" w:styleId="Hyperlink">
    <w:name w:val="Hyperlink"/>
    <w:basedOn w:val="DefaultParagraphFont"/>
    <w:uiPriority w:val="99"/>
    <w:unhideWhenUsed/>
    <w:rsid w:val="009360E5"/>
    <w:rPr>
      <w:color w:val="0563C1" w:themeColor="hyperlink"/>
      <w:u w:val="single"/>
    </w:rPr>
  </w:style>
  <w:style w:type="character" w:styleId="UnresolvedMention">
    <w:name w:val="Unresolved Mention"/>
    <w:basedOn w:val="DefaultParagraphFont"/>
    <w:uiPriority w:val="99"/>
    <w:semiHidden/>
    <w:unhideWhenUsed/>
    <w:rsid w:val="009360E5"/>
    <w:rPr>
      <w:color w:val="605E5C"/>
      <w:shd w:val="clear" w:color="auto" w:fill="E1DFDD"/>
    </w:rPr>
  </w:style>
  <w:style w:type="table" w:styleId="TableGrid">
    <w:name w:val="Table Grid"/>
    <w:basedOn w:val="TableNormal"/>
    <w:uiPriority w:val="39"/>
    <w:rsid w:val="00936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1833"/>
    <w:pPr>
      <w:ind w:left="720"/>
      <w:contextualSpacing/>
    </w:pPr>
  </w:style>
  <w:style w:type="character" w:customStyle="1" w:styleId="Heading3Char">
    <w:name w:val="Heading 3 Char"/>
    <w:basedOn w:val="DefaultParagraphFont"/>
    <w:link w:val="Heading3"/>
    <w:uiPriority w:val="9"/>
    <w:semiHidden/>
    <w:rsid w:val="00A356F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A356F6"/>
    <w:pPr>
      <w:tabs>
        <w:tab w:val="right" w:leader="dot" w:pos="9350"/>
      </w:tabs>
      <w:spacing w:after="100"/>
    </w:pPr>
  </w:style>
  <w:style w:type="character" w:styleId="FollowedHyperlink">
    <w:name w:val="FollowedHyperlink"/>
    <w:basedOn w:val="DefaultParagraphFont"/>
    <w:uiPriority w:val="99"/>
    <w:semiHidden/>
    <w:unhideWhenUsed/>
    <w:rsid w:val="00A356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2690">
      <w:bodyDiv w:val="1"/>
      <w:marLeft w:val="0"/>
      <w:marRight w:val="0"/>
      <w:marTop w:val="0"/>
      <w:marBottom w:val="0"/>
      <w:divBdr>
        <w:top w:val="none" w:sz="0" w:space="0" w:color="auto"/>
        <w:left w:val="none" w:sz="0" w:space="0" w:color="auto"/>
        <w:bottom w:val="none" w:sz="0" w:space="0" w:color="auto"/>
        <w:right w:val="none" w:sz="0" w:space="0" w:color="auto"/>
      </w:divBdr>
    </w:div>
    <w:div w:id="540173695">
      <w:bodyDiv w:val="1"/>
      <w:marLeft w:val="0"/>
      <w:marRight w:val="0"/>
      <w:marTop w:val="0"/>
      <w:marBottom w:val="0"/>
      <w:divBdr>
        <w:top w:val="none" w:sz="0" w:space="0" w:color="auto"/>
        <w:left w:val="none" w:sz="0" w:space="0" w:color="auto"/>
        <w:bottom w:val="none" w:sz="0" w:space="0" w:color="auto"/>
        <w:right w:val="none" w:sz="0" w:space="0" w:color="auto"/>
      </w:divBdr>
    </w:div>
    <w:div w:id="632055768">
      <w:bodyDiv w:val="1"/>
      <w:marLeft w:val="0"/>
      <w:marRight w:val="0"/>
      <w:marTop w:val="0"/>
      <w:marBottom w:val="0"/>
      <w:divBdr>
        <w:top w:val="none" w:sz="0" w:space="0" w:color="auto"/>
        <w:left w:val="none" w:sz="0" w:space="0" w:color="auto"/>
        <w:bottom w:val="none" w:sz="0" w:space="0" w:color="auto"/>
        <w:right w:val="none" w:sz="0" w:space="0" w:color="auto"/>
      </w:divBdr>
    </w:div>
    <w:div w:id="11455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bf912b4f12eb7005afd2bae5938a38c3">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c3a4bce088898085ab96066dc5d04373"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t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 xsi:nil="true"/>
    <ProjectAnalyst xmlns="d19e0082-693e-45ae-8f74-da0dd659fa03">Lindsey</ProjectAnalyst>
    <DocumentConsultatnt xmlns="d19e0082-693e-45ae-8f74-da0dd659fa03" xsi:nil="true"/>
    <LifelineQuickChat xmlns="d19e0082-693e-45ae-8f74-da0dd659fa03" xsi:nil="true"/>
    <Status xmlns="d19e0082-693e-45ae-8f74-da0dd659fa03" xsi:nil="true"/>
    <DueDate xmlns="d19e0082-693e-45ae-8f74-da0dd659fa03" xsi:nil="true"/>
  </documentManagement>
</p:properties>
</file>

<file path=customXml/itemProps1.xml><?xml version="1.0" encoding="utf-8"?>
<ds:datastoreItem xmlns:ds="http://schemas.openxmlformats.org/officeDocument/2006/customXml" ds:itemID="{66499492-9164-47DD-84F2-1ECC062FDEC5}">
  <ds:schemaRefs>
    <ds:schemaRef ds:uri="http://schemas.microsoft.com/sharepoint/v3/contenttype/forms"/>
  </ds:schemaRefs>
</ds:datastoreItem>
</file>

<file path=customXml/itemProps2.xml><?xml version="1.0" encoding="utf-8"?>
<ds:datastoreItem xmlns:ds="http://schemas.openxmlformats.org/officeDocument/2006/customXml" ds:itemID="{EB4B53AB-98C0-4219-B956-A8FE8F248D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C624AA-50AC-4A3A-B425-8588B3A6A98B}">
  <ds:schemaRefs>
    <ds:schemaRef ds:uri="http://schemas.openxmlformats.org/officeDocument/2006/bibliography"/>
  </ds:schemaRefs>
</ds:datastoreItem>
</file>

<file path=customXml/itemProps4.xml><?xml version="1.0" encoding="utf-8"?>
<ds:datastoreItem xmlns:ds="http://schemas.openxmlformats.org/officeDocument/2006/customXml" ds:itemID="{10CCE31D-1D9B-4FB0-AA49-FB27A16C61C0}">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Sohmer, Devin M</dc:creator>
  <cp:keywords/>
  <dc:description/>
  <cp:lastModifiedBy>Dugdale, Brienna</cp:lastModifiedBy>
  <cp:revision>4</cp:revision>
  <dcterms:created xsi:type="dcterms:W3CDTF">2025-04-14T18:56:00Z</dcterms:created>
  <dcterms:modified xsi:type="dcterms:W3CDTF">2025-04-14T18:59:00Z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2025-02-13T15:05:17Z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29d71bc0-6eba-4581-badf-1f80e3b0fd06</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