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CFAF7" w14:textId="77777777" w:rsidR="00F77F73" w:rsidRPr="00E869FE" w:rsidRDefault="00F77F73" w:rsidP="00F77F73">
      <w:pPr>
        <w:pStyle w:val="Heading1"/>
      </w:pPr>
      <w:bookmarkStart w:id="0" w:name="_top"/>
      <w:bookmarkEnd w:id="0"/>
      <w:r w:rsidRPr="00E869FE">
        <w:t>Prior Authorization Questions and Answers</w:t>
      </w:r>
    </w:p>
    <w:p w14:paraId="4EF4A6A7" w14:textId="77777777" w:rsidR="00F77F73" w:rsidRPr="00E869FE" w:rsidRDefault="00F77F73" w:rsidP="00F77F73">
      <w:pPr>
        <w:pStyle w:val="TOC2"/>
        <w:rPr>
          <w:rFonts w:eastAsiaTheme="minorEastAsia"/>
          <w:noProof/>
          <w:szCs w:val="24"/>
        </w:rPr>
      </w:pPr>
      <w:r w:rsidRPr="00E869FE">
        <w:rPr>
          <w:b/>
          <w:bCs/>
        </w:rPr>
        <w:fldChar w:fldCharType="begin"/>
      </w:r>
      <w:r w:rsidRPr="00E869FE">
        <w:rPr>
          <w:b/>
          <w:bCs/>
        </w:rPr>
        <w:instrText xml:space="preserve"> TOC \o "2-2" \n \p " " \h \z \u </w:instrText>
      </w:r>
      <w:r w:rsidRPr="00E869FE">
        <w:rPr>
          <w:b/>
          <w:bCs/>
        </w:rPr>
        <w:fldChar w:fldCharType="separate"/>
      </w:r>
      <w:hyperlink w:anchor="_Toc193465210" w:history="1">
        <w:r w:rsidRPr="00E869FE">
          <w:rPr>
            <w:rStyle w:val="Hyperlink"/>
            <w:noProof/>
          </w:rPr>
          <w:t>Possible In Process Q&amp;A</w:t>
        </w:r>
      </w:hyperlink>
    </w:p>
    <w:p w14:paraId="1AAA351A" w14:textId="77777777" w:rsidR="00F77F73" w:rsidRPr="00E869FE" w:rsidRDefault="00F77F73" w:rsidP="00F77F73">
      <w:pPr>
        <w:pStyle w:val="TOC2"/>
        <w:rPr>
          <w:rFonts w:eastAsiaTheme="minorEastAsia"/>
          <w:noProof/>
          <w:szCs w:val="24"/>
        </w:rPr>
      </w:pPr>
      <w:hyperlink w:anchor="_Toc193465211" w:history="1">
        <w:r w:rsidRPr="00E869FE">
          <w:rPr>
            <w:rStyle w:val="Hyperlink"/>
            <w:noProof/>
          </w:rPr>
          <w:t>Possible Denied Q&amp;A</w:t>
        </w:r>
      </w:hyperlink>
    </w:p>
    <w:p w14:paraId="0EC3F785" w14:textId="77777777" w:rsidR="00F77F73" w:rsidRPr="00E869FE" w:rsidRDefault="00F77F73" w:rsidP="00F77F73">
      <w:pPr>
        <w:pStyle w:val="TOC2"/>
        <w:rPr>
          <w:rFonts w:eastAsiaTheme="minorEastAsia"/>
          <w:noProof/>
          <w:szCs w:val="24"/>
        </w:rPr>
      </w:pPr>
      <w:hyperlink w:anchor="_Toc193465212" w:history="1">
        <w:r w:rsidRPr="00E869FE">
          <w:rPr>
            <w:rStyle w:val="Hyperlink"/>
            <w:noProof/>
          </w:rPr>
          <w:t>ePA Q&amp;A</w:t>
        </w:r>
      </w:hyperlink>
    </w:p>
    <w:p w14:paraId="0EFB7153" w14:textId="77777777" w:rsidR="00F77F73" w:rsidRPr="00E869FE" w:rsidRDefault="00F77F73" w:rsidP="00F77F73">
      <w:pPr>
        <w:rPr>
          <w:b/>
          <w:bCs/>
        </w:rPr>
      </w:pPr>
      <w:r w:rsidRPr="00E869FE">
        <w:rPr>
          <w:b/>
          <w:bCs/>
        </w:rPr>
        <w:fldChar w:fldCharType="end"/>
      </w:r>
    </w:p>
    <w:p w14:paraId="5F3745FB" w14:textId="77777777" w:rsidR="00F77F73" w:rsidRPr="00E869FE" w:rsidRDefault="00F77F73" w:rsidP="00F77F73">
      <w:r w:rsidRPr="00E869FE">
        <w:rPr>
          <w:b/>
          <w:bCs/>
        </w:rPr>
        <w:t>Description:</w:t>
      </w:r>
      <w:r w:rsidRPr="00E869FE">
        <w:t xml:space="preserve">  Provides possible questions and answers for handling various scenarios related to PA processes, including submission, status updates, denials, and appeals. </w:t>
      </w:r>
    </w:p>
    <w:tbl>
      <w:tblPr>
        <w:tblStyle w:val="TableGrid"/>
        <w:tblW w:w="5000" w:type="pct"/>
        <w:tblLook w:val="04A0" w:firstRow="1" w:lastRow="0" w:firstColumn="1" w:lastColumn="0" w:noHBand="0" w:noVBand="1"/>
      </w:tblPr>
      <w:tblGrid>
        <w:gridCol w:w="9350"/>
      </w:tblGrid>
      <w:tr w:rsidR="00F77F73" w:rsidRPr="00E869FE" w14:paraId="08937B20" w14:textId="77777777" w:rsidTr="00710A3B">
        <w:tc>
          <w:tcPr>
            <w:tcW w:w="5000" w:type="pct"/>
            <w:shd w:val="clear" w:color="auto" w:fill="BFBFBF" w:themeFill="background1" w:themeFillShade="BF"/>
          </w:tcPr>
          <w:p w14:paraId="66849D4D" w14:textId="77777777" w:rsidR="00F77F73" w:rsidRPr="00E869FE" w:rsidRDefault="00F77F73" w:rsidP="00710A3B">
            <w:pPr>
              <w:pStyle w:val="Heading2"/>
            </w:pPr>
            <w:bookmarkStart w:id="1" w:name="_Toc193465210"/>
            <w:r w:rsidRPr="00E869FE">
              <w:t>Possible In Process Q&amp;A</w:t>
            </w:r>
            <w:bookmarkEnd w:id="1"/>
          </w:p>
        </w:tc>
      </w:tr>
    </w:tbl>
    <w:p w14:paraId="1CE74089" w14:textId="77777777" w:rsidR="00F77F73" w:rsidRPr="00E869FE" w:rsidRDefault="00F77F73" w:rsidP="00F77F73">
      <w:r w:rsidRPr="00E869FE">
        <w:t>Refer to the table below:</w:t>
      </w:r>
    </w:p>
    <w:tbl>
      <w:tblPr>
        <w:tblStyle w:val="TableGrid"/>
        <w:tblW w:w="5000" w:type="pct"/>
        <w:tblLook w:val="04A0" w:firstRow="1" w:lastRow="0" w:firstColumn="1" w:lastColumn="0" w:noHBand="0" w:noVBand="1"/>
      </w:tblPr>
      <w:tblGrid>
        <w:gridCol w:w="696"/>
        <w:gridCol w:w="2646"/>
        <w:gridCol w:w="2729"/>
        <w:gridCol w:w="3279"/>
      </w:tblGrid>
      <w:tr w:rsidR="00F77F73" w:rsidRPr="00E869FE" w14:paraId="5B6F3C91" w14:textId="77777777" w:rsidTr="00264EB1">
        <w:tc>
          <w:tcPr>
            <w:tcW w:w="352" w:type="pct"/>
            <w:shd w:val="clear" w:color="auto" w:fill="D9D9D9" w:themeFill="background1" w:themeFillShade="D9"/>
          </w:tcPr>
          <w:p w14:paraId="6EA38D4D" w14:textId="77777777" w:rsidR="00F77F73" w:rsidRPr="00E869FE" w:rsidRDefault="00F77F73" w:rsidP="00710A3B">
            <w:pPr>
              <w:jc w:val="center"/>
              <w:rPr>
                <w:b/>
                <w:bCs/>
              </w:rPr>
            </w:pPr>
            <w:r w:rsidRPr="00E869FE">
              <w:rPr>
                <w:b/>
                <w:bCs/>
              </w:rPr>
              <w:t>#</w:t>
            </w:r>
          </w:p>
        </w:tc>
        <w:tc>
          <w:tcPr>
            <w:tcW w:w="1422" w:type="pct"/>
            <w:shd w:val="clear" w:color="auto" w:fill="D9D9D9" w:themeFill="background1" w:themeFillShade="D9"/>
          </w:tcPr>
          <w:p w14:paraId="1370B265" w14:textId="77777777" w:rsidR="00F77F73" w:rsidRPr="00E869FE" w:rsidRDefault="00F77F73" w:rsidP="00710A3B">
            <w:pPr>
              <w:jc w:val="center"/>
              <w:rPr>
                <w:b/>
                <w:bCs/>
              </w:rPr>
            </w:pPr>
            <w:r w:rsidRPr="00E869FE">
              <w:rPr>
                <w:b/>
                <w:bCs/>
              </w:rPr>
              <w:t>Question</w:t>
            </w:r>
          </w:p>
        </w:tc>
        <w:tc>
          <w:tcPr>
            <w:tcW w:w="3226" w:type="pct"/>
            <w:gridSpan w:val="2"/>
            <w:shd w:val="clear" w:color="auto" w:fill="D9D9D9" w:themeFill="background1" w:themeFillShade="D9"/>
          </w:tcPr>
          <w:p w14:paraId="65788410" w14:textId="77777777" w:rsidR="00F77F73" w:rsidRPr="00E869FE" w:rsidRDefault="00F77F73" w:rsidP="00710A3B">
            <w:pPr>
              <w:jc w:val="center"/>
              <w:rPr>
                <w:b/>
                <w:bCs/>
              </w:rPr>
            </w:pPr>
            <w:r w:rsidRPr="00E869FE">
              <w:rPr>
                <w:b/>
                <w:bCs/>
              </w:rPr>
              <w:t>Answer</w:t>
            </w:r>
          </w:p>
        </w:tc>
      </w:tr>
      <w:tr w:rsidR="00F77F73" w:rsidRPr="00E869FE" w14:paraId="0909C7F4" w14:textId="77777777" w:rsidTr="00264EB1">
        <w:tc>
          <w:tcPr>
            <w:tcW w:w="352" w:type="pct"/>
          </w:tcPr>
          <w:p w14:paraId="55736FF3" w14:textId="77777777" w:rsidR="00F77F73" w:rsidRPr="00E869FE" w:rsidRDefault="00F77F73" w:rsidP="00710A3B">
            <w:pPr>
              <w:jc w:val="center"/>
              <w:rPr>
                <w:b/>
                <w:bCs/>
              </w:rPr>
            </w:pPr>
            <w:r w:rsidRPr="00E869FE">
              <w:rPr>
                <w:b/>
                <w:bCs/>
              </w:rPr>
              <w:t>1</w:t>
            </w:r>
          </w:p>
        </w:tc>
        <w:tc>
          <w:tcPr>
            <w:tcW w:w="1422" w:type="pct"/>
          </w:tcPr>
          <w:p w14:paraId="489A9EFC" w14:textId="77777777" w:rsidR="00F77F73" w:rsidRPr="00E869FE" w:rsidRDefault="00F77F73" w:rsidP="00710A3B">
            <w:pPr>
              <w:rPr>
                <w:szCs w:val="24"/>
              </w:rPr>
            </w:pPr>
            <w:r w:rsidRPr="00E869FE">
              <w:rPr>
                <w:szCs w:val="24"/>
              </w:rPr>
              <w:t>When did my doctor submit the prior authorization?</w:t>
            </w:r>
          </w:p>
        </w:tc>
        <w:tc>
          <w:tcPr>
            <w:tcW w:w="3226" w:type="pct"/>
            <w:gridSpan w:val="2"/>
          </w:tcPr>
          <w:p w14:paraId="6ED1FDFD" w14:textId="77777777" w:rsidR="00F77F73" w:rsidRPr="00E869FE" w:rsidRDefault="00F77F73" w:rsidP="00710A3B">
            <w:pPr>
              <w:rPr>
                <w:color w:val="000000"/>
                <w:szCs w:val="24"/>
              </w:rPr>
            </w:pPr>
            <w:r w:rsidRPr="00E869FE">
              <w:rPr>
                <w:noProof/>
                <w:color w:val="000000"/>
                <w:szCs w:val="24"/>
              </w:rPr>
              <w:drawing>
                <wp:inline distT="0" distB="0" distL="0" distR="0" wp14:anchorId="3D3C44A2" wp14:editId="4C21DD02">
                  <wp:extent cx="238158" cy="209579"/>
                  <wp:effectExtent l="0" t="0" r="9525" b="0"/>
                  <wp:docPr id="80936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9019" name="Picture 809369019"/>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rPr>
                <w:color w:val="000000"/>
                <w:szCs w:val="24"/>
              </w:rPr>
              <w:t xml:space="preserve"> One moment while I </w:t>
            </w:r>
            <w:proofErr w:type="gramStart"/>
            <w:r w:rsidRPr="00E869FE">
              <w:rPr>
                <w:color w:val="000000"/>
                <w:szCs w:val="24"/>
              </w:rPr>
              <w:t>contact</w:t>
            </w:r>
            <w:proofErr w:type="gramEnd"/>
            <w:r w:rsidRPr="00E869FE">
              <w:rPr>
                <w:color w:val="000000"/>
                <w:szCs w:val="24"/>
              </w:rPr>
              <w:t xml:space="preserve"> the Prior Authorization department to obtain that information for you. </w:t>
            </w:r>
          </w:p>
        </w:tc>
      </w:tr>
      <w:tr w:rsidR="00F77F73" w:rsidRPr="00E869FE" w14:paraId="196E4C8E" w14:textId="77777777" w:rsidTr="00264EB1">
        <w:tc>
          <w:tcPr>
            <w:tcW w:w="352" w:type="pct"/>
          </w:tcPr>
          <w:p w14:paraId="574884A0" w14:textId="77777777" w:rsidR="00F77F73" w:rsidRPr="00E869FE" w:rsidRDefault="00F77F73" w:rsidP="00710A3B">
            <w:pPr>
              <w:jc w:val="center"/>
              <w:rPr>
                <w:b/>
                <w:bCs/>
              </w:rPr>
            </w:pPr>
            <w:r w:rsidRPr="00E869FE">
              <w:rPr>
                <w:b/>
                <w:bCs/>
              </w:rPr>
              <w:t>2</w:t>
            </w:r>
          </w:p>
        </w:tc>
        <w:tc>
          <w:tcPr>
            <w:tcW w:w="1422" w:type="pct"/>
          </w:tcPr>
          <w:p w14:paraId="1414D5AE" w14:textId="77777777" w:rsidR="00F77F73" w:rsidRPr="00E869FE" w:rsidRDefault="00F77F73" w:rsidP="00710A3B">
            <w:pPr>
              <w:rPr>
                <w:szCs w:val="24"/>
              </w:rPr>
            </w:pPr>
            <w:r w:rsidRPr="00E869FE">
              <w:rPr>
                <w:szCs w:val="24"/>
              </w:rPr>
              <w:t>How long will it take to get an answer for the PA?</w:t>
            </w:r>
          </w:p>
          <w:p w14:paraId="7E5628BB" w14:textId="77777777" w:rsidR="00F77F73" w:rsidRPr="00E869FE" w:rsidRDefault="00F77F73" w:rsidP="00710A3B">
            <w:pPr>
              <w:rPr>
                <w:szCs w:val="24"/>
              </w:rPr>
            </w:pPr>
          </w:p>
        </w:tc>
        <w:tc>
          <w:tcPr>
            <w:tcW w:w="3226" w:type="pct"/>
            <w:gridSpan w:val="2"/>
          </w:tcPr>
          <w:p w14:paraId="4A659ACC" w14:textId="77777777" w:rsidR="00F77F73" w:rsidRPr="00E869FE" w:rsidRDefault="00F77F73" w:rsidP="00710A3B">
            <w:pPr>
              <w:rPr>
                <w:szCs w:val="24"/>
              </w:rPr>
            </w:pPr>
            <w:r w:rsidRPr="00E869FE">
              <w:rPr>
                <w:noProof/>
                <w:color w:val="000000"/>
                <w:szCs w:val="24"/>
              </w:rPr>
              <w:drawing>
                <wp:inline distT="0" distB="0" distL="0" distR="0" wp14:anchorId="4A286D9E" wp14:editId="0C0222B7">
                  <wp:extent cx="238158" cy="209579"/>
                  <wp:effectExtent l="0" t="0" r="9525" b="0"/>
                  <wp:docPr id="9937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9019" name="Picture 809369019"/>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rPr>
                <w:color w:val="000000"/>
                <w:szCs w:val="24"/>
              </w:rPr>
              <w:t xml:space="preserve"> </w:t>
            </w:r>
            <w:r w:rsidRPr="00E869FE">
              <w:rPr>
                <w:szCs w:val="24"/>
              </w:rPr>
              <w:t>The turnaround time can vary, depending on the information provided and the responsiveness of your physician. It will also depend on how the prior authorization was submitted. The standard turnaround time is three business days. (This is under the assumption that the information will be readily available for CCRs to see.)</w:t>
            </w:r>
          </w:p>
          <w:p w14:paraId="36F07088" w14:textId="77777777" w:rsidR="00F77F73" w:rsidRPr="00E869FE" w:rsidRDefault="00F77F73" w:rsidP="00710A3B">
            <w:pPr>
              <w:rPr>
                <w:szCs w:val="24"/>
              </w:rPr>
            </w:pPr>
          </w:p>
          <w:p w14:paraId="4119E4E0" w14:textId="77777777" w:rsidR="00F77F73" w:rsidRPr="00E869FE" w:rsidRDefault="00F77F73" w:rsidP="00710A3B">
            <w:pPr>
              <w:rPr>
                <w:szCs w:val="24"/>
              </w:rPr>
            </w:pPr>
            <w:r w:rsidRPr="00E869FE">
              <w:rPr>
                <w:szCs w:val="24"/>
              </w:rPr>
              <w:t xml:space="preserve">Explain to the member that the turnaround time for the process is about three (3) business days from the time that the prescriber responds. They can review caremark.com for the status of the prior authorization. If they need help finding the status on the website, refer to </w:t>
            </w:r>
            <w:hyperlink r:id="rId9" w:anchor="!/view?docid=20ba7691-5b2a-4780-9c3a-f671151ab55c" w:history="1">
              <w:r w:rsidRPr="00E869FE">
                <w:rPr>
                  <w:rStyle w:val="Hyperlink"/>
                </w:rPr>
                <w:t>Caremark.com – Prior Authorization (070305)</w:t>
              </w:r>
            </w:hyperlink>
            <w:r w:rsidRPr="00E869FE">
              <w:rPr>
                <w:szCs w:val="24"/>
              </w:rPr>
              <w:t>.</w:t>
            </w:r>
          </w:p>
        </w:tc>
      </w:tr>
      <w:tr w:rsidR="00F77F73" w:rsidRPr="00E869FE" w14:paraId="6390BE78" w14:textId="77777777" w:rsidTr="00264EB1">
        <w:trPr>
          <w:trHeight w:val="90"/>
        </w:trPr>
        <w:tc>
          <w:tcPr>
            <w:tcW w:w="352" w:type="pct"/>
            <w:vMerge w:val="restart"/>
          </w:tcPr>
          <w:p w14:paraId="377B9BA2" w14:textId="77777777" w:rsidR="00F77F73" w:rsidRPr="00E869FE" w:rsidRDefault="00F77F73" w:rsidP="00710A3B">
            <w:pPr>
              <w:jc w:val="center"/>
              <w:rPr>
                <w:b/>
                <w:bCs/>
              </w:rPr>
            </w:pPr>
            <w:r w:rsidRPr="00E869FE">
              <w:rPr>
                <w:b/>
                <w:bCs/>
              </w:rPr>
              <w:t>3</w:t>
            </w:r>
          </w:p>
        </w:tc>
        <w:tc>
          <w:tcPr>
            <w:tcW w:w="1422" w:type="pct"/>
            <w:vMerge w:val="restart"/>
          </w:tcPr>
          <w:p w14:paraId="1C0E6A99" w14:textId="77777777" w:rsidR="00F77F73" w:rsidRPr="00E869FE" w:rsidRDefault="00F77F73" w:rsidP="00710A3B">
            <w:pPr>
              <w:rPr>
                <w:szCs w:val="24"/>
              </w:rPr>
            </w:pPr>
            <w:r w:rsidRPr="00E869FE">
              <w:rPr>
                <w:szCs w:val="24"/>
              </w:rPr>
              <w:t>I am on Caremark.com and my Prior Authorization has been showing "pending or in process" for multiple days. What can I do next to help expedite this process?</w:t>
            </w:r>
          </w:p>
          <w:p w14:paraId="701C33C4" w14:textId="77777777" w:rsidR="00F77F73" w:rsidRPr="00E869FE" w:rsidRDefault="00F77F73" w:rsidP="00710A3B">
            <w:pPr>
              <w:rPr>
                <w:szCs w:val="24"/>
              </w:rPr>
            </w:pPr>
          </w:p>
        </w:tc>
        <w:tc>
          <w:tcPr>
            <w:tcW w:w="3226" w:type="pct"/>
            <w:gridSpan w:val="2"/>
          </w:tcPr>
          <w:p w14:paraId="04FACB49" w14:textId="77777777" w:rsidR="00F77F73" w:rsidRPr="00E869FE" w:rsidRDefault="00F77F73" w:rsidP="00710A3B">
            <w:pPr>
              <w:rPr>
                <w:szCs w:val="24"/>
              </w:rPr>
            </w:pPr>
            <w:r w:rsidRPr="00E869FE">
              <w:rPr>
                <w:noProof/>
                <w:color w:val="000000"/>
                <w:szCs w:val="24"/>
              </w:rPr>
              <w:drawing>
                <wp:inline distT="0" distB="0" distL="0" distR="0" wp14:anchorId="48FA7190" wp14:editId="4AE38C29">
                  <wp:extent cx="238158" cy="209579"/>
                  <wp:effectExtent l="0" t="0" r="9525" b="0"/>
                  <wp:docPr id="116719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9019" name="Picture 809369019"/>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rPr>
                <w:color w:val="000000"/>
                <w:szCs w:val="24"/>
              </w:rPr>
              <w:t xml:space="preserve"> </w:t>
            </w:r>
            <w:r w:rsidRPr="00E869FE">
              <w:rPr>
                <w:szCs w:val="24"/>
              </w:rPr>
              <w:t>I can review the status and look at the forms submitted by your doctor's office .</w:t>
            </w:r>
          </w:p>
          <w:p w14:paraId="24556459" w14:textId="77777777" w:rsidR="00F77F73" w:rsidRPr="00E869FE" w:rsidRDefault="00F77F73" w:rsidP="00710A3B">
            <w:pPr>
              <w:rPr>
                <w:szCs w:val="24"/>
              </w:rPr>
            </w:pPr>
          </w:p>
          <w:p w14:paraId="7AF75FFA" w14:textId="77777777" w:rsidR="00F77F73" w:rsidRPr="00E869FE" w:rsidRDefault="00F77F73" w:rsidP="00710A3B">
            <w:pPr>
              <w:rPr>
                <w:szCs w:val="24"/>
              </w:rPr>
            </w:pPr>
            <w:r w:rsidRPr="00E869FE">
              <w:rPr>
                <w:szCs w:val="24"/>
              </w:rPr>
              <w:t xml:space="preserve">Click the </w:t>
            </w:r>
            <w:r w:rsidRPr="00E869FE">
              <w:rPr>
                <w:b/>
                <w:bCs/>
                <w:szCs w:val="24"/>
              </w:rPr>
              <w:t>view documents</w:t>
            </w:r>
            <w:r w:rsidRPr="00E869FE">
              <w:rPr>
                <w:szCs w:val="24"/>
              </w:rPr>
              <w:t xml:space="preserve"> hyperlink next to the corresponding PA submission. After reviewing the status and viewing the documents, if not enough information is provided to </w:t>
            </w:r>
            <w:proofErr w:type="gramStart"/>
            <w:r w:rsidRPr="00E869FE">
              <w:rPr>
                <w:szCs w:val="24"/>
              </w:rPr>
              <w:t>make a determination</w:t>
            </w:r>
            <w:proofErr w:type="gramEnd"/>
            <w:r w:rsidRPr="00E869FE">
              <w:rPr>
                <w:szCs w:val="24"/>
              </w:rPr>
              <w:t xml:space="preserve">, call </w:t>
            </w:r>
            <w:proofErr w:type="gramStart"/>
            <w:r w:rsidRPr="00E869FE">
              <w:rPr>
                <w:szCs w:val="24"/>
              </w:rPr>
              <w:t>PA</w:t>
            </w:r>
            <w:proofErr w:type="gramEnd"/>
            <w:r w:rsidRPr="00E869FE">
              <w:rPr>
                <w:szCs w:val="24"/>
              </w:rPr>
              <w:t xml:space="preserve"> dept, and relay information to </w:t>
            </w:r>
            <w:proofErr w:type="gramStart"/>
            <w:r w:rsidRPr="00E869FE">
              <w:rPr>
                <w:szCs w:val="24"/>
              </w:rPr>
              <w:t>member</w:t>
            </w:r>
            <w:proofErr w:type="gramEnd"/>
            <w:r w:rsidRPr="00E869FE">
              <w:rPr>
                <w:szCs w:val="24"/>
              </w:rPr>
              <w:t xml:space="preserve">. </w:t>
            </w:r>
          </w:p>
          <w:p w14:paraId="7F29FC1E" w14:textId="77777777" w:rsidR="00F77F73" w:rsidRPr="00E869FE" w:rsidRDefault="00F77F73" w:rsidP="00710A3B">
            <w:pPr>
              <w:rPr>
                <w:szCs w:val="24"/>
              </w:rPr>
            </w:pPr>
          </w:p>
          <w:p w14:paraId="08BA064F" w14:textId="77777777" w:rsidR="00F77F73" w:rsidRPr="00E869FE" w:rsidRDefault="00F77F73" w:rsidP="00710A3B">
            <w:pPr>
              <w:rPr>
                <w:szCs w:val="24"/>
              </w:rPr>
            </w:pPr>
            <w:r w:rsidRPr="00E869FE">
              <w:rPr>
                <w:szCs w:val="24"/>
              </w:rPr>
              <w:t xml:space="preserve">Refer to the following scenarios:  </w:t>
            </w:r>
          </w:p>
        </w:tc>
      </w:tr>
      <w:tr w:rsidR="00F77F73" w:rsidRPr="00E869FE" w14:paraId="2EBB76CF" w14:textId="77777777" w:rsidTr="00264EB1">
        <w:trPr>
          <w:trHeight w:val="90"/>
        </w:trPr>
        <w:tc>
          <w:tcPr>
            <w:tcW w:w="352" w:type="pct"/>
            <w:vMerge/>
          </w:tcPr>
          <w:p w14:paraId="42E7DD28" w14:textId="77777777" w:rsidR="00F77F73" w:rsidRPr="00E869FE" w:rsidRDefault="00F77F73" w:rsidP="00710A3B">
            <w:pPr>
              <w:jc w:val="center"/>
              <w:rPr>
                <w:b/>
                <w:bCs/>
              </w:rPr>
            </w:pPr>
          </w:p>
        </w:tc>
        <w:tc>
          <w:tcPr>
            <w:tcW w:w="1422" w:type="pct"/>
            <w:vMerge/>
          </w:tcPr>
          <w:p w14:paraId="541C2005" w14:textId="77777777" w:rsidR="00F77F73" w:rsidRPr="00E869FE" w:rsidRDefault="00F77F73" w:rsidP="00710A3B">
            <w:pPr>
              <w:rPr>
                <w:szCs w:val="24"/>
              </w:rPr>
            </w:pPr>
          </w:p>
        </w:tc>
        <w:tc>
          <w:tcPr>
            <w:tcW w:w="1466" w:type="pct"/>
            <w:shd w:val="clear" w:color="auto" w:fill="D9D9D9" w:themeFill="background1" w:themeFillShade="D9"/>
          </w:tcPr>
          <w:p w14:paraId="56054D83" w14:textId="77777777" w:rsidR="00F77F73" w:rsidRPr="00E869FE" w:rsidRDefault="00F77F73" w:rsidP="00710A3B">
            <w:pPr>
              <w:jc w:val="center"/>
              <w:rPr>
                <w:b/>
                <w:bCs/>
                <w:noProof/>
                <w:color w:val="000000"/>
                <w:szCs w:val="24"/>
              </w:rPr>
            </w:pPr>
            <w:r w:rsidRPr="00E869FE">
              <w:rPr>
                <w:b/>
                <w:bCs/>
                <w:noProof/>
                <w:color w:val="000000"/>
                <w:szCs w:val="24"/>
              </w:rPr>
              <w:t>If…</w:t>
            </w:r>
          </w:p>
        </w:tc>
        <w:tc>
          <w:tcPr>
            <w:tcW w:w="1760" w:type="pct"/>
            <w:shd w:val="clear" w:color="auto" w:fill="D9D9D9" w:themeFill="background1" w:themeFillShade="D9"/>
          </w:tcPr>
          <w:p w14:paraId="247B716F" w14:textId="77777777" w:rsidR="00F77F73" w:rsidRPr="00E869FE" w:rsidRDefault="00F77F73" w:rsidP="00710A3B">
            <w:pPr>
              <w:jc w:val="center"/>
              <w:rPr>
                <w:b/>
                <w:bCs/>
                <w:noProof/>
                <w:color w:val="000000"/>
                <w:szCs w:val="24"/>
              </w:rPr>
            </w:pPr>
            <w:r w:rsidRPr="00E869FE">
              <w:rPr>
                <w:b/>
                <w:bCs/>
                <w:noProof/>
                <w:color w:val="000000"/>
                <w:szCs w:val="24"/>
              </w:rPr>
              <w:t>Then…</w:t>
            </w:r>
          </w:p>
        </w:tc>
      </w:tr>
      <w:tr w:rsidR="00F77F73" w:rsidRPr="00E869FE" w14:paraId="7462C0CE" w14:textId="77777777" w:rsidTr="00264EB1">
        <w:trPr>
          <w:trHeight w:val="90"/>
        </w:trPr>
        <w:tc>
          <w:tcPr>
            <w:tcW w:w="352" w:type="pct"/>
            <w:vMerge/>
          </w:tcPr>
          <w:p w14:paraId="68C9A19D" w14:textId="77777777" w:rsidR="00F77F73" w:rsidRPr="00E869FE" w:rsidRDefault="00F77F73" w:rsidP="00710A3B">
            <w:pPr>
              <w:jc w:val="center"/>
              <w:rPr>
                <w:b/>
                <w:bCs/>
              </w:rPr>
            </w:pPr>
          </w:p>
        </w:tc>
        <w:tc>
          <w:tcPr>
            <w:tcW w:w="1422" w:type="pct"/>
            <w:vMerge/>
          </w:tcPr>
          <w:p w14:paraId="1A49E9A4" w14:textId="77777777" w:rsidR="00F77F73" w:rsidRPr="00E869FE" w:rsidRDefault="00F77F73" w:rsidP="00710A3B">
            <w:pPr>
              <w:rPr>
                <w:szCs w:val="24"/>
              </w:rPr>
            </w:pPr>
          </w:p>
        </w:tc>
        <w:tc>
          <w:tcPr>
            <w:tcW w:w="1466" w:type="pct"/>
          </w:tcPr>
          <w:p w14:paraId="2094F7BF" w14:textId="77777777" w:rsidR="00F77F73" w:rsidRPr="00E869FE" w:rsidRDefault="00F77F73" w:rsidP="00710A3B">
            <w:pPr>
              <w:rPr>
                <w:noProof/>
                <w:color w:val="000000"/>
                <w:szCs w:val="24"/>
              </w:rPr>
            </w:pPr>
            <w:r w:rsidRPr="00E869FE">
              <w:rPr>
                <w:szCs w:val="24"/>
              </w:rPr>
              <w:t>We received all the necessary information to process the request</w:t>
            </w:r>
          </w:p>
        </w:tc>
        <w:tc>
          <w:tcPr>
            <w:tcW w:w="1760" w:type="pct"/>
          </w:tcPr>
          <w:p w14:paraId="0DF11296" w14:textId="77777777" w:rsidR="00F77F73" w:rsidRPr="00E869FE" w:rsidRDefault="00F77F73" w:rsidP="00710A3B">
            <w:pPr>
              <w:rPr>
                <w:noProof/>
                <w:color w:val="000000"/>
                <w:szCs w:val="24"/>
              </w:rPr>
            </w:pPr>
            <w:r w:rsidRPr="00E869FE">
              <w:rPr>
                <w:noProof/>
                <w:color w:val="000000"/>
                <w:szCs w:val="24"/>
              </w:rPr>
              <w:drawing>
                <wp:inline distT="0" distB="0" distL="0" distR="0" wp14:anchorId="1684DB7C" wp14:editId="01E4EEAE">
                  <wp:extent cx="238158" cy="209579"/>
                  <wp:effectExtent l="0" t="0" r="9525" b="0"/>
                  <wp:docPr id="134473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9019" name="Picture 809369019"/>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rPr>
                <w:color w:val="000000"/>
                <w:szCs w:val="24"/>
              </w:rPr>
              <w:t xml:space="preserve"> </w:t>
            </w:r>
            <w:r w:rsidRPr="00E869FE">
              <w:rPr>
                <w:szCs w:val="24"/>
              </w:rPr>
              <w:t xml:space="preserve">It can take up to three business days for your request to be processed. </w:t>
            </w:r>
          </w:p>
        </w:tc>
      </w:tr>
      <w:tr w:rsidR="00F77F73" w:rsidRPr="00E869FE" w14:paraId="2D7AFA20" w14:textId="77777777" w:rsidTr="00264EB1">
        <w:trPr>
          <w:trHeight w:val="90"/>
        </w:trPr>
        <w:tc>
          <w:tcPr>
            <w:tcW w:w="352" w:type="pct"/>
            <w:vMerge/>
          </w:tcPr>
          <w:p w14:paraId="0B8BA782" w14:textId="77777777" w:rsidR="00F77F73" w:rsidRPr="00E869FE" w:rsidRDefault="00F77F73" w:rsidP="00710A3B">
            <w:pPr>
              <w:jc w:val="center"/>
              <w:rPr>
                <w:b/>
                <w:bCs/>
              </w:rPr>
            </w:pPr>
          </w:p>
        </w:tc>
        <w:tc>
          <w:tcPr>
            <w:tcW w:w="1422" w:type="pct"/>
            <w:vMerge/>
          </w:tcPr>
          <w:p w14:paraId="07A5E5B2" w14:textId="77777777" w:rsidR="00F77F73" w:rsidRPr="00E869FE" w:rsidRDefault="00F77F73" w:rsidP="00710A3B">
            <w:pPr>
              <w:rPr>
                <w:szCs w:val="24"/>
              </w:rPr>
            </w:pPr>
          </w:p>
        </w:tc>
        <w:tc>
          <w:tcPr>
            <w:tcW w:w="1466" w:type="pct"/>
          </w:tcPr>
          <w:p w14:paraId="02698B60" w14:textId="77777777" w:rsidR="00F77F73" w:rsidRPr="00E869FE" w:rsidRDefault="00F77F73" w:rsidP="00710A3B">
            <w:pPr>
              <w:rPr>
                <w:noProof/>
                <w:color w:val="000000"/>
                <w:szCs w:val="24"/>
              </w:rPr>
            </w:pPr>
            <w:r w:rsidRPr="00E869FE">
              <w:rPr>
                <w:noProof/>
                <w:color w:val="000000"/>
                <w:szCs w:val="24"/>
              </w:rPr>
              <w:t xml:space="preserve">We </w:t>
            </w:r>
            <w:r w:rsidRPr="00E869FE">
              <w:rPr>
                <w:szCs w:val="24"/>
              </w:rPr>
              <w:t>haven’t received all the necessary information to complete the request</w:t>
            </w:r>
          </w:p>
        </w:tc>
        <w:tc>
          <w:tcPr>
            <w:tcW w:w="1760" w:type="pct"/>
          </w:tcPr>
          <w:p w14:paraId="26148DB6" w14:textId="09F2A8B9" w:rsidR="00F77F73" w:rsidRPr="00E869FE" w:rsidRDefault="00F77F73" w:rsidP="00710A3B">
            <w:pPr>
              <w:rPr>
                <w:szCs w:val="24"/>
              </w:rPr>
            </w:pPr>
            <w:r w:rsidRPr="00E869FE">
              <w:rPr>
                <w:noProof/>
                <w:color w:val="000000"/>
                <w:szCs w:val="24"/>
              </w:rPr>
              <w:drawing>
                <wp:inline distT="0" distB="0" distL="0" distR="0" wp14:anchorId="46A53964" wp14:editId="4B97834D">
                  <wp:extent cx="238158" cy="209579"/>
                  <wp:effectExtent l="0" t="0" r="9525" b="0"/>
                  <wp:docPr id="79987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9019" name="Picture 809369019"/>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rPr>
                <w:szCs w:val="24"/>
              </w:rPr>
              <w:t xml:space="preserve"> We do send another request to your physician when we need additional information. Would you like me to reach out </w:t>
            </w:r>
            <w:r w:rsidR="002A5B1C">
              <w:rPr>
                <w:szCs w:val="24"/>
              </w:rPr>
              <w:t xml:space="preserve">to </w:t>
            </w:r>
            <w:r w:rsidRPr="00E869FE">
              <w:rPr>
                <w:szCs w:val="24"/>
              </w:rPr>
              <w:t xml:space="preserve">your physician office or </w:t>
            </w:r>
            <w:proofErr w:type="gramStart"/>
            <w:r w:rsidRPr="00E869FE">
              <w:rPr>
                <w:szCs w:val="24"/>
              </w:rPr>
              <w:t>I can</w:t>
            </w:r>
            <w:proofErr w:type="gramEnd"/>
            <w:r w:rsidRPr="00E869FE">
              <w:rPr>
                <w:szCs w:val="24"/>
              </w:rPr>
              <w:t xml:space="preserve"> provide you with the phone number for them to call?</w:t>
            </w:r>
          </w:p>
          <w:p w14:paraId="7D8D3C8F" w14:textId="77777777" w:rsidR="00F77F73" w:rsidRPr="00E869FE" w:rsidRDefault="00F77F73" w:rsidP="00710A3B">
            <w:pPr>
              <w:pStyle w:val="ListParagraph"/>
              <w:numPr>
                <w:ilvl w:val="0"/>
                <w:numId w:val="1"/>
              </w:numPr>
              <w:spacing w:line="240" w:lineRule="auto"/>
              <w:rPr>
                <w:szCs w:val="24"/>
              </w:rPr>
            </w:pPr>
            <w:r w:rsidRPr="00E869FE">
              <w:rPr>
                <w:szCs w:val="24"/>
              </w:rPr>
              <w:t xml:space="preserve">If </w:t>
            </w:r>
            <w:proofErr w:type="gramStart"/>
            <w:r w:rsidRPr="00E869FE">
              <w:rPr>
                <w:szCs w:val="24"/>
              </w:rPr>
              <w:t>member</w:t>
            </w:r>
            <w:proofErr w:type="gramEnd"/>
            <w:r w:rsidRPr="00E869FE">
              <w:rPr>
                <w:szCs w:val="24"/>
              </w:rPr>
              <w:t xml:space="preserve"> would like you to contact the physician’s office, you can inform them we are missing information to process the member’s prior authorization request. </w:t>
            </w:r>
          </w:p>
          <w:p w14:paraId="2E5928B2" w14:textId="77777777" w:rsidR="00F77F73" w:rsidRPr="00E869FE" w:rsidRDefault="00F77F73" w:rsidP="00710A3B">
            <w:pPr>
              <w:pStyle w:val="ListParagraph"/>
              <w:numPr>
                <w:ilvl w:val="0"/>
                <w:numId w:val="1"/>
              </w:numPr>
              <w:spacing w:line="240" w:lineRule="auto"/>
              <w:rPr>
                <w:noProof/>
                <w:color w:val="000000"/>
                <w:szCs w:val="24"/>
              </w:rPr>
            </w:pPr>
            <w:r w:rsidRPr="00E869FE">
              <w:rPr>
                <w:szCs w:val="24"/>
              </w:rPr>
              <w:t xml:space="preserve">If </w:t>
            </w:r>
            <w:proofErr w:type="gramStart"/>
            <w:r w:rsidRPr="00E869FE">
              <w:rPr>
                <w:szCs w:val="24"/>
              </w:rPr>
              <w:t>member</w:t>
            </w:r>
            <w:proofErr w:type="gramEnd"/>
            <w:r w:rsidRPr="00E869FE">
              <w:rPr>
                <w:szCs w:val="24"/>
              </w:rPr>
              <w:t xml:space="preserve"> would like the phone number and Caremark handles provide the Caremark PA dept phone number 1-800-294-5979. If Caremark does not handle refer to the CIF.</w:t>
            </w:r>
          </w:p>
        </w:tc>
      </w:tr>
      <w:tr w:rsidR="00F77F73" w:rsidRPr="00E869FE" w14:paraId="2945DD8A" w14:textId="77777777" w:rsidTr="00264EB1">
        <w:tc>
          <w:tcPr>
            <w:tcW w:w="352" w:type="pct"/>
          </w:tcPr>
          <w:p w14:paraId="61DA5FB6" w14:textId="77777777" w:rsidR="00F77F73" w:rsidRPr="00E869FE" w:rsidRDefault="00F77F73" w:rsidP="00710A3B">
            <w:pPr>
              <w:jc w:val="center"/>
              <w:rPr>
                <w:b/>
                <w:bCs/>
              </w:rPr>
            </w:pPr>
            <w:r w:rsidRPr="00E869FE">
              <w:rPr>
                <w:b/>
                <w:bCs/>
              </w:rPr>
              <w:t>4</w:t>
            </w:r>
          </w:p>
        </w:tc>
        <w:tc>
          <w:tcPr>
            <w:tcW w:w="1422" w:type="pct"/>
          </w:tcPr>
          <w:p w14:paraId="1196AAE7" w14:textId="77777777" w:rsidR="00F77F73" w:rsidRPr="00E869FE" w:rsidRDefault="00F77F73" w:rsidP="00710A3B">
            <w:pPr>
              <w:rPr>
                <w:szCs w:val="24"/>
              </w:rPr>
            </w:pPr>
            <w:r w:rsidRPr="00E869FE">
              <w:rPr>
                <w:szCs w:val="24"/>
              </w:rPr>
              <w:t>How will I know if it has been approved?</w:t>
            </w:r>
          </w:p>
          <w:p w14:paraId="5C2714F7" w14:textId="77777777" w:rsidR="00F77F73" w:rsidRPr="00E869FE" w:rsidRDefault="00F77F73" w:rsidP="00710A3B">
            <w:pPr>
              <w:rPr>
                <w:szCs w:val="24"/>
              </w:rPr>
            </w:pPr>
          </w:p>
        </w:tc>
        <w:tc>
          <w:tcPr>
            <w:tcW w:w="3226" w:type="pct"/>
            <w:gridSpan w:val="2"/>
          </w:tcPr>
          <w:p w14:paraId="625C38A5" w14:textId="77777777" w:rsidR="00F77F73" w:rsidRPr="00E869FE" w:rsidRDefault="00F77F73" w:rsidP="00710A3B">
            <w:pPr>
              <w:rPr>
                <w:szCs w:val="24"/>
              </w:rPr>
            </w:pPr>
            <w:r w:rsidRPr="00E869FE">
              <w:rPr>
                <w:szCs w:val="24"/>
              </w:rPr>
              <w:t>Members will be able to see the following Prior Authorization statuses on Caremark.com:</w:t>
            </w:r>
          </w:p>
          <w:p w14:paraId="06F607E2" w14:textId="77777777" w:rsidR="00F77F73" w:rsidRPr="00E869FE" w:rsidRDefault="00F77F73" w:rsidP="00710A3B">
            <w:pPr>
              <w:pStyle w:val="ListParagraph"/>
              <w:numPr>
                <w:ilvl w:val="0"/>
                <w:numId w:val="2"/>
              </w:numPr>
              <w:spacing w:line="240" w:lineRule="auto"/>
              <w:rPr>
                <w:szCs w:val="24"/>
              </w:rPr>
            </w:pPr>
            <w:r w:rsidRPr="00E869FE">
              <w:rPr>
                <w:szCs w:val="24"/>
              </w:rPr>
              <w:t>Initiated</w:t>
            </w:r>
          </w:p>
          <w:p w14:paraId="279918D5" w14:textId="77777777" w:rsidR="00F77F73" w:rsidRPr="00E869FE" w:rsidRDefault="00F77F73" w:rsidP="00710A3B">
            <w:pPr>
              <w:pStyle w:val="ListParagraph"/>
              <w:numPr>
                <w:ilvl w:val="0"/>
                <w:numId w:val="2"/>
              </w:numPr>
              <w:spacing w:line="240" w:lineRule="auto"/>
              <w:rPr>
                <w:szCs w:val="24"/>
              </w:rPr>
            </w:pPr>
            <w:r w:rsidRPr="00E869FE">
              <w:rPr>
                <w:szCs w:val="24"/>
              </w:rPr>
              <w:t>Pending</w:t>
            </w:r>
          </w:p>
          <w:p w14:paraId="375A71E8" w14:textId="77777777" w:rsidR="00F77F73" w:rsidRPr="00E869FE" w:rsidRDefault="00F77F73" w:rsidP="00710A3B">
            <w:pPr>
              <w:pStyle w:val="ListParagraph"/>
              <w:numPr>
                <w:ilvl w:val="0"/>
                <w:numId w:val="2"/>
              </w:numPr>
              <w:spacing w:line="240" w:lineRule="auto"/>
              <w:rPr>
                <w:szCs w:val="24"/>
              </w:rPr>
            </w:pPr>
            <w:r w:rsidRPr="00E869FE">
              <w:rPr>
                <w:szCs w:val="24"/>
              </w:rPr>
              <w:t>Response Needed</w:t>
            </w:r>
          </w:p>
          <w:p w14:paraId="23D0928C" w14:textId="77777777" w:rsidR="00F77F73" w:rsidRPr="00E869FE" w:rsidRDefault="00F77F73" w:rsidP="00710A3B">
            <w:pPr>
              <w:pStyle w:val="ListParagraph"/>
              <w:numPr>
                <w:ilvl w:val="0"/>
                <w:numId w:val="2"/>
              </w:numPr>
              <w:spacing w:line="240" w:lineRule="auto"/>
              <w:rPr>
                <w:szCs w:val="24"/>
              </w:rPr>
            </w:pPr>
            <w:r w:rsidRPr="00E869FE">
              <w:rPr>
                <w:szCs w:val="24"/>
              </w:rPr>
              <w:t>Under Review</w:t>
            </w:r>
          </w:p>
          <w:p w14:paraId="1392C05B" w14:textId="77777777" w:rsidR="00F77F73" w:rsidRPr="00E869FE" w:rsidRDefault="00F77F73" w:rsidP="00710A3B">
            <w:pPr>
              <w:pStyle w:val="ListParagraph"/>
              <w:numPr>
                <w:ilvl w:val="0"/>
                <w:numId w:val="2"/>
              </w:numPr>
              <w:spacing w:line="240" w:lineRule="auto"/>
              <w:rPr>
                <w:szCs w:val="24"/>
              </w:rPr>
            </w:pPr>
            <w:r w:rsidRPr="00E869FE">
              <w:rPr>
                <w:szCs w:val="24"/>
              </w:rPr>
              <w:t>Not Completed</w:t>
            </w:r>
          </w:p>
          <w:p w14:paraId="7FEA1F13" w14:textId="77777777" w:rsidR="00F77F73" w:rsidRPr="00E869FE" w:rsidRDefault="00F77F73" w:rsidP="00710A3B">
            <w:pPr>
              <w:pStyle w:val="ListParagraph"/>
              <w:numPr>
                <w:ilvl w:val="0"/>
                <w:numId w:val="2"/>
              </w:numPr>
              <w:spacing w:line="240" w:lineRule="auto"/>
              <w:rPr>
                <w:szCs w:val="24"/>
              </w:rPr>
            </w:pPr>
            <w:r w:rsidRPr="00E869FE">
              <w:rPr>
                <w:szCs w:val="24"/>
              </w:rPr>
              <w:t>Approved</w:t>
            </w:r>
          </w:p>
          <w:p w14:paraId="53B708B3" w14:textId="77777777" w:rsidR="00F77F73" w:rsidRPr="00E869FE" w:rsidRDefault="00F77F73" w:rsidP="00710A3B">
            <w:pPr>
              <w:pStyle w:val="ListParagraph"/>
              <w:numPr>
                <w:ilvl w:val="0"/>
                <w:numId w:val="2"/>
              </w:numPr>
              <w:spacing w:line="240" w:lineRule="auto"/>
              <w:rPr>
                <w:szCs w:val="24"/>
              </w:rPr>
            </w:pPr>
            <w:r w:rsidRPr="00E869FE">
              <w:rPr>
                <w:szCs w:val="24"/>
              </w:rPr>
              <w:t>Denied</w:t>
            </w:r>
          </w:p>
          <w:p w14:paraId="2FD58AFA" w14:textId="77777777" w:rsidR="00F77F73" w:rsidRPr="00E869FE" w:rsidRDefault="00F77F73" w:rsidP="00710A3B">
            <w:pPr>
              <w:pStyle w:val="ListParagraph"/>
              <w:numPr>
                <w:ilvl w:val="0"/>
                <w:numId w:val="2"/>
              </w:numPr>
              <w:spacing w:line="240" w:lineRule="auto"/>
              <w:rPr>
                <w:szCs w:val="24"/>
              </w:rPr>
            </w:pPr>
            <w:r w:rsidRPr="00E869FE">
              <w:rPr>
                <w:szCs w:val="24"/>
              </w:rPr>
              <w:t>Appeal Pending</w:t>
            </w:r>
          </w:p>
          <w:p w14:paraId="2E416B65" w14:textId="77777777" w:rsidR="00F77F73" w:rsidRPr="00E869FE" w:rsidRDefault="00F77F73" w:rsidP="00710A3B">
            <w:pPr>
              <w:pStyle w:val="ListParagraph"/>
              <w:numPr>
                <w:ilvl w:val="0"/>
                <w:numId w:val="2"/>
              </w:numPr>
              <w:spacing w:line="240" w:lineRule="auto"/>
              <w:rPr>
                <w:szCs w:val="24"/>
              </w:rPr>
            </w:pPr>
            <w:r w:rsidRPr="00E869FE">
              <w:rPr>
                <w:szCs w:val="24"/>
              </w:rPr>
              <w:t>Expiration</w:t>
            </w:r>
          </w:p>
          <w:p w14:paraId="1EC1BB9D" w14:textId="77777777" w:rsidR="00F77F73" w:rsidRPr="00E869FE" w:rsidRDefault="00F77F73" w:rsidP="00710A3B">
            <w:pPr>
              <w:rPr>
                <w:szCs w:val="24"/>
              </w:rPr>
            </w:pPr>
          </w:p>
          <w:p w14:paraId="0947392D" w14:textId="77777777" w:rsidR="00F77F73" w:rsidRPr="00E869FE" w:rsidRDefault="00F77F73" w:rsidP="00710A3B">
            <w:pPr>
              <w:rPr>
                <w:szCs w:val="24"/>
              </w:rPr>
            </w:pPr>
            <w:r w:rsidRPr="00E869FE">
              <w:rPr>
                <w:noProof/>
                <w:color w:val="000000"/>
                <w:szCs w:val="24"/>
              </w:rPr>
              <w:drawing>
                <wp:inline distT="0" distB="0" distL="0" distR="0" wp14:anchorId="0E9506E1" wp14:editId="06359A6B">
                  <wp:extent cx="238158" cy="209579"/>
                  <wp:effectExtent l="0" t="0" r="9525" b="0"/>
                  <wp:docPr id="5688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9019" name="Picture 809369019"/>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rPr>
                <w:szCs w:val="24"/>
              </w:rPr>
              <w:t xml:space="preserve"> A letter will be sent to you with additional information about your Prior Authorization. Your prescriber will also receive a fax, letting them know the status. </w:t>
            </w:r>
          </w:p>
          <w:p w14:paraId="0C691D3C" w14:textId="77777777" w:rsidR="00F77F73" w:rsidRPr="00E869FE" w:rsidRDefault="00F77F73" w:rsidP="00710A3B">
            <w:pPr>
              <w:rPr>
                <w:rStyle w:val="normaltextrun"/>
                <w:color w:val="000000"/>
                <w:szCs w:val="24"/>
                <w:shd w:val="clear" w:color="auto" w:fill="FFFFFF"/>
              </w:rPr>
            </w:pPr>
          </w:p>
          <w:p w14:paraId="18704A20" w14:textId="77777777" w:rsidR="00F77F73" w:rsidRDefault="00F77F73" w:rsidP="00710A3B">
            <w:pPr>
              <w:rPr>
                <w:szCs w:val="24"/>
              </w:rPr>
            </w:pPr>
            <w:r w:rsidRPr="00E869FE">
              <w:rPr>
                <w:rStyle w:val="normaltextrun"/>
                <w:color w:val="000000"/>
                <w:szCs w:val="24"/>
                <w:shd w:val="clear" w:color="auto" w:fill="FFFFFF"/>
              </w:rPr>
              <w:t xml:space="preserve">Inform the caller they can set up </w:t>
            </w:r>
            <w:hyperlink r:id="rId10" w:anchor="!/view?docid=16d97031-aab3-4e30-b5d8-69ba322678d6" w:history="1">
              <w:r w:rsidRPr="00E869FE">
                <w:rPr>
                  <w:rStyle w:val="Hyperlink"/>
                  <w:shd w:val="clear" w:color="auto" w:fill="FFFFFF"/>
                </w:rPr>
                <w:t>CMP Alerts (054195)</w:t>
              </w:r>
            </w:hyperlink>
            <w:r w:rsidRPr="00E869FE">
              <w:rPr>
                <w:rStyle w:val="normaltextrun"/>
                <w:color w:val="000000"/>
                <w:szCs w:val="24"/>
                <w:shd w:val="clear" w:color="auto" w:fill="FFFFFF"/>
              </w:rPr>
              <w:t xml:space="preserve"> or, to assist the member with finding the status on Caremark.com, refer to </w:t>
            </w:r>
            <w:hyperlink r:id="rId11" w:anchor="!/view?docid=20ba7691-5b2a-4780-9c3a-f671151ab55c" w:history="1">
              <w:r w:rsidRPr="00E869FE">
                <w:rPr>
                  <w:rStyle w:val="Hyperlink"/>
                </w:rPr>
                <w:t>Caremark.com – Prior Authorization (070305)</w:t>
              </w:r>
            </w:hyperlink>
            <w:r w:rsidRPr="00E869FE">
              <w:rPr>
                <w:szCs w:val="24"/>
              </w:rPr>
              <w:t>.</w:t>
            </w:r>
          </w:p>
          <w:p w14:paraId="5D569C5E" w14:textId="77777777" w:rsidR="008B037F" w:rsidRDefault="008B037F" w:rsidP="00710A3B">
            <w:pPr>
              <w:rPr>
                <w:color w:val="0000FF"/>
                <w:szCs w:val="24"/>
              </w:rPr>
            </w:pPr>
          </w:p>
          <w:p w14:paraId="37934EE1" w14:textId="1279122E" w:rsidR="008B037F" w:rsidRPr="005309B5" w:rsidRDefault="008B037F" w:rsidP="00710A3B">
            <w:r>
              <w:t xml:space="preserve">For more information on the PA Statuses in Compass, refer to </w:t>
            </w:r>
            <w:hyperlink r:id="rId12" w:anchor="!/view?docid=6d3aac37-46a9-4417-ac20-fa3a32337652" w:tgtFrame="_blank" w:history="1">
              <w:r w:rsidR="006E4B17" w:rsidRPr="006E4B17">
                <w:rPr>
                  <w:rStyle w:val="Hyperlink"/>
                </w:rPr>
                <w:t>Compass – Viewing and Advising on Prior Authorization (PA) or Clinical Exception Status (056368)</w:t>
              </w:r>
            </w:hyperlink>
            <w:r w:rsidR="006E4B17">
              <w:t>.</w:t>
            </w:r>
          </w:p>
        </w:tc>
      </w:tr>
      <w:tr w:rsidR="00F77F73" w:rsidRPr="00E869FE" w14:paraId="16E50EF4" w14:textId="77777777" w:rsidTr="00264EB1">
        <w:tc>
          <w:tcPr>
            <w:tcW w:w="352" w:type="pct"/>
          </w:tcPr>
          <w:p w14:paraId="7850BBC4" w14:textId="77777777" w:rsidR="00F77F73" w:rsidRPr="00E869FE" w:rsidRDefault="00F77F73" w:rsidP="00710A3B">
            <w:pPr>
              <w:jc w:val="center"/>
              <w:rPr>
                <w:b/>
                <w:bCs/>
              </w:rPr>
            </w:pPr>
            <w:r w:rsidRPr="00E869FE">
              <w:rPr>
                <w:b/>
                <w:bCs/>
              </w:rPr>
              <w:t>5</w:t>
            </w:r>
          </w:p>
        </w:tc>
        <w:tc>
          <w:tcPr>
            <w:tcW w:w="1422" w:type="pct"/>
          </w:tcPr>
          <w:p w14:paraId="4C4036BA" w14:textId="77777777" w:rsidR="00F77F73" w:rsidRPr="00E869FE" w:rsidRDefault="00F77F73" w:rsidP="00710A3B">
            <w:pPr>
              <w:rPr>
                <w:szCs w:val="24"/>
              </w:rPr>
            </w:pPr>
            <w:r w:rsidRPr="00E869FE">
              <w:rPr>
                <w:szCs w:val="24"/>
              </w:rPr>
              <w:t>When my PA request was submitted, did my doctor mark it as urgent?</w:t>
            </w:r>
          </w:p>
        </w:tc>
        <w:tc>
          <w:tcPr>
            <w:tcW w:w="3226" w:type="pct"/>
            <w:gridSpan w:val="2"/>
          </w:tcPr>
          <w:p w14:paraId="56806665" w14:textId="77777777" w:rsidR="00F77F73" w:rsidRPr="00E869FE" w:rsidRDefault="00F77F73" w:rsidP="00710A3B">
            <w:pPr>
              <w:rPr>
                <w:szCs w:val="24"/>
              </w:rPr>
            </w:pPr>
            <w:r w:rsidRPr="00E869FE">
              <w:rPr>
                <w:szCs w:val="24"/>
              </w:rPr>
              <w:t xml:space="preserve">After clicking the View Document hyperlink for the appropriate prior authorization or appeal, you can inform the member if their request was sent as an urgent request or standard request. If view documents </w:t>
            </w:r>
            <w:proofErr w:type="gramStart"/>
            <w:r w:rsidRPr="00E869FE">
              <w:rPr>
                <w:szCs w:val="24"/>
              </w:rPr>
              <w:t>does</w:t>
            </w:r>
            <w:proofErr w:type="gramEnd"/>
            <w:r w:rsidRPr="00E869FE">
              <w:rPr>
                <w:szCs w:val="24"/>
              </w:rPr>
              <w:t xml:space="preserve"> not provide information, call </w:t>
            </w:r>
            <w:proofErr w:type="gramStart"/>
            <w:r w:rsidRPr="00E869FE">
              <w:rPr>
                <w:szCs w:val="24"/>
              </w:rPr>
              <w:t>PA</w:t>
            </w:r>
            <w:proofErr w:type="gramEnd"/>
            <w:r w:rsidRPr="00E869FE">
              <w:rPr>
                <w:szCs w:val="24"/>
              </w:rPr>
              <w:t xml:space="preserve"> dept and relay information to member.</w:t>
            </w:r>
          </w:p>
        </w:tc>
      </w:tr>
      <w:tr w:rsidR="00F77F73" w:rsidRPr="00E869FE" w14:paraId="49794E65" w14:textId="77777777" w:rsidTr="00264EB1">
        <w:tc>
          <w:tcPr>
            <w:tcW w:w="352" w:type="pct"/>
          </w:tcPr>
          <w:p w14:paraId="6C7B6D72" w14:textId="77777777" w:rsidR="00F77F73" w:rsidRPr="00E869FE" w:rsidRDefault="00F77F73" w:rsidP="00710A3B">
            <w:pPr>
              <w:jc w:val="center"/>
              <w:rPr>
                <w:b/>
                <w:bCs/>
              </w:rPr>
            </w:pPr>
            <w:r w:rsidRPr="00E869FE">
              <w:rPr>
                <w:b/>
                <w:bCs/>
              </w:rPr>
              <w:t>6</w:t>
            </w:r>
          </w:p>
        </w:tc>
        <w:tc>
          <w:tcPr>
            <w:tcW w:w="1422" w:type="pct"/>
          </w:tcPr>
          <w:p w14:paraId="5622A134" w14:textId="77777777" w:rsidR="00F77F73" w:rsidRPr="00E869FE" w:rsidRDefault="00F77F73" w:rsidP="00710A3B">
            <w:pPr>
              <w:rPr>
                <w:szCs w:val="24"/>
              </w:rPr>
            </w:pPr>
            <w:r w:rsidRPr="00E869FE">
              <w:rPr>
                <w:szCs w:val="24"/>
              </w:rPr>
              <w:t>The doctor’s office says they are unable to initiate the PA request.</w:t>
            </w:r>
          </w:p>
          <w:p w14:paraId="098F2C39" w14:textId="77777777" w:rsidR="00F77F73" w:rsidRPr="00E869FE" w:rsidRDefault="00F77F73" w:rsidP="00710A3B">
            <w:pPr>
              <w:rPr>
                <w:szCs w:val="24"/>
              </w:rPr>
            </w:pPr>
          </w:p>
        </w:tc>
        <w:tc>
          <w:tcPr>
            <w:tcW w:w="3226" w:type="pct"/>
            <w:gridSpan w:val="2"/>
          </w:tcPr>
          <w:p w14:paraId="54A04280" w14:textId="77777777" w:rsidR="00F77F73" w:rsidRPr="00E869FE" w:rsidRDefault="00F77F73" w:rsidP="00710A3B">
            <w:pPr>
              <w:rPr>
                <w:szCs w:val="24"/>
              </w:rPr>
            </w:pPr>
            <w:r w:rsidRPr="00E869FE">
              <w:rPr>
                <w:szCs w:val="24"/>
              </w:rPr>
              <w:t xml:space="preserve">Determine why the doctor’s office cannot initiate the PA request. </w:t>
            </w:r>
          </w:p>
          <w:p w14:paraId="23240065" w14:textId="77777777" w:rsidR="00F77F73" w:rsidRPr="00E869FE" w:rsidRDefault="00F77F73" w:rsidP="00710A3B">
            <w:pPr>
              <w:rPr>
                <w:szCs w:val="24"/>
              </w:rPr>
            </w:pPr>
          </w:p>
          <w:p w14:paraId="372FD8A4" w14:textId="77777777" w:rsidR="00F77F73" w:rsidRPr="00E869FE" w:rsidRDefault="00F77F73" w:rsidP="00710A3B">
            <w:pPr>
              <w:rPr>
                <w:szCs w:val="24"/>
              </w:rPr>
            </w:pPr>
            <w:r w:rsidRPr="00E869FE">
              <w:rPr>
                <w:szCs w:val="24"/>
              </w:rPr>
              <w:t xml:space="preserve">Offer to </w:t>
            </w:r>
            <w:hyperlink r:id="rId13" w:anchor="!/view?docid=18bb86b7-af5b-4f25-af23-9c635e8a0aa4" w:history="1">
              <w:r w:rsidRPr="00E869FE">
                <w:rPr>
                  <w:rStyle w:val="Hyperlink"/>
                </w:rPr>
                <w:t>send an ePA request (055814)</w:t>
              </w:r>
            </w:hyperlink>
            <w:r w:rsidRPr="00E869FE">
              <w:rPr>
                <w:szCs w:val="24"/>
              </w:rPr>
              <w:t xml:space="preserve"> on behalf of the member. </w:t>
            </w:r>
          </w:p>
          <w:p w14:paraId="4196DD07" w14:textId="77777777" w:rsidR="00F77F73" w:rsidRPr="00E869FE" w:rsidRDefault="00F77F73" w:rsidP="00710A3B">
            <w:pPr>
              <w:rPr>
                <w:szCs w:val="24"/>
              </w:rPr>
            </w:pPr>
          </w:p>
          <w:p w14:paraId="53AA1A07" w14:textId="77777777" w:rsidR="00F77F73" w:rsidRPr="00E869FE" w:rsidRDefault="00F77F73" w:rsidP="00710A3B">
            <w:pPr>
              <w:rPr>
                <w:szCs w:val="24"/>
              </w:rPr>
            </w:pPr>
            <w:r w:rsidRPr="00E869FE">
              <w:rPr>
                <w:szCs w:val="24"/>
              </w:rPr>
              <w:t xml:space="preserve">If the physician does not participate in ePA or the physician only uses fax, send the contact provider for PA task. Refer to </w:t>
            </w:r>
            <w:hyperlink r:id="rId14" w:anchor="!/view?docid=6753488f-3996-45d9-88ba-257575369a98" w:history="1">
              <w:r w:rsidRPr="00E869FE">
                <w:rPr>
                  <w:rStyle w:val="Hyperlink"/>
                </w:rPr>
                <w:t>Compass - Support Task Types and Uses List (058147)</w:t>
              </w:r>
            </w:hyperlink>
            <w:r w:rsidRPr="00E869FE">
              <w:rPr>
                <w:szCs w:val="24"/>
              </w:rPr>
              <w:t>. Add the provider name, phone, and fax number in the notes of the Support Task for the PA dept.</w:t>
            </w:r>
          </w:p>
          <w:p w14:paraId="3FB55922" w14:textId="77777777" w:rsidR="00F77F73" w:rsidRPr="00E869FE" w:rsidRDefault="00F77F73" w:rsidP="00710A3B">
            <w:pPr>
              <w:rPr>
                <w:szCs w:val="24"/>
              </w:rPr>
            </w:pPr>
          </w:p>
          <w:p w14:paraId="2B2937FB" w14:textId="77777777" w:rsidR="00F77F73" w:rsidRPr="00E869FE" w:rsidRDefault="00F77F73" w:rsidP="00710A3B">
            <w:pPr>
              <w:rPr>
                <w:szCs w:val="24"/>
              </w:rPr>
            </w:pPr>
            <w:r w:rsidRPr="00E869FE">
              <w:rPr>
                <w:noProof/>
                <w:szCs w:val="24"/>
              </w:rPr>
              <w:drawing>
                <wp:inline distT="0" distB="0" distL="0" distR="0" wp14:anchorId="5171A295" wp14:editId="0F771250">
                  <wp:extent cx="238095" cy="209524"/>
                  <wp:effectExtent l="0" t="0" r="0" b="635"/>
                  <wp:docPr id="219612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2144" name="Picture 219612144"/>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E869FE">
              <w:rPr>
                <w:szCs w:val="24"/>
              </w:rPr>
              <w:t xml:space="preserve"> The task MUST include the prescriber fax. </w:t>
            </w:r>
          </w:p>
          <w:p w14:paraId="67556EB9" w14:textId="77777777" w:rsidR="00F77F73" w:rsidRPr="00E869FE" w:rsidRDefault="00F77F73" w:rsidP="00710A3B">
            <w:pPr>
              <w:rPr>
                <w:szCs w:val="24"/>
              </w:rPr>
            </w:pPr>
          </w:p>
          <w:p w14:paraId="5385A78A" w14:textId="77777777" w:rsidR="00F77F73" w:rsidRPr="00E869FE" w:rsidRDefault="00F77F73" w:rsidP="00710A3B">
            <w:pPr>
              <w:rPr>
                <w:szCs w:val="24"/>
              </w:rPr>
            </w:pPr>
            <w:r w:rsidRPr="00E869FE">
              <w:rPr>
                <w:szCs w:val="24"/>
              </w:rPr>
              <w:t xml:space="preserve">If the member would like to contact the physician on their own, you may provide </w:t>
            </w:r>
            <w:proofErr w:type="gramStart"/>
            <w:r w:rsidRPr="00E869FE">
              <w:rPr>
                <w:szCs w:val="24"/>
              </w:rPr>
              <w:t>them</w:t>
            </w:r>
            <w:proofErr w:type="gramEnd"/>
            <w:r w:rsidRPr="00E869FE">
              <w:rPr>
                <w:szCs w:val="24"/>
              </w:rPr>
              <w:t xml:space="preserve"> the phone number and fax number for the PA dept, only if requested by the member; do not proactively offer this option. </w:t>
            </w:r>
          </w:p>
        </w:tc>
      </w:tr>
      <w:tr w:rsidR="00F77F73" w:rsidRPr="00E869FE" w14:paraId="25416656" w14:textId="77777777" w:rsidTr="00264EB1">
        <w:tc>
          <w:tcPr>
            <w:tcW w:w="352" w:type="pct"/>
          </w:tcPr>
          <w:p w14:paraId="4DC15CCC" w14:textId="77777777" w:rsidR="00F77F73" w:rsidRPr="00E869FE" w:rsidRDefault="00F77F73" w:rsidP="00710A3B">
            <w:pPr>
              <w:jc w:val="center"/>
              <w:rPr>
                <w:b/>
                <w:bCs/>
              </w:rPr>
            </w:pPr>
            <w:r w:rsidRPr="00E869FE">
              <w:rPr>
                <w:b/>
                <w:bCs/>
              </w:rPr>
              <w:t>7</w:t>
            </w:r>
          </w:p>
        </w:tc>
        <w:tc>
          <w:tcPr>
            <w:tcW w:w="1422" w:type="pct"/>
          </w:tcPr>
          <w:p w14:paraId="0E11CB5D" w14:textId="77777777" w:rsidR="00F77F73" w:rsidRPr="00E869FE" w:rsidRDefault="00F77F73" w:rsidP="00710A3B">
            <w:pPr>
              <w:rPr>
                <w:szCs w:val="24"/>
              </w:rPr>
            </w:pPr>
            <w:r w:rsidRPr="00E869FE">
              <w:rPr>
                <w:szCs w:val="24"/>
              </w:rPr>
              <w:t>My PA has been approved. Why has my order not shipped?</w:t>
            </w:r>
          </w:p>
          <w:p w14:paraId="5BB36CAD" w14:textId="77777777" w:rsidR="00F77F73" w:rsidRPr="00E869FE" w:rsidRDefault="00F77F73" w:rsidP="00710A3B">
            <w:pPr>
              <w:rPr>
                <w:szCs w:val="24"/>
              </w:rPr>
            </w:pPr>
          </w:p>
        </w:tc>
        <w:tc>
          <w:tcPr>
            <w:tcW w:w="3226" w:type="pct"/>
            <w:gridSpan w:val="2"/>
          </w:tcPr>
          <w:p w14:paraId="0D5D040A" w14:textId="77777777" w:rsidR="00F77F73" w:rsidRPr="00E869FE" w:rsidRDefault="00F77F73" w:rsidP="00710A3B">
            <w:pPr>
              <w:rPr>
                <w:szCs w:val="24"/>
              </w:rPr>
            </w:pPr>
            <w:r w:rsidRPr="00E869FE">
              <w:rPr>
                <w:noProof/>
                <w:color w:val="000000"/>
                <w:szCs w:val="24"/>
              </w:rPr>
              <w:drawing>
                <wp:inline distT="0" distB="0" distL="0" distR="0" wp14:anchorId="660634EB" wp14:editId="1728FB82">
                  <wp:extent cx="238158" cy="209579"/>
                  <wp:effectExtent l="0" t="0" r="9525" b="0"/>
                  <wp:docPr id="15375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9019" name="Picture 809369019"/>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rPr>
                <w:szCs w:val="24"/>
              </w:rPr>
              <w:t xml:space="preserve"> Great news! I do see your PA is approved. I will be happy to place your order today. </w:t>
            </w:r>
          </w:p>
          <w:p w14:paraId="4470A948" w14:textId="77777777" w:rsidR="00F77F73" w:rsidRPr="00E869FE" w:rsidRDefault="00F77F73" w:rsidP="00710A3B">
            <w:pPr>
              <w:rPr>
                <w:szCs w:val="24"/>
              </w:rPr>
            </w:pPr>
          </w:p>
          <w:p w14:paraId="311B0B18" w14:textId="77777777" w:rsidR="00F77F73" w:rsidRPr="00E869FE" w:rsidRDefault="00F77F73" w:rsidP="00710A3B">
            <w:pPr>
              <w:pStyle w:val="ListParagraph"/>
              <w:numPr>
                <w:ilvl w:val="0"/>
                <w:numId w:val="3"/>
              </w:numPr>
              <w:spacing w:line="240" w:lineRule="auto"/>
              <w:rPr>
                <w:szCs w:val="24"/>
              </w:rPr>
            </w:pPr>
            <w:r w:rsidRPr="00E869FE">
              <w:rPr>
                <w:szCs w:val="24"/>
              </w:rPr>
              <w:t xml:space="preserve">If the mail order is in process being held for PA required, refer to </w:t>
            </w:r>
            <w:hyperlink r:id="rId16" w:anchor="!/view?docid=d4ef5860-ef38-4ae9-afd8-a4cb0d1f12e6" w:history="1">
              <w:r w:rsidRPr="00E869FE">
                <w:rPr>
                  <w:rStyle w:val="Hyperlink"/>
                </w:rPr>
                <w:t>Compass - Manage Diverts / Conflicts (Release Order) (056291)</w:t>
              </w:r>
            </w:hyperlink>
            <w:r w:rsidRPr="00E869FE">
              <w:rPr>
                <w:szCs w:val="24"/>
              </w:rPr>
              <w:t xml:space="preserve">. </w:t>
            </w:r>
          </w:p>
          <w:p w14:paraId="75856CAF" w14:textId="77777777" w:rsidR="00F77F73" w:rsidRPr="00E869FE" w:rsidRDefault="00F77F73" w:rsidP="00710A3B">
            <w:pPr>
              <w:pStyle w:val="ListParagraph"/>
              <w:numPr>
                <w:ilvl w:val="0"/>
                <w:numId w:val="3"/>
              </w:numPr>
              <w:spacing w:line="240" w:lineRule="auto"/>
              <w:rPr>
                <w:szCs w:val="24"/>
              </w:rPr>
            </w:pPr>
            <w:r w:rsidRPr="00E869FE">
              <w:rPr>
                <w:szCs w:val="24"/>
              </w:rPr>
              <w:t xml:space="preserve">If the order has not been started place a </w:t>
            </w:r>
            <w:hyperlink r:id="rId17" w:anchor="!/view?docid=ad3a7263-725b-4d5d-a2ec-440f1f30d79c" w:history="1">
              <w:r w:rsidRPr="00E869FE">
                <w:rPr>
                  <w:rStyle w:val="Hyperlink"/>
                </w:rPr>
                <w:t>refill order (054262)</w:t>
              </w:r>
            </w:hyperlink>
            <w:r w:rsidRPr="00E869FE">
              <w:rPr>
                <w:szCs w:val="24"/>
              </w:rPr>
              <w:t>.</w:t>
            </w:r>
          </w:p>
          <w:p w14:paraId="1AA77508" w14:textId="633199A1" w:rsidR="00F77F73" w:rsidRPr="00E869FE" w:rsidRDefault="00F77F73" w:rsidP="00710A3B">
            <w:pPr>
              <w:pStyle w:val="ListParagraph"/>
              <w:numPr>
                <w:ilvl w:val="0"/>
                <w:numId w:val="3"/>
              </w:numPr>
              <w:spacing w:line="240" w:lineRule="auto"/>
              <w:rPr>
                <w:szCs w:val="24"/>
              </w:rPr>
            </w:pPr>
            <w:r w:rsidRPr="00E869FE">
              <w:rPr>
                <w:szCs w:val="24"/>
              </w:rPr>
              <w:t xml:space="preserve">If we do not have a prescription on file, initiate a </w:t>
            </w:r>
            <w:hyperlink r:id="rId18" w:anchor="!/view?docid=a7684ce9-c2bc-4cbc-ab37-c1ffb7789706" w:history="1">
              <w:r w:rsidRPr="00E869FE">
                <w:rPr>
                  <w:rStyle w:val="Hyperlink"/>
                </w:rPr>
                <w:t>new prescription request (054208)</w:t>
              </w:r>
            </w:hyperlink>
            <w:r w:rsidRPr="00E869FE">
              <w:rPr>
                <w:szCs w:val="24"/>
              </w:rPr>
              <w:t>.</w:t>
            </w:r>
          </w:p>
        </w:tc>
      </w:tr>
      <w:tr w:rsidR="0076641E" w:rsidRPr="00E869FE" w14:paraId="306CB754" w14:textId="77777777" w:rsidTr="00264EB1">
        <w:tc>
          <w:tcPr>
            <w:tcW w:w="352" w:type="pct"/>
          </w:tcPr>
          <w:p w14:paraId="402E7C58" w14:textId="13AFE83D" w:rsidR="0076641E" w:rsidRPr="00E869FE" w:rsidRDefault="00B26844" w:rsidP="00710A3B">
            <w:pPr>
              <w:jc w:val="center"/>
              <w:rPr>
                <w:b/>
                <w:bCs/>
              </w:rPr>
            </w:pPr>
            <w:r w:rsidRPr="00E869FE">
              <w:rPr>
                <w:b/>
                <w:bCs/>
                <w:noProof/>
              </w:rPr>
              <w:drawing>
                <wp:inline distT="0" distB="0" distL="0" distR="0" wp14:anchorId="2EBEB336" wp14:editId="64EDD922">
                  <wp:extent cx="304762" cy="304762"/>
                  <wp:effectExtent l="0" t="0" r="635" b="635"/>
                  <wp:docPr id="192872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50760" name="Picture 807550760"/>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0076641E">
              <w:rPr>
                <w:b/>
                <w:bCs/>
              </w:rPr>
              <w:t>8</w:t>
            </w:r>
          </w:p>
        </w:tc>
        <w:tc>
          <w:tcPr>
            <w:tcW w:w="1422" w:type="pct"/>
          </w:tcPr>
          <w:p w14:paraId="5264FFEE" w14:textId="095247D0" w:rsidR="0076641E" w:rsidRPr="00E869FE" w:rsidRDefault="00796E80" w:rsidP="00710A3B">
            <w:pPr>
              <w:rPr>
                <w:szCs w:val="24"/>
              </w:rPr>
            </w:pPr>
            <w:r>
              <w:rPr>
                <w:szCs w:val="24"/>
              </w:rPr>
              <w:t>Can a PA be transferred</w:t>
            </w:r>
            <w:r w:rsidR="001C081A">
              <w:rPr>
                <w:szCs w:val="24"/>
              </w:rPr>
              <w:t xml:space="preserve"> from one </w:t>
            </w:r>
            <w:r w:rsidR="00AF0503">
              <w:rPr>
                <w:szCs w:val="24"/>
              </w:rPr>
              <w:t xml:space="preserve">Caremark plan to another Caremark plan? </w:t>
            </w:r>
          </w:p>
        </w:tc>
        <w:tc>
          <w:tcPr>
            <w:tcW w:w="3226" w:type="pct"/>
            <w:gridSpan w:val="2"/>
          </w:tcPr>
          <w:p w14:paraId="07BB1DA3" w14:textId="0775C9B7" w:rsidR="0076641E" w:rsidRPr="00E869FE" w:rsidRDefault="00D72CE1" w:rsidP="00710A3B">
            <w:pPr>
              <w:rPr>
                <w:noProof/>
                <w:color w:val="000000"/>
                <w:szCs w:val="24"/>
              </w:rPr>
            </w:pPr>
            <w:r>
              <w:rPr>
                <w:noProof/>
                <w:color w:val="000000"/>
                <w:szCs w:val="24"/>
              </w:rPr>
              <w:t>R</w:t>
            </w:r>
            <w:r w:rsidR="00413ECA">
              <w:rPr>
                <w:noProof/>
                <w:color w:val="000000"/>
                <w:szCs w:val="24"/>
              </w:rPr>
              <w:t xml:space="preserve">efer to </w:t>
            </w:r>
            <w:r w:rsidR="00264EB1" w:rsidRPr="00264EB1">
              <w:rPr>
                <w:noProof/>
                <w:color w:val="000000"/>
                <w:szCs w:val="24"/>
              </w:rPr>
              <w:fldChar w:fldCharType="begin"/>
            </w:r>
            <w:r w:rsidR="00264EB1" w:rsidRPr="00264EB1">
              <w:rPr>
                <w:noProof/>
                <w:color w:val="000000"/>
                <w:szCs w:val="24"/>
              </w:rPr>
              <w:instrText>HYPERLINK "https://thesource.cvshealth.com/nuxeo/thesource/" \l "!/view?docid=6d3aac37-46a9-4417-ac20-fa3a32337652" \t "_blank"</w:instrText>
            </w:r>
            <w:r w:rsidR="00264EB1" w:rsidRPr="00264EB1">
              <w:rPr>
                <w:noProof/>
                <w:color w:val="000000"/>
                <w:szCs w:val="24"/>
              </w:rPr>
            </w:r>
            <w:r w:rsidR="00264EB1" w:rsidRPr="00264EB1">
              <w:rPr>
                <w:noProof/>
                <w:color w:val="000000"/>
                <w:szCs w:val="24"/>
              </w:rPr>
              <w:fldChar w:fldCharType="separate"/>
            </w:r>
            <w:r w:rsidR="00264EB1" w:rsidRPr="00264EB1">
              <w:rPr>
                <w:rStyle w:val="Hyperlink"/>
                <w:noProof/>
                <w:szCs w:val="24"/>
              </w:rPr>
              <w:t>Compass – Viewing and Advising on Prior Authorization (PA) or Clinical Exception Status (056368)</w:t>
            </w:r>
            <w:r w:rsidR="00264EB1" w:rsidRPr="00264EB1">
              <w:rPr>
                <w:noProof/>
                <w:color w:val="000000"/>
                <w:szCs w:val="24"/>
              </w:rPr>
              <w:fldChar w:fldCharType="end"/>
            </w:r>
            <w:r w:rsidR="00912438">
              <w:rPr>
                <w:noProof/>
                <w:color w:val="000000"/>
                <w:szCs w:val="24"/>
              </w:rPr>
              <w:t xml:space="preserve"> for in</w:t>
            </w:r>
            <w:r w:rsidR="007D69EB">
              <w:rPr>
                <w:noProof/>
                <w:color w:val="000000"/>
                <w:szCs w:val="24"/>
              </w:rPr>
              <w:t xml:space="preserve">formation on transferring prior authorizations. </w:t>
            </w:r>
          </w:p>
        </w:tc>
      </w:tr>
    </w:tbl>
    <w:p w14:paraId="58FFAE15" w14:textId="77777777" w:rsidR="00F77F73" w:rsidRPr="00E869FE" w:rsidRDefault="00F77F73" w:rsidP="00F77F73"/>
    <w:p w14:paraId="63C64859" w14:textId="77777777" w:rsidR="00F77F73" w:rsidRPr="00E869FE" w:rsidRDefault="00F77F73" w:rsidP="00F77F73">
      <w:pPr>
        <w:jc w:val="right"/>
        <w:rPr>
          <w:b/>
          <w:bCs/>
        </w:rPr>
      </w:pPr>
      <w:hyperlink w:anchor="_top" w:history="1">
        <w:r w:rsidRPr="00E869FE">
          <w:rPr>
            <w:rStyle w:val="Hyperlink"/>
            <w:rFonts w:eastAsia="Times New Roman" w:cs="Calibri"/>
            <w:kern w:val="0"/>
            <w14:ligatures w14:val="none"/>
          </w:rPr>
          <w:t>Top of the Document</w:t>
        </w:r>
      </w:hyperlink>
      <w:r w:rsidRPr="00E869FE">
        <w:t> </w:t>
      </w:r>
      <w:r w:rsidRPr="00E869FE">
        <w:rPr>
          <w:rFonts w:eastAsia="Times New Roman" w:cs="Calibri"/>
          <w:kern w:val="0"/>
          <w14:ligatures w14:val="none"/>
        </w:rPr>
        <w:t> </w:t>
      </w:r>
    </w:p>
    <w:tbl>
      <w:tblPr>
        <w:tblStyle w:val="TableGrid"/>
        <w:tblW w:w="5000" w:type="pct"/>
        <w:tblLook w:val="04A0" w:firstRow="1" w:lastRow="0" w:firstColumn="1" w:lastColumn="0" w:noHBand="0" w:noVBand="1"/>
      </w:tblPr>
      <w:tblGrid>
        <w:gridCol w:w="9350"/>
      </w:tblGrid>
      <w:tr w:rsidR="00F77F73" w:rsidRPr="00E869FE" w14:paraId="4BC65C8A" w14:textId="77777777" w:rsidTr="00710A3B">
        <w:tc>
          <w:tcPr>
            <w:tcW w:w="5000" w:type="pct"/>
            <w:shd w:val="clear" w:color="auto" w:fill="BFBFBF" w:themeFill="background1" w:themeFillShade="BF"/>
          </w:tcPr>
          <w:p w14:paraId="48D26DAD" w14:textId="77777777" w:rsidR="00F77F73" w:rsidRPr="00E869FE" w:rsidRDefault="00F77F73" w:rsidP="00710A3B">
            <w:pPr>
              <w:pStyle w:val="Heading2"/>
            </w:pPr>
            <w:bookmarkStart w:id="2" w:name="_Toc193465211"/>
            <w:r w:rsidRPr="00E869FE">
              <w:t>Possible Denied Q&amp;A</w:t>
            </w:r>
            <w:bookmarkEnd w:id="2"/>
          </w:p>
        </w:tc>
      </w:tr>
    </w:tbl>
    <w:p w14:paraId="13D8FA0B" w14:textId="77777777" w:rsidR="00F77F73" w:rsidRPr="00E869FE" w:rsidRDefault="00F77F73" w:rsidP="00F77F73">
      <w:pPr>
        <w:spacing w:line="240" w:lineRule="auto"/>
      </w:pPr>
    </w:p>
    <w:p w14:paraId="05FD3EA8" w14:textId="77777777" w:rsidR="00F77F73" w:rsidRPr="00E869FE" w:rsidRDefault="00F77F73" w:rsidP="00F77F73">
      <w:pPr>
        <w:spacing w:line="240" w:lineRule="auto"/>
      </w:pPr>
      <w:r w:rsidRPr="00E869FE">
        <w:t>Refer to the table below:</w:t>
      </w:r>
    </w:p>
    <w:tbl>
      <w:tblPr>
        <w:tblStyle w:val="TableGrid"/>
        <w:tblW w:w="5000" w:type="pct"/>
        <w:tblLook w:val="04A0" w:firstRow="1" w:lastRow="0" w:firstColumn="1" w:lastColumn="0" w:noHBand="0" w:noVBand="1"/>
      </w:tblPr>
      <w:tblGrid>
        <w:gridCol w:w="696"/>
        <w:gridCol w:w="2650"/>
        <w:gridCol w:w="6004"/>
      </w:tblGrid>
      <w:tr w:rsidR="00F77F73" w:rsidRPr="00E869FE" w14:paraId="04F9D9F3" w14:textId="77777777" w:rsidTr="00374735">
        <w:tc>
          <w:tcPr>
            <w:tcW w:w="341" w:type="pct"/>
            <w:shd w:val="clear" w:color="auto" w:fill="D9D9D9" w:themeFill="background1" w:themeFillShade="D9"/>
          </w:tcPr>
          <w:p w14:paraId="5F597185" w14:textId="77777777" w:rsidR="00F77F73" w:rsidRPr="00E869FE" w:rsidRDefault="00F77F73" w:rsidP="00710A3B">
            <w:pPr>
              <w:jc w:val="center"/>
              <w:rPr>
                <w:b/>
                <w:bCs/>
              </w:rPr>
            </w:pPr>
            <w:r w:rsidRPr="00E869FE">
              <w:rPr>
                <w:b/>
                <w:bCs/>
              </w:rPr>
              <w:t>#</w:t>
            </w:r>
          </w:p>
        </w:tc>
        <w:tc>
          <w:tcPr>
            <w:tcW w:w="1433" w:type="pct"/>
            <w:shd w:val="clear" w:color="auto" w:fill="D9D9D9" w:themeFill="background1" w:themeFillShade="D9"/>
          </w:tcPr>
          <w:p w14:paraId="0564E7E4" w14:textId="77777777" w:rsidR="00F77F73" w:rsidRPr="00E869FE" w:rsidRDefault="00F77F73" w:rsidP="00710A3B">
            <w:pPr>
              <w:jc w:val="center"/>
              <w:rPr>
                <w:b/>
                <w:bCs/>
              </w:rPr>
            </w:pPr>
            <w:r w:rsidRPr="00E869FE">
              <w:rPr>
                <w:b/>
                <w:bCs/>
              </w:rPr>
              <w:t>Question</w:t>
            </w:r>
          </w:p>
        </w:tc>
        <w:tc>
          <w:tcPr>
            <w:tcW w:w="3226" w:type="pct"/>
            <w:shd w:val="clear" w:color="auto" w:fill="D9D9D9" w:themeFill="background1" w:themeFillShade="D9"/>
          </w:tcPr>
          <w:p w14:paraId="0B20D0E0" w14:textId="77777777" w:rsidR="00F77F73" w:rsidRPr="00E869FE" w:rsidRDefault="00F77F73" w:rsidP="00710A3B">
            <w:pPr>
              <w:jc w:val="center"/>
              <w:rPr>
                <w:b/>
                <w:bCs/>
              </w:rPr>
            </w:pPr>
            <w:r w:rsidRPr="00E869FE">
              <w:rPr>
                <w:b/>
                <w:bCs/>
              </w:rPr>
              <w:t>Answer</w:t>
            </w:r>
          </w:p>
        </w:tc>
      </w:tr>
      <w:tr w:rsidR="00F77F73" w:rsidRPr="00E869FE" w14:paraId="6FE80E24" w14:textId="77777777" w:rsidTr="00374735">
        <w:trPr>
          <w:trHeight w:val="557"/>
        </w:trPr>
        <w:tc>
          <w:tcPr>
            <w:tcW w:w="341" w:type="pct"/>
          </w:tcPr>
          <w:p w14:paraId="002AF814" w14:textId="77777777" w:rsidR="00F77F73" w:rsidRPr="00E869FE" w:rsidRDefault="00F77F73" w:rsidP="00710A3B">
            <w:pPr>
              <w:jc w:val="center"/>
              <w:rPr>
                <w:b/>
                <w:bCs/>
              </w:rPr>
            </w:pPr>
            <w:r w:rsidRPr="00E869FE">
              <w:rPr>
                <w:b/>
                <w:bCs/>
              </w:rPr>
              <w:t>1</w:t>
            </w:r>
          </w:p>
        </w:tc>
        <w:tc>
          <w:tcPr>
            <w:tcW w:w="1433" w:type="pct"/>
          </w:tcPr>
          <w:p w14:paraId="0B7BBE9B" w14:textId="77777777" w:rsidR="00F77F73" w:rsidRPr="00E869FE" w:rsidRDefault="00F77F73" w:rsidP="00710A3B">
            <w:r w:rsidRPr="00E869FE">
              <w:t>Why was my PA denied?</w:t>
            </w:r>
          </w:p>
        </w:tc>
        <w:tc>
          <w:tcPr>
            <w:tcW w:w="3226" w:type="pct"/>
          </w:tcPr>
          <w:p w14:paraId="254C01A6" w14:textId="77777777" w:rsidR="00F77F73" w:rsidRPr="00E869FE" w:rsidRDefault="00F77F73" w:rsidP="00710A3B">
            <w:r w:rsidRPr="00E869FE">
              <w:t xml:space="preserve">Review the denied PA in question and relay the denial reason to the member. Educate </w:t>
            </w:r>
            <w:proofErr w:type="gramStart"/>
            <w:r w:rsidRPr="00E869FE">
              <w:t>member</w:t>
            </w:r>
            <w:proofErr w:type="gramEnd"/>
            <w:r w:rsidRPr="00E869FE">
              <w:t xml:space="preserve"> on their next steps, based on the denial reason. </w:t>
            </w:r>
          </w:p>
        </w:tc>
      </w:tr>
      <w:tr w:rsidR="00F77F73" w:rsidRPr="00E869FE" w14:paraId="1528FC5A" w14:textId="77777777" w:rsidTr="00374735">
        <w:tc>
          <w:tcPr>
            <w:tcW w:w="341" w:type="pct"/>
          </w:tcPr>
          <w:p w14:paraId="34736BA9" w14:textId="77777777" w:rsidR="00F77F73" w:rsidRPr="00E869FE" w:rsidRDefault="00F77F73" w:rsidP="00710A3B">
            <w:pPr>
              <w:jc w:val="center"/>
              <w:rPr>
                <w:b/>
                <w:bCs/>
              </w:rPr>
            </w:pPr>
            <w:r w:rsidRPr="00E869FE">
              <w:rPr>
                <w:b/>
                <w:bCs/>
              </w:rPr>
              <w:t>2</w:t>
            </w:r>
          </w:p>
        </w:tc>
        <w:tc>
          <w:tcPr>
            <w:tcW w:w="1433" w:type="pct"/>
          </w:tcPr>
          <w:p w14:paraId="4AF5F5E8" w14:textId="77777777" w:rsidR="00F77F73" w:rsidRPr="00E869FE" w:rsidRDefault="00F77F73" w:rsidP="00710A3B">
            <w:r w:rsidRPr="00E869FE">
              <w:t xml:space="preserve">What if </w:t>
            </w:r>
            <w:proofErr w:type="gramStart"/>
            <w:r w:rsidRPr="00E869FE">
              <w:t>the Prior</w:t>
            </w:r>
            <w:proofErr w:type="gramEnd"/>
            <w:r w:rsidRPr="00E869FE">
              <w:t xml:space="preserve"> Authorization is denied?</w:t>
            </w:r>
          </w:p>
          <w:p w14:paraId="58E79202" w14:textId="77777777" w:rsidR="00F77F73" w:rsidRPr="00E869FE" w:rsidRDefault="00F77F73" w:rsidP="00710A3B"/>
        </w:tc>
        <w:tc>
          <w:tcPr>
            <w:tcW w:w="3226" w:type="pct"/>
          </w:tcPr>
          <w:p w14:paraId="46D93091" w14:textId="77777777" w:rsidR="00F77F73" w:rsidRPr="00E869FE" w:rsidRDefault="00F77F73" w:rsidP="00710A3B">
            <w:r w:rsidRPr="00E869FE">
              <w:rPr>
                <w:noProof/>
              </w:rPr>
              <w:drawing>
                <wp:inline distT="0" distB="0" distL="0" distR="0" wp14:anchorId="1A455F6E" wp14:editId="726AB116">
                  <wp:extent cx="238158" cy="209579"/>
                  <wp:effectExtent l="0" t="0" r="9525" b="0"/>
                  <wp:docPr id="1637449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If your Prior Authorization is denied for insufficient information, you may have your physician submit a new PA. If your PA was denied due to clinical reasons, you may follow the appeal process outlined within the denial letter, you may pay out of pocket for the medication, or you may contact your prescriber to discuss alternative medications covered under your plan. If you’d like, I’ll be happy to search for potentially cost-saving alternatives that do not require </w:t>
            </w:r>
            <w:proofErr w:type="gramStart"/>
            <w:r w:rsidRPr="00E869FE">
              <w:t>a Prior</w:t>
            </w:r>
            <w:proofErr w:type="gramEnd"/>
            <w:r w:rsidRPr="00E869FE">
              <w:t xml:space="preserve"> Authorization. </w:t>
            </w:r>
          </w:p>
        </w:tc>
      </w:tr>
      <w:tr w:rsidR="00F77F73" w:rsidRPr="00E869FE" w14:paraId="47A6673E" w14:textId="77777777" w:rsidTr="00374735">
        <w:tc>
          <w:tcPr>
            <w:tcW w:w="341" w:type="pct"/>
          </w:tcPr>
          <w:p w14:paraId="6065BBB8" w14:textId="77777777" w:rsidR="00F77F73" w:rsidRPr="00E869FE" w:rsidRDefault="00F77F73" w:rsidP="00710A3B">
            <w:pPr>
              <w:jc w:val="center"/>
              <w:rPr>
                <w:b/>
                <w:bCs/>
              </w:rPr>
            </w:pPr>
            <w:r w:rsidRPr="00E869FE">
              <w:rPr>
                <w:b/>
                <w:bCs/>
              </w:rPr>
              <w:t>3</w:t>
            </w:r>
          </w:p>
        </w:tc>
        <w:tc>
          <w:tcPr>
            <w:tcW w:w="1433" w:type="pct"/>
          </w:tcPr>
          <w:p w14:paraId="39DF766F" w14:textId="77777777" w:rsidR="00F77F73" w:rsidRPr="00E869FE" w:rsidRDefault="00F77F73" w:rsidP="00710A3B">
            <w:r w:rsidRPr="00E869FE">
              <w:t xml:space="preserve">Someone I know has the same insurance, and the medication is covered for them, why is it not covered for me? </w:t>
            </w:r>
          </w:p>
        </w:tc>
        <w:tc>
          <w:tcPr>
            <w:tcW w:w="3226" w:type="pct"/>
          </w:tcPr>
          <w:p w14:paraId="4CCF4C14" w14:textId="77777777" w:rsidR="00F77F73" w:rsidRPr="00E869FE" w:rsidRDefault="00F77F73" w:rsidP="00710A3B">
            <w:r w:rsidRPr="00E869FE">
              <w:rPr>
                <w:noProof/>
              </w:rPr>
              <w:drawing>
                <wp:inline distT="0" distB="0" distL="0" distR="0" wp14:anchorId="021886B1" wp14:editId="01F3E4C9">
                  <wp:extent cx="238158" cy="209579"/>
                  <wp:effectExtent l="0" t="0" r="9525" b="0"/>
                  <wp:docPr id="33621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Prior authorizations are decided on a case-by-case basis. Approval or denial depends on the specific clinical criteria and documentation submitted by your prescriber. </w:t>
            </w:r>
          </w:p>
        </w:tc>
      </w:tr>
      <w:tr w:rsidR="00F77F73" w:rsidRPr="00E869FE" w14:paraId="11E9D950" w14:textId="77777777" w:rsidTr="00374735">
        <w:tc>
          <w:tcPr>
            <w:tcW w:w="341" w:type="pct"/>
          </w:tcPr>
          <w:p w14:paraId="55D39668" w14:textId="77777777" w:rsidR="00F77F73" w:rsidRPr="00E869FE" w:rsidRDefault="00F77F73" w:rsidP="00710A3B">
            <w:pPr>
              <w:jc w:val="center"/>
              <w:rPr>
                <w:b/>
                <w:bCs/>
              </w:rPr>
            </w:pPr>
            <w:r w:rsidRPr="00E869FE">
              <w:rPr>
                <w:b/>
                <w:bCs/>
              </w:rPr>
              <w:t>4</w:t>
            </w:r>
          </w:p>
        </w:tc>
        <w:tc>
          <w:tcPr>
            <w:tcW w:w="1433" w:type="pct"/>
          </w:tcPr>
          <w:p w14:paraId="313DE84D" w14:textId="77777777" w:rsidR="00F77F73" w:rsidRPr="00E869FE" w:rsidRDefault="00F77F73" w:rsidP="00710A3B">
            <w:r w:rsidRPr="00E869FE">
              <w:t>Why is my PA being denied for step therapy when I have already taken the required alternatives?</w:t>
            </w:r>
          </w:p>
          <w:p w14:paraId="2F05A79E" w14:textId="77777777" w:rsidR="00F77F73" w:rsidRPr="00E869FE" w:rsidRDefault="00F77F73" w:rsidP="00710A3B"/>
        </w:tc>
        <w:tc>
          <w:tcPr>
            <w:tcW w:w="3226" w:type="pct"/>
          </w:tcPr>
          <w:p w14:paraId="06FC237B" w14:textId="77777777" w:rsidR="00F77F73" w:rsidRPr="00E869FE" w:rsidRDefault="00F77F73" w:rsidP="00710A3B">
            <w:r w:rsidRPr="00E869FE">
              <w:rPr>
                <w:noProof/>
              </w:rPr>
              <w:drawing>
                <wp:inline distT="0" distB="0" distL="0" distR="0" wp14:anchorId="049C9425" wp14:editId="05EBFE7F">
                  <wp:extent cx="238158" cy="209579"/>
                  <wp:effectExtent l="0" t="0" r="9525" b="0"/>
                  <wp:docPr id="663866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When a prior authorization request is submitted, the approval or denial is based solely on the information provided at the time of submission. Your medication history is only considered if it is included with the required criteria form that we receive back from your physician. The fact that a medication was previously filled </w:t>
            </w:r>
            <w:proofErr w:type="gramStart"/>
            <w:r w:rsidRPr="00E869FE">
              <w:t>under</w:t>
            </w:r>
            <w:proofErr w:type="gramEnd"/>
            <w:r w:rsidRPr="00E869FE">
              <w:t xml:space="preserve"> your prescription benefits does not factor it into the decision-making process.</w:t>
            </w:r>
          </w:p>
        </w:tc>
      </w:tr>
      <w:tr w:rsidR="00F77F73" w:rsidRPr="00E869FE" w14:paraId="757FC6E8" w14:textId="77777777" w:rsidTr="00374735">
        <w:tc>
          <w:tcPr>
            <w:tcW w:w="341" w:type="pct"/>
          </w:tcPr>
          <w:p w14:paraId="53428B4F" w14:textId="77777777" w:rsidR="00F77F73" w:rsidRPr="00E869FE" w:rsidRDefault="00F77F73" w:rsidP="00710A3B">
            <w:pPr>
              <w:jc w:val="center"/>
              <w:rPr>
                <w:b/>
                <w:bCs/>
              </w:rPr>
            </w:pPr>
            <w:r w:rsidRPr="00E869FE">
              <w:rPr>
                <w:b/>
                <w:bCs/>
              </w:rPr>
              <w:t>5</w:t>
            </w:r>
          </w:p>
        </w:tc>
        <w:tc>
          <w:tcPr>
            <w:tcW w:w="1433" w:type="pct"/>
          </w:tcPr>
          <w:p w14:paraId="3AE726D9" w14:textId="77777777" w:rsidR="00F77F73" w:rsidRPr="00E869FE" w:rsidRDefault="00F77F73" w:rsidP="00710A3B">
            <w:r w:rsidRPr="00E869FE">
              <w:t>Why is my PA being denied for “dosage/quantity limit”. What does that mean?</w:t>
            </w:r>
          </w:p>
        </w:tc>
        <w:tc>
          <w:tcPr>
            <w:tcW w:w="3226" w:type="pct"/>
          </w:tcPr>
          <w:p w14:paraId="50CA21CE" w14:textId="77777777" w:rsidR="00F77F73" w:rsidRPr="00E869FE" w:rsidRDefault="00F77F73" w:rsidP="00710A3B">
            <w:r w:rsidRPr="00E869FE">
              <w:rPr>
                <w:noProof/>
              </w:rPr>
              <w:drawing>
                <wp:inline distT="0" distB="0" distL="0" distR="0" wp14:anchorId="498EFCAE" wp14:editId="0D808839">
                  <wp:extent cx="238158" cy="209579"/>
                  <wp:effectExtent l="0" t="0" r="9525" b="0"/>
                  <wp:docPr id="1527369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Your insurance plan has guidelines on the maximum dosage or quantity of medication they will cover for a given condition within a certain </w:t>
            </w:r>
            <w:proofErr w:type="gramStart"/>
            <w:r w:rsidRPr="00E869FE">
              <w:t>time period</w:t>
            </w:r>
            <w:proofErr w:type="gramEnd"/>
            <w:r w:rsidRPr="00E869FE">
              <w:t xml:space="preserve">. The prescribed dosage and/or quantity exceeds those limits. </w:t>
            </w:r>
          </w:p>
        </w:tc>
      </w:tr>
      <w:tr w:rsidR="00F77F73" w:rsidRPr="00E869FE" w14:paraId="2851BACF" w14:textId="77777777" w:rsidTr="00374735">
        <w:tc>
          <w:tcPr>
            <w:tcW w:w="341" w:type="pct"/>
          </w:tcPr>
          <w:p w14:paraId="41FEA1C6" w14:textId="77777777" w:rsidR="00F77F73" w:rsidRPr="00E869FE" w:rsidRDefault="00F77F73" w:rsidP="00710A3B">
            <w:pPr>
              <w:jc w:val="center"/>
              <w:rPr>
                <w:b/>
                <w:bCs/>
              </w:rPr>
            </w:pPr>
            <w:r w:rsidRPr="00E869FE">
              <w:rPr>
                <w:b/>
                <w:bCs/>
              </w:rPr>
              <w:t>6</w:t>
            </w:r>
          </w:p>
        </w:tc>
        <w:tc>
          <w:tcPr>
            <w:tcW w:w="1433" w:type="pct"/>
          </w:tcPr>
          <w:p w14:paraId="60910D8F" w14:textId="77777777" w:rsidR="00F77F73" w:rsidRPr="00E869FE" w:rsidRDefault="00F77F73" w:rsidP="00710A3B">
            <w:r w:rsidRPr="00E869FE">
              <w:t>Why does my denial say, “lack of medical necessity/ lack of Medical Information”?</w:t>
            </w:r>
          </w:p>
        </w:tc>
        <w:tc>
          <w:tcPr>
            <w:tcW w:w="3226" w:type="pct"/>
          </w:tcPr>
          <w:p w14:paraId="37C1FE9E" w14:textId="77777777" w:rsidR="00F77F73" w:rsidRPr="00E869FE" w:rsidRDefault="00F77F73" w:rsidP="00710A3B">
            <w:r w:rsidRPr="00E869FE">
              <w:rPr>
                <w:noProof/>
              </w:rPr>
              <w:drawing>
                <wp:inline distT="0" distB="0" distL="0" distR="0" wp14:anchorId="16F6A13E" wp14:editId="0E947349">
                  <wp:extent cx="238158" cy="209579"/>
                  <wp:effectExtent l="0" t="0" r="9525" b="0"/>
                  <wp:docPr id="211674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Your insurance company requires specific clinical information to support the medical necessity of &lt;medication name&gt; for your condition. The information submitted by your doctor may have been incomplete or did not adequately demonstrate why this specific medication is the most appropriate treatment for you. Your physician has been notified and informed, but we have not yet received a response back.  </w:t>
            </w:r>
          </w:p>
        </w:tc>
      </w:tr>
      <w:tr w:rsidR="00F77F73" w:rsidRPr="00E869FE" w14:paraId="296BAB54" w14:textId="77777777" w:rsidTr="00374735">
        <w:tc>
          <w:tcPr>
            <w:tcW w:w="341" w:type="pct"/>
          </w:tcPr>
          <w:p w14:paraId="62784EA5" w14:textId="091FF1EC" w:rsidR="00F77F73" w:rsidRPr="00E869FE" w:rsidRDefault="00F77F73" w:rsidP="00710A3B">
            <w:pPr>
              <w:jc w:val="center"/>
              <w:rPr>
                <w:b/>
                <w:bCs/>
              </w:rPr>
            </w:pPr>
            <w:r w:rsidRPr="00E869FE">
              <w:rPr>
                <w:b/>
                <w:bCs/>
              </w:rPr>
              <w:t>7</w:t>
            </w:r>
          </w:p>
        </w:tc>
        <w:tc>
          <w:tcPr>
            <w:tcW w:w="1433" w:type="pct"/>
          </w:tcPr>
          <w:p w14:paraId="3C6DF9AA" w14:textId="77777777" w:rsidR="00F77F73" w:rsidRPr="00E869FE" w:rsidRDefault="00F77F73" w:rsidP="00710A3B">
            <w:r w:rsidRPr="00E869FE">
              <w:rPr>
                <w:rFonts w:eastAsia="Times New Roman" w:cs="Times New Roman"/>
                <w:kern w:val="0"/>
                <w:szCs w:val="24"/>
                <w14:ligatures w14:val="none"/>
              </w:rPr>
              <w:t>Can I obtain another copy of my Prior Authorization denial letter?</w:t>
            </w:r>
          </w:p>
        </w:tc>
        <w:tc>
          <w:tcPr>
            <w:tcW w:w="3226" w:type="pct"/>
          </w:tcPr>
          <w:p w14:paraId="620FD3E9" w14:textId="77777777" w:rsidR="00F77F73" w:rsidRPr="00E869FE" w:rsidRDefault="00F77F73" w:rsidP="00710A3B">
            <w:pPr>
              <w:spacing w:line="240" w:lineRule="atLeast"/>
              <w:rPr>
                <w:rFonts w:eastAsia="Times New Roman" w:cs="Times New Roman"/>
                <w:kern w:val="0"/>
                <w:szCs w:val="24"/>
                <w14:ligatures w14:val="none"/>
              </w:rPr>
            </w:pPr>
            <w:r w:rsidRPr="00E869FE">
              <w:rPr>
                <w:noProof/>
              </w:rPr>
              <w:drawing>
                <wp:inline distT="0" distB="0" distL="0" distR="0" wp14:anchorId="2C775DDE" wp14:editId="7A58D26E">
                  <wp:extent cx="241300" cy="2070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E869FE">
              <w:rPr>
                <w:rFonts w:eastAsia="Times New Roman" w:cs="Times New Roman"/>
                <w:kern w:val="0"/>
                <w:szCs w:val="24"/>
                <w14:ligatures w14:val="none"/>
              </w:rPr>
              <w:t xml:space="preserve"> Yes. One moment while I </w:t>
            </w:r>
            <w:proofErr w:type="gramStart"/>
            <w:r w:rsidRPr="00E869FE">
              <w:rPr>
                <w:rFonts w:eastAsia="Times New Roman" w:cs="Times New Roman"/>
                <w:kern w:val="0"/>
                <w:szCs w:val="24"/>
                <w14:ligatures w14:val="none"/>
              </w:rPr>
              <w:t>contact</w:t>
            </w:r>
            <w:proofErr w:type="gramEnd"/>
            <w:r w:rsidRPr="00E869FE">
              <w:rPr>
                <w:rFonts w:eastAsia="Times New Roman" w:cs="Times New Roman"/>
                <w:kern w:val="0"/>
                <w:szCs w:val="24"/>
                <w14:ligatures w14:val="none"/>
              </w:rPr>
              <w:t xml:space="preserve"> the Prior Authorization department to request that.</w:t>
            </w:r>
          </w:p>
          <w:p w14:paraId="144173BB" w14:textId="77777777" w:rsidR="00F77F73" w:rsidRPr="00E869FE" w:rsidRDefault="00F77F73" w:rsidP="00710A3B">
            <w:pPr>
              <w:spacing w:line="240" w:lineRule="atLeast"/>
              <w:rPr>
                <w:rFonts w:eastAsia="Times New Roman" w:cs="Times New Roman"/>
                <w:kern w:val="0"/>
                <w:szCs w:val="24"/>
                <w14:ligatures w14:val="none"/>
              </w:rPr>
            </w:pPr>
            <w:r w:rsidRPr="00E869FE">
              <w:rPr>
                <w:rFonts w:eastAsia="Times New Roman" w:cs="Times New Roman"/>
                <w:kern w:val="0"/>
                <w:szCs w:val="24"/>
                <w14:ligatures w14:val="none"/>
              </w:rPr>
              <w:t> </w:t>
            </w:r>
          </w:p>
          <w:p w14:paraId="2E01777F" w14:textId="77777777" w:rsidR="00F77F73" w:rsidRPr="00E869FE" w:rsidRDefault="00F77F73" w:rsidP="00710A3B">
            <w:pPr>
              <w:spacing w:line="240" w:lineRule="atLeast"/>
              <w:rPr>
                <w:rFonts w:eastAsia="Times New Roman" w:cs="Times New Roman"/>
                <w:kern w:val="0"/>
                <w:szCs w:val="24"/>
                <w14:ligatures w14:val="none"/>
              </w:rPr>
            </w:pPr>
            <w:r w:rsidRPr="00E869FE">
              <w:rPr>
                <w:rFonts w:eastAsia="Times New Roman" w:cs="Times New Roman"/>
                <w:b/>
                <w:bCs/>
                <w:kern w:val="0"/>
                <w:szCs w:val="24"/>
                <w14:ligatures w14:val="none"/>
              </w:rPr>
              <w:t>CCR:</w:t>
            </w:r>
            <w:r w:rsidRPr="00E869FE">
              <w:rPr>
                <w:rFonts w:eastAsia="Times New Roman" w:cs="Times New Roman"/>
                <w:kern w:val="0"/>
                <w:szCs w:val="24"/>
                <w14:ligatures w14:val="none"/>
              </w:rPr>
              <w:t>  Before contacting the Prior Authorization department, confirm the denied medication and the member’s mailing address to send the letter. Inform member to allow the normal 7 to 10 business days to receive the letter.</w:t>
            </w:r>
          </w:p>
          <w:p w14:paraId="0951FD36" w14:textId="77777777" w:rsidR="00F77F73" w:rsidRPr="00E869FE" w:rsidRDefault="00F77F73" w:rsidP="00710A3B">
            <w:pPr>
              <w:rPr>
                <w:noProof/>
              </w:rPr>
            </w:pPr>
          </w:p>
        </w:tc>
      </w:tr>
      <w:tr w:rsidR="00F77F73" w:rsidRPr="00E869FE" w14:paraId="0E35901F" w14:textId="77777777" w:rsidTr="00374735">
        <w:tc>
          <w:tcPr>
            <w:tcW w:w="341" w:type="pct"/>
          </w:tcPr>
          <w:p w14:paraId="22987D86" w14:textId="6DA36125" w:rsidR="00F77F73" w:rsidRPr="00E869FE" w:rsidRDefault="00F77F73" w:rsidP="00710A3B">
            <w:pPr>
              <w:jc w:val="center"/>
              <w:rPr>
                <w:b/>
                <w:bCs/>
              </w:rPr>
            </w:pPr>
            <w:r w:rsidRPr="00E869FE">
              <w:rPr>
                <w:b/>
                <w:bCs/>
              </w:rPr>
              <w:t>8</w:t>
            </w:r>
          </w:p>
        </w:tc>
        <w:tc>
          <w:tcPr>
            <w:tcW w:w="1433" w:type="pct"/>
          </w:tcPr>
          <w:p w14:paraId="4F144682" w14:textId="77777777" w:rsidR="00F77F73" w:rsidRPr="00E869FE" w:rsidRDefault="00F77F73" w:rsidP="00710A3B">
            <w:r w:rsidRPr="00E869FE">
              <w:rPr>
                <w:rFonts w:eastAsia="Times New Roman" w:cs="Times New Roman"/>
                <w:kern w:val="0"/>
                <w:szCs w:val="24"/>
                <w14:ligatures w14:val="none"/>
              </w:rPr>
              <w:t>What are the hours of operation of the Prior Authorization department?</w:t>
            </w:r>
          </w:p>
        </w:tc>
        <w:tc>
          <w:tcPr>
            <w:tcW w:w="3226" w:type="pct"/>
          </w:tcPr>
          <w:p w14:paraId="57E1D858" w14:textId="77777777" w:rsidR="00F77F73" w:rsidRPr="00E869FE" w:rsidRDefault="00F77F73" w:rsidP="00710A3B">
            <w:pPr>
              <w:rPr>
                <w:noProof/>
              </w:rPr>
            </w:pPr>
            <w:r w:rsidRPr="00E869FE">
              <w:rPr>
                <w:noProof/>
              </w:rPr>
              <w:drawing>
                <wp:inline distT="0" distB="0" distL="0" distR="0" wp14:anchorId="38093FF0" wp14:editId="55E699F3">
                  <wp:extent cx="241300" cy="2070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E869FE">
              <w:rPr>
                <w:rFonts w:eastAsia="Times New Roman" w:cs="Times New Roman"/>
                <w:kern w:val="0"/>
                <w:szCs w:val="24"/>
                <w14:ligatures w14:val="none"/>
              </w:rPr>
              <w:t> The hours are Monday through Friday, 8:00am to 6:00pm CST.</w:t>
            </w:r>
          </w:p>
        </w:tc>
      </w:tr>
      <w:tr w:rsidR="00F77F73" w:rsidRPr="00E869FE" w14:paraId="418B42F6" w14:textId="77777777" w:rsidTr="00374735">
        <w:tc>
          <w:tcPr>
            <w:tcW w:w="341" w:type="pct"/>
          </w:tcPr>
          <w:p w14:paraId="37E6BB2C" w14:textId="77777777" w:rsidR="00F77F73" w:rsidRPr="00E869FE" w:rsidRDefault="00F77F73" w:rsidP="00710A3B">
            <w:pPr>
              <w:jc w:val="center"/>
              <w:rPr>
                <w:b/>
                <w:bCs/>
              </w:rPr>
            </w:pPr>
            <w:r w:rsidRPr="00E869FE">
              <w:rPr>
                <w:b/>
                <w:bCs/>
              </w:rPr>
              <w:t>9</w:t>
            </w:r>
          </w:p>
        </w:tc>
        <w:tc>
          <w:tcPr>
            <w:tcW w:w="1433" w:type="pct"/>
          </w:tcPr>
          <w:p w14:paraId="29A74C85" w14:textId="77777777" w:rsidR="00F77F73" w:rsidRPr="00E869FE" w:rsidRDefault="00F77F73" w:rsidP="00710A3B">
            <w:r w:rsidRPr="00E869FE">
              <w:t>My doctor prescribed [NEW Medication], it was recently approved by the FDA, but the prior authorization was denied, why?</w:t>
            </w:r>
          </w:p>
        </w:tc>
        <w:tc>
          <w:tcPr>
            <w:tcW w:w="3226" w:type="pct"/>
          </w:tcPr>
          <w:p w14:paraId="122F5360" w14:textId="77777777" w:rsidR="00F77F73" w:rsidRPr="00E869FE" w:rsidRDefault="00F77F73" w:rsidP="00710A3B">
            <w:r w:rsidRPr="00E869FE">
              <w:rPr>
                <w:noProof/>
              </w:rPr>
              <w:drawing>
                <wp:inline distT="0" distB="0" distL="0" distR="0" wp14:anchorId="0AACEF39" wp14:editId="27621F6C">
                  <wp:extent cx="238158" cy="209579"/>
                  <wp:effectExtent l="0" t="0" r="9525" b="0"/>
                  <wp:docPr id="1131515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Insurance companies often take time to review new medications and determine their place on the formulary; it may not yet be covered by your plan. </w:t>
            </w:r>
          </w:p>
          <w:p w14:paraId="3C9E412C" w14:textId="77777777" w:rsidR="00F77F73" w:rsidRPr="00E869FE" w:rsidRDefault="00F77F73" w:rsidP="00710A3B"/>
          <w:p w14:paraId="1E3710C6" w14:textId="77777777" w:rsidR="00F77F73" w:rsidRPr="00E869FE" w:rsidRDefault="00F77F73" w:rsidP="00710A3B">
            <w:r w:rsidRPr="00E869FE">
              <w:t xml:space="preserve">Refer to </w:t>
            </w:r>
            <w:hyperlink r:id="rId21" w:anchor="!/view?docid=18030a9d-2aa8-404a-8b68-007dbbcc33e1" w:history="1">
              <w:r w:rsidRPr="00E869FE">
                <w:rPr>
                  <w:rStyle w:val="Hyperlink"/>
                </w:rPr>
                <w:t>Advanced Control Non-Specialty and Specialty Formulary Changes with Questions and Answers (116970)</w:t>
              </w:r>
            </w:hyperlink>
            <w:r w:rsidRPr="00E869FE">
              <w:t>.</w:t>
            </w:r>
          </w:p>
        </w:tc>
      </w:tr>
      <w:tr w:rsidR="00F77F73" w:rsidRPr="00E869FE" w14:paraId="46046DE9" w14:textId="77777777" w:rsidTr="00374735">
        <w:tc>
          <w:tcPr>
            <w:tcW w:w="341" w:type="pct"/>
          </w:tcPr>
          <w:p w14:paraId="1694B8B4" w14:textId="77777777" w:rsidR="00F77F73" w:rsidRPr="00E869FE" w:rsidRDefault="00F77F73" w:rsidP="00710A3B">
            <w:pPr>
              <w:jc w:val="center"/>
              <w:rPr>
                <w:b/>
                <w:bCs/>
              </w:rPr>
            </w:pPr>
            <w:r w:rsidRPr="00E869FE">
              <w:rPr>
                <w:b/>
                <w:bCs/>
              </w:rPr>
              <w:t>10</w:t>
            </w:r>
          </w:p>
        </w:tc>
        <w:tc>
          <w:tcPr>
            <w:tcW w:w="1433" w:type="pct"/>
          </w:tcPr>
          <w:p w14:paraId="627E82FE" w14:textId="3A4B7E60" w:rsidR="00F77F73" w:rsidRPr="00E869FE" w:rsidRDefault="00F77F73" w:rsidP="00710A3B">
            <w:r w:rsidRPr="00E869FE">
              <w:t>I</w:t>
            </w:r>
            <w:r w:rsidR="00DA6D91">
              <w:t>’</w:t>
            </w:r>
            <w:r w:rsidRPr="00E869FE">
              <w:t>ve been taking [medication name] for a long time, it was previously covered. Now, the prior authorization is denied, why?</w:t>
            </w:r>
          </w:p>
        </w:tc>
        <w:tc>
          <w:tcPr>
            <w:tcW w:w="3226" w:type="pct"/>
          </w:tcPr>
          <w:p w14:paraId="2A742D8E" w14:textId="77777777" w:rsidR="00F77F73" w:rsidRPr="00E869FE" w:rsidRDefault="00F77F73" w:rsidP="00710A3B">
            <w:r w:rsidRPr="00E869FE">
              <w:rPr>
                <w:noProof/>
              </w:rPr>
              <w:drawing>
                <wp:inline distT="0" distB="0" distL="0" distR="0" wp14:anchorId="7A5C312C" wp14:editId="3DD75501">
                  <wp:extent cx="238158" cy="209579"/>
                  <wp:effectExtent l="0" t="0" r="9525" b="0"/>
                  <wp:docPr id="1412473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Your insurance plan may have recently updated its formulary, and &lt;medication name&gt; may no longer by covered. Sometimes, medications are removed from the formulary or moved to  non-preferred tier due to cost, new generic availability, or changes in clinical guidelines. </w:t>
            </w:r>
          </w:p>
        </w:tc>
      </w:tr>
      <w:tr w:rsidR="00F77F73" w:rsidRPr="00E869FE" w14:paraId="00719E11" w14:textId="77777777" w:rsidTr="00374735">
        <w:tc>
          <w:tcPr>
            <w:tcW w:w="341" w:type="pct"/>
          </w:tcPr>
          <w:p w14:paraId="32F96EDE" w14:textId="77777777" w:rsidR="00F77F73" w:rsidRPr="00E869FE" w:rsidRDefault="00F77F73" w:rsidP="00710A3B">
            <w:pPr>
              <w:jc w:val="center"/>
              <w:rPr>
                <w:b/>
                <w:bCs/>
              </w:rPr>
            </w:pPr>
            <w:r w:rsidRPr="00E869FE">
              <w:rPr>
                <w:b/>
                <w:bCs/>
              </w:rPr>
              <w:t>11</w:t>
            </w:r>
          </w:p>
        </w:tc>
        <w:tc>
          <w:tcPr>
            <w:tcW w:w="1433" w:type="pct"/>
          </w:tcPr>
          <w:p w14:paraId="261F11B8" w14:textId="77777777" w:rsidR="00F77F73" w:rsidRPr="00E869FE" w:rsidRDefault="00F77F73" w:rsidP="00710A3B">
            <w:r w:rsidRPr="00E869FE">
              <w:t>I went to pick up my medication at a local pharmacy and received a denial. It says, “prior authorization expired.” What does that mean?</w:t>
            </w:r>
          </w:p>
        </w:tc>
        <w:tc>
          <w:tcPr>
            <w:tcW w:w="3226" w:type="pct"/>
          </w:tcPr>
          <w:p w14:paraId="10F775DF" w14:textId="77777777" w:rsidR="00F77F73" w:rsidRPr="00E869FE" w:rsidRDefault="00F77F73" w:rsidP="00710A3B">
            <w:r w:rsidRPr="00E869FE">
              <w:rPr>
                <w:noProof/>
              </w:rPr>
              <w:drawing>
                <wp:inline distT="0" distB="0" distL="0" distR="0" wp14:anchorId="08E4D01F" wp14:editId="4D10F70C">
                  <wp:extent cx="238158" cy="209579"/>
                  <wp:effectExtent l="0" t="0" r="9525" b="0"/>
                  <wp:docPr id="1079055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E869FE">
              <w:t xml:space="preserve"> Prior authorizations for medications are often only valid for a specific period, for 6 months up to 3 years. After that, a new prior authorization is required. </w:t>
            </w:r>
          </w:p>
        </w:tc>
      </w:tr>
      <w:tr w:rsidR="006D3280" w:rsidRPr="00E869FE" w14:paraId="3D9525F2" w14:textId="77777777" w:rsidTr="00374735">
        <w:tc>
          <w:tcPr>
            <w:tcW w:w="341" w:type="pct"/>
          </w:tcPr>
          <w:p w14:paraId="55565498" w14:textId="4E2C42B5" w:rsidR="006D3280" w:rsidRPr="00E869FE" w:rsidRDefault="007B5A5B" w:rsidP="00710A3B">
            <w:pPr>
              <w:jc w:val="center"/>
              <w:rPr>
                <w:b/>
                <w:bCs/>
              </w:rPr>
            </w:pPr>
            <w:r w:rsidRPr="00E869FE">
              <w:rPr>
                <w:b/>
                <w:bCs/>
                <w:noProof/>
              </w:rPr>
              <w:drawing>
                <wp:inline distT="0" distB="0" distL="0" distR="0" wp14:anchorId="3860DD7D" wp14:editId="771DD2C8">
                  <wp:extent cx="304762" cy="304762"/>
                  <wp:effectExtent l="0" t="0" r="635" b="635"/>
                  <wp:docPr id="198917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50760" name="Picture 807550760"/>
                          <pic:cNvPicPr/>
                        </pic:nvPicPr>
                        <pic:blipFill>
                          <a:blip r:embed="rId1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006D3280">
              <w:rPr>
                <w:b/>
                <w:bCs/>
              </w:rPr>
              <w:t>12</w:t>
            </w:r>
          </w:p>
        </w:tc>
        <w:tc>
          <w:tcPr>
            <w:tcW w:w="1433" w:type="pct"/>
          </w:tcPr>
          <w:p w14:paraId="6BF83F94" w14:textId="720BF041" w:rsidR="006D3280" w:rsidRPr="00E869FE" w:rsidRDefault="009F13BA" w:rsidP="00710A3B">
            <w:r>
              <w:t xml:space="preserve">When can my doctor renew my prior authorization? </w:t>
            </w:r>
          </w:p>
        </w:tc>
        <w:tc>
          <w:tcPr>
            <w:tcW w:w="3226" w:type="pct"/>
          </w:tcPr>
          <w:p w14:paraId="101AC723" w14:textId="34B04A4A" w:rsidR="006D3280" w:rsidRDefault="00374735" w:rsidP="00374735">
            <w:pPr>
              <w:rPr>
                <w:noProof/>
              </w:rPr>
            </w:pPr>
            <w:r w:rsidRPr="00E869FE">
              <w:rPr>
                <w:noProof/>
              </w:rPr>
              <w:drawing>
                <wp:inline distT="0" distB="0" distL="0" distR="0" wp14:anchorId="653C976B" wp14:editId="6089C221">
                  <wp:extent cx="238158" cy="209579"/>
                  <wp:effectExtent l="0" t="0" r="9525" b="0"/>
                  <wp:docPr id="454358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49310" name="Picture 1637449310"/>
                          <pic:cNvPicPr/>
                        </pic:nvPicPr>
                        <pic:blipFill>
                          <a:blip r:embed="rId8">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noProof/>
              </w:rPr>
              <w:t xml:space="preserve"> </w:t>
            </w:r>
            <w:r w:rsidR="00DB62FD" w:rsidRPr="00DB62FD">
              <w:rPr>
                <w:noProof/>
              </w:rPr>
              <w:t xml:space="preserve">Most medications can be renewed up to 90 days prior to expiring. </w:t>
            </w:r>
          </w:p>
          <w:p w14:paraId="2FB5AB82" w14:textId="77777777" w:rsidR="00A63951" w:rsidRDefault="00A63951" w:rsidP="00264EB1">
            <w:pPr>
              <w:pStyle w:val="ListParagraph"/>
              <w:rPr>
                <w:noProof/>
              </w:rPr>
            </w:pPr>
          </w:p>
          <w:p w14:paraId="2DAC1457" w14:textId="4D309F42" w:rsidR="003B7D36" w:rsidRPr="00E869FE" w:rsidRDefault="003B7D36" w:rsidP="00264EB1">
            <w:pPr>
              <w:rPr>
                <w:noProof/>
              </w:rPr>
            </w:pPr>
            <w:r w:rsidRPr="00374735">
              <w:rPr>
                <w:b/>
                <w:bCs/>
                <w:noProof/>
              </w:rPr>
              <w:t>CCR Note:</w:t>
            </w:r>
            <w:r w:rsidRPr="003B7D36">
              <w:rPr>
                <w:noProof/>
              </w:rPr>
              <w:t xml:space="preserve"> An approval is NOT guaranteed, even when previous Prior Approvals were approved. The decision to approve or deny coverage for a medication is based on information provided by the prescriber.</w:t>
            </w:r>
          </w:p>
        </w:tc>
      </w:tr>
    </w:tbl>
    <w:p w14:paraId="21C9B28B" w14:textId="77777777" w:rsidR="00F77F73" w:rsidRPr="00E869FE" w:rsidRDefault="00F77F73" w:rsidP="00F77F73">
      <w:pPr>
        <w:spacing w:after="0" w:line="240" w:lineRule="auto"/>
      </w:pPr>
    </w:p>
    <w:p w14:paraId="51D33319" w14:textId="0A3D890D" w:rsidR="00F77F73" w:rsidRPr="00E869FE" w:rsidRDefault="000D62CB" w:rsidP="000D62CB">
      <w:pPr>
        <w:spacing w:after="0" w:line="240" w:lineRule="auto"/>
        <w:jc w:val="right"/>
      </w:pPr>
      <w:hyperlink w:anchor="_top" w:history="1">
        <w:r w:rsidRPr="000D62CB">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F77F73" w:rsidRPr="00E869FE" w14:paraId="1E2C0EED" w14:textId="77777777" w:rsidTr="00710A3B">
        <w:tc>
          <w:tcPr>
            <w:tcW w:w="5000" w:type="pct"/>
            <w:shd w:val="clear" w:color="auto" w:fill="BFBFBF" w:themeFill="background1" w:themeFillShade="BF"/>
          </w:tcPr>
          <w:p w14:paraId="2E5C18B1" w14:textId="77777777" w:rsidR="00F77F73" w:rsidRPr="00E869FE" w:rsidRDefault="00F77F73" w:rsidP="00710A3B">
            <w:pPr>
              <w:pStyle w:val="Heading2"/>
            </w:pPr>
            <w:bookmarkStart w:id="3" w:name="_Toc156567799"/>
            <w:bookmarkStart w:id="4" w:name="_Toc193465212"/>
            <w:r w:rsidRPr="00E869FE">
              <w:t>ePA Q&amp;A</w:t>
            </w:r>
            <w:bookmarkEnd w:id="3"/>
            <w:bookmarkEnd w:id="4"/>
          </w:p>
        </w:tc>
      </w:tr>
    </w:tbl>
    <w:p w14:paraId="1B455EA9" w14:textId="50015AF1" w:rsidR="00F77F73" w:rsidRPr="00E869FE" w:rsidRDefault="00F77F73" w:rsidP="00F77F73">
      <w:pPr>
        <w:spacing w:line="240" w:lineRule="auto"/>
        <w:rPr>
          <w:szCs w:val="24"/>
        </w:rPr>
      </w:pPr>
      <w:r w:rsidRPr="00E869FE">
        <w:rPr>
          <w:noProof/>
        </w:rPr>
        <w:drawing>
          <wp:inline distT="0" distB="0" distL="0" distR="0" wp14:anchorId="4DA4EA4A" wp14:editId="7E139328">
            <wp:extent cx="238125" cy="209550"/>
            <wp:effectExtent l="0" t="0" r="9525" b="0"/>
            <wp:docPr id="22508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869FE">
        <w:rPr>
          <w:szCs w:val="24"/>
        </w:rPr>
        <w:t xml:space="preserve"> When an agent initiates an ePA request through Compass, it is automatically submitted through CoverMyMeds</w:t>
      </w:r>
    </w:p>
    <w:p w14:paraId="4F4D3496" w14:textId="77777777" w:rsidR="00F77F73" w:rsidRPr="00E869FE" w:rsidRDefault="00F77F73" w:rsidP="00F77F73">
      <w:pPr>
        <w:spacing w:line="240" w:lineRule="auto"/>
        <w:rPr>
          <w:rFonts w:eastAsia="Times New Roman" w:cs="Times New Roman"/>
          <w:color w:val="000000"/>
          <w:szCs w:val="24"/>
        </w:rPr>
      </w:pPr>
    </w:p>
    <w:p w14:paraId="5FE74B5D" w14:textId="77777777" w:rsidR="00F77F73" w:rsidRPr="00E869FE" w:rsidRDefault="00F77F73" w:rsidP="00F77F73">
      <w:pPr>
        <w:spacing w:line="240" w:lineRule="auto"/>
        <w:rPr>
          <w:rFonts w:eastAsia="Times New Roman" w:cs="Times New Roman"/>
          <w:color w:val="000000"/>
          <w:szCs w:val="24"/>
        </w:rPr>
      </w:pPr>
      <w:r w:rsidRPr="00E869FE">
        <w:rPr>
          <w:rFonts w:eastAsia="Times New Roman" w:cs="Times New Roman"/>
          <w:color w:val="000000"/>
          <w:szCs w:val="24"/>
        </w:rPr>
        <w:t>Refer to the table below:</w:t>
      </w:r>
    </w:p>
    <w:tbl>
      <w:tblPr>
        <w:tblStyle w:val="TableGrid"/>
        <w:tblW w:w="5000" w:type="pct"/>
        <w:tblLook w:val="04A0" w:firstRow="1" w:lastRow="0" w:firstColumn="1" w:lastColumn="0" w:noHBand="0" w:noVBand="1"/>
      </w:tblPr>
      <w:tblGrid>
        <w:gridCol w:w="408"/>
        <w:gridCol w:w="2760"/>
        <w:gridCol w:w="6182"/>
      </w:tblGrid>
      <w:tr w:rsidR="00F77F73" w:rsidRPr="00E869FE" w14:paraId="34792EF8" w14:textId="77777777" w:rsidTr="00710A3B">
        <w:tc>
          <w:tcPr>
            <w:tcW w:w="353" w:type="pct"/>
            <w:shd w:val="clear" w:color="auto" w:fill="D9D9D9" w:themeFill="background1" w:themeFillShade="D9"/>
          </w:tcPr>
          <w:p w14:paraId="474305B4" w14:textId="77777777" w:rsidR="00F77F73" w:rsidRPr="00E869FE" w:rsidRDefault="00F77F73" w:rsidP="00710A3B">
            <w:pPr>
              <w:jc w:val="center"/>
              <w:rPr>
                <w:rFonts w:eastAsia="Times New Roman" w:cs="Times New Roman"/>
                <w:b/>
                <w:bCs/>
                <w:color w:val="000000"/>
                <w:szCs w:val="24"/>
              </w:rPr>
            </w:pPr>
            <w:r w:rsidRPr="00E869FE">
              <w:rPr>
                <w:rFonts w:eastAsia="Times New Roman" w:cs="Times New Roman"/>
                <w:b/>
                <w:bCs/>
                <w:color w:val="000000"/>
                <w:szCs w:val="24"/>
              </w:rPr>
              <w:t>#</w:t>
            </w:r>
          </w:p>
        </w:tc>
        <w:tc>
          <w:tcPr>
            <w:tcW w:w="1323" w:type="pct"/>
            <w:shd w:val="clear" w:color="auto" w:fill="D9D9D9" w:themeFill="background1" w:themeFillShade="D9"/>
          </w:tcPr>
          <w:p w14:paraId="713E98D6" w14:textId="77777777" w:rsidR="00F77F73" w:rsidRPr="00E869FE" w:rsidRDefault="00F77F73" w:rsidP="00710A3B">
            <w:pPr>
              <w:jc w:val="center"/>
              <w:rPr>
                <w:rFonts w:eastAsia="Times New Roman" w:cs="Times New Roman"/>
                <w:b/>
                <w:bCs/>
                <w:color w:val="000000"/>
                <w:szCs w:val="24"/>
              </w:rPr>
            </w:pPr>
            <w:r w:rsidRPr="00E869FE">
              <w:rPr>
                <w:rFonts w:eastAsia="Times New Roman" w:cs="Times New Roman"/>
                <w:b/>
                <w:bCs/>
                <w:color w:val="000000"/>
                <w:szCs w:val="24"/>
              </w:rPr>
              <w:t>Question/Statement</w:t>
            </w:r>
          </w:p>
        </w:tc>
        <w:tc>
          <w:tcPr>
            <w:tcW w:w="3324" w:type="pct"/>
            <w:shd w:val="clear" w:color="auto" w:fill="D9D9D9" w:themeFill="background1" w:themeFillShade="D9"/>
          </w:tcPr>
          <w:p w14:paraId="097A50C4" w14:textId="77777777" w:rsidR="00F77F73" w:rsidRPr="00E869FE" w:rsidRDefault="00F77F73" w:rsidP="00710A3B">
            <w:pPr>
              <w:autoSpaceDE w:val="0"/>
              <w:autoSpaceDN w:val="0"/>
              <w:adjustRightInd w:val="0"/>
              <w:jc w:val="center"/>
              <w:rPr>
                <w:rFonts w:eastAsia="Calibri" w:cs="FranklinGothic-Book"/>
                <w:b/>
                <w:bCs/>
                <w:color w:val="000000"/>
                <w:szCs w:val="24"/>
              </w:rPr>
            </w:pPr>
            <w:r w:rsidRPr="00E869FE">
              <w:rPr>
                <w:rFonts w:eastAsia="Calibri" w:cs="FranklinGothic-Book"/>
                <w:b/>
                <w:bCs/>
                <w:color w:val="000000"/>
                <w:szCs w:val="24"/>
              </w:rPr>
              <w:t>Answer</w:t>
            </w:r>
          </w:p>
        </w:tc>
      </w:tr>
      <w:tr w:rsidR="00F77F73" w:rsidRPr="00E869FE" w14:paraId="5C96465C" w14:textId="77777777" w:rsidTr="00710A3B">
        <w:tc>
          <w:tcPr>
            <w:tcW w:w="353" w:type="pct"/>
          </w:tcPr>
          <w:p w14:paraId="280BA9AD" w14:textId="77777777" w:rsidR="00F77F73" w:rsidRPr="00E869FE" w:rsidRDefault="00F77F73" w:rsidP="00710A3B">
            <w:pPr>
              <w:jc w:val="center"/>
              <w:rPr>
                <w:rFonts w:eastAsia="Times New Roman" w:cs="Times New Roman"/>
                <w:b/>
                <w:bCs/>
                <w:color w:val="000000"/>
                <w:szCs w:val="24"/>
              </w:rPr>
            </w:pPr>
            <w:r w:rsidRPr="00E869FE">
              <w:rPr>
                <w:rFonts w:eastAsia="Times New Roman" w:cs="Times New Roman"/>
                <w:b/>
                <w:bCs/>
                <w:color w:val="000000"/>
                <w:szCs w:val="24"/>
              </w:rPr>
              <w:t>1</w:t>
            </w:r>
          </w:p>
        </w:tc>
        <w:tc>
          <w:tcPr>
            <w:tcW w:w="1323" w:type="pct"/>
          </w:tcPr>
          <w:p w14:paraId="6279138F" w14:textId="77777777" w:rsidR="00F77F73" w:rsidRPr="00E869FE" w:rsidRDefault="00F77F73" w:rsidP="00710A3B">
            <w:pPr>
              <w:rPr>
                <w:rFonts w:eastAsia="Times New Roman" w:cs="Times New Roman"/>
                <w:b/>
                <w:bCs/>
                <w:color w:val="000000"/>
                <w:szCs w:val="24"/>
              </w:rPr>
            </w:pPr>
            <w:proofErr w:type="gramStart"/>
            <w:r w:rsidRPr="00E869FE">
              <w:rPr>
                <w:rFonts w:eastAsia="Times New Roman" w:cs="Times New Roman"/>
                <w:b/>
                <w:bCs/>
                <w:color w:val="000000"/>
                <w:szCs w:val="24"/>
              </w:rPr>
              <w:t>Provider</w:t>
            </w:r>
            <w:proofErr w:type="gramEnd"/>
            <w:r w:rsidRPr="00E869FE">
              <w:rPr>
                <w:rFonts w:eastAsia="Times New Roman" w:cs="Times New Roman"/>
                <w:b/>
                <w:bCs/>
                <w:color w:val="000000"/>
                <w:szCs w:val="24"/>
              </w:rPr>
              <w:t xml:space="preserve"> is calling with specific questions about CoverMyMeds.</w:t>
            </w:r>
          </w:p>
        </w:tc>
        <w:tc>
          <w:tcPr>
            <w:tcW w:w="3324" w:type="pct"/>
          </w:tcPr>
          <w:p w14:paraId="59F03A40" w14:textId="77777777" w:rsidR="00F77F73" w:rsidRPr="00E869FE" w:rsidRDefault="00F77F73" w:rsidP="00710A3B">
            <w:pPr>
              <w:autoSpaceDE w:val="0"/>
              <w:autoSpaceDN w:val="0"/>
              <w:adjustRightInd w:val="0"/>
              <w:rPr>
                <w:rFonts w:eastAsia="Calibri" w:cs="FranklinGothic-Book"/>
                <w:color w:val="000000"/>
                <w:szCs w:val="24"/>
              </w:rPr>
            </w:pPr>
            <w:r w:rsidRPr="00E869FE">
              <w:rPr>
                <w:rFonts w:eastAsia="Calibri" w:cs="FranklinGothic-Book"/>
                <w:color w:val="000000"/>
                <w:szCs w:val="24"/>
              </w:rPr>
              <w:t xml:space="preserve">If </w:t>
            </w:r>
            <w:proofErr w:type="gramStart"/>
            <w:r w:rsidRPr="00E869FE">
              <w:rPr>
                <w:rFonts w:eastAsia="Calibri" w:cs="FranklinGothic-Book"/>
                <w:color w:val="000000"/>
                <w:szCs w:val="24"/>
              </w:rPr>
              <w:t>user</w:t>
            </w:r>
            <w:proofErr w:type="gramEnd"/>
            <w:r w:rsidRPr="00E869FE">
              <w:rPr>
                <w:rFonts w:eastAsia="Calibri" w:cs="FranklinGothic-Book"/>
                <w:color w:val="000000"/>
                <w:szCs w:val="24"/>
              </w:rPr>
              <w:t xml:space="preserve"> has specific questions which you are unable to answer, direct them to the CoverMyMeds Support Team.</w:t>
            </w:r>
          </w:p>
          <w:p w14:paraId="6FF79944" w14:textId="77777777" w:rsidR="00F77F73" w:rsidRPr="00E869FE" w:rsidRDefault="00F77F73" w:rsidP="00710A3B">
            <w:pPr>
              <w:numPr>
                <w:ilvl w:val="0"/>
                <w:numId w:val="4"/>
              </w:numPr>
              <w:autoSpaceDE w:val="0"/>
              <w:autoSpaceDN w:val="0"/>
              <w:adjustRightInd w:val="0"/>
              <w:spacing w:line="240" w:lineRule="auto"/>
              <w:rPr>
                <w:rFonts w:eastAsia="Calibri" w:cs="FranklinGothic-Book"/>
                <w:szCs w:val="24"/>
              </w:rPr>
            </w:pPr>
            <w:r w:rsidRPr="00E869FE">
              <w:rPr>
                <w:rFonts w:eastAsia="Calibri" w:cs="FranklinGothic-Book"/>
                <w:color w:val="000000"/>
                <w:szCs w:val="24"/>
              </w:rPr>
              <w:t xml:space="preserve">Live chat:  Click the box at the bottom of this screen to chat at </w:t>
            </w:r>
            <w:hyperlink r:id="rId22" w:history="1">
              <w:r w:rsidRPr="00E869FE">
                <w:rPr>
                  <w:rStyle w:val="Hyperlink"/>
                  <w:rFonts w:eastAsia="Calibri" w:cs="FranklinGothic-Book"/>
                </w:rPr>
                <w:t>https://www.covermymeds.com/epa/caremark/</w:t>
              </w:r>
            </w:hyperlink>
          </w:p>
          <w:p w14:paraId="08BFB4C0" w14:textId="77777777" w:rsidR="00F77F73" w:rsidRPr="00E869FE" w:rsidRDefault="00F77F73" w:rsidP="00710A3B">
            <w:pPr>
              <w:numPr>
                <w:ilvl w:val="0"/>
                <w:numId w:val="4"/>
              </w:numPr>
              <w:autoSpaceDE w:val="0"/>
              <w:autoSpaceDN w:val="0"/>
              <w:adjustRightInd w:val="0"/>
              <w:spacing w:line="240" w:lineRule="auto"/>
              <w:rPr>
                <w:rFonts w:eastAsia="Calibri" w:cs="FranklinGothic-Book"/>
                <w:b/>
                <w:bCs/>
                <w:color w:val="000000"/>
                <w:szCs w:val="24"/>
              </w:rPr>
            </w:pPr>
            <w:r w:rsidRPr="00E869FE">
              <w:rPr>
                <w:rFonts w:eastAsia="Calibri" w:cs="FranklinGothic-Book"/>
                <w:color w:val="000000"/>
                <w:szCs w:val="24"/>
              </w:rPr>
              <w:t xml:space="preserve">Phone:  </w:t>
            </w:r>
            <w:r w:rsidRPr="00E869FE">
              <w:rPr>
                <w:rFonts w:eastAsia="Calibri" w:cs="FranklinGothic-Book"/>
                <w:b/>
                <w:bCs/>
                <w:color w:val="000000"/>
                <w:szCs w:val="24"/>
              </w:rPr>
              <w:t>1-866-452-5017</w:t>
            </w:r>
          </w:p>
          <w:p w14:paraId="3D85E4B8" w14:textId="77777777" w:rsidR="00F77F73" w:rsidRPr="00E869FE" w:rsidRDefault="00F77F73" w:rsidP="00710A3B">
            <w:pPr>
              <w:numPr>
                <w:ilvl w:val="0"/>
                <w:numId w:val="4"/>
              </w:numPr>
              <w:autoSpaceDE w:val="0"/>
              <w:autoSpaceDN w:val="0"/>
              <w:adjustRightInd w:val="0"/>
              <w:spacing w:line="240" w:lineRule="auto"/>
              <w:rPr>
                <w:rFonts w:eastAsia="Calibri" w:cs="FranklinGothic-Book"/>
                <w:color w:val="000000"/>
                <w:szCs w:val="24"/>
              </w:rPr>
            </w:pPr>
            <w:r w:rsidRPr="00E869FE">
              <w:rPr>
                <w:rFonts w:eastAsia="Calibri" w:cs="FranklinGothic-Book"/>
                <w:color w:val="000000"/>
                <w:szCs w:val="24"/>
              </w:rPr>
              <w:t xml:space="preserve">Email:  </w:t>
            </w:r>
            <w:hyperlink r:id="rId23" w:history="1">
              <w:r w:rsidRPr="00E869FE">
                <w:rPr>
                  <w:rStyle w:val="Hyperlink"/>
                  <w:rFonts w:eastAsia="Calibri" w:cs="FranklinGothic-Book"/>
                </w:rPr>
                <w:t>Help@covermymeds.com</w:t>
              </w:r>
            </w:hyperlink>
          </w:p>
          <w:p w14:paraId="54A43ECF" w14:textId="77777777" w:rsidR="00F77F73" w:rsidRPr="00E869FE" w:rsidRDefault="00F77F73" w:rsidP="00710A3B">
            <w:pPr>
              <w:autoSpaceDE w:val="0"/>
              <w:autoSpaceDN w:val="0"/>
              <w:adjustRightInd w:val="0"/>
              <w:rPr>
                <w:rFonts w:eastAsia="Calibri" w:cs="FranklinGothic-Book"/>
                <w:color w:val="000000"/>
                <w:szCs w:val="24"/>
              </w:rPr>
            </w:pPr>
          </w:p>
          <w:p w14:paraId="3C0A6E7B" w14:textId="77777777" w:rsidR="00F77F73" w:rsidRPr="00E869FE" w:rsidRDefault="00F77F73" w:rsidP="00710A3B">
            <w:pPr>
              <w:autoSpaceDE w:val="0"/>
              <w:autoSpaceDN w:val="0"/>
              <w:adjustRightInd w:val="0"/>
              <w:rPr>
                <w:rFonts w:eastAsia="Calibri" w:cs="FranklinGothic-Book"/>
                <w:b/>
                <w:bCs/>
                <w:color w:val="000000"/>
                <w:szCs w:val="24"/>
              </w:rPr>
            </w:pPr>
            <w:r w:rsidRPr="00E869FE">
              <w:rPr>
                <w:rFonts w:eastAsia="Calibri" w:cs="FranklinGothic-Book"/>
                <w:b/>
                <w:bCs/>
                <w:color w:val="000000"/>
                <w:szCs w:val="24"/>
              </w:rPr>
              <w:t>CMM Support Hours:</w:t>
            </w:r>
          </w:p>
          <w:p w14:paraId="773D3202" w14:textId="77777777" w:rsidR="00F77F73" w:rsidRPr="00E869FE" w:rsidRDefault="00F77F73" w:rsidP="00710A3B">
            <w:pPr>
              <w:numPr>
                <w:ilvl w:val="0"/>
                <w:numId w:val="5"/>
              </w:numPr>
              <w:spacing w:line="240" w:lineRule="auto"/>
              <w:rPr>
                <w:rFonts w:eastAsia="Calibri"/>
                <w:szCs w:val="24"/>
              </w:rPr>
            </w:pPr>
            <w:r w:rsidRPr="00E869FE">
              <w:rPr>
                <w:rFonts w:eastAsia="Calibri"/>
                <w:szCs w:val="24"/>
              </w:rPr>
              <w:t>Monday-Friday: 7 am - 10 pm CT</w:t>
            </w:r>
          </w:p>
          <w:p w14:paraId="01B461F4" w14:textId="77777777" w:rsidR="00F77F73" w:rsidRPr="00E869FE" w:rsidRDefault="00F77F73" w:rsidP="00710A3B">
            <w:pPr>
              <w:numPr>
                <w:ilvl w:val="0"/>
                <w:numId w:val="5"/>
              </w:numPr>
              <w:spacing w:line="240" w:lineRule="auto"/>
              <w:rPr>
                <w:rFonts w:eastAsia="Calibri"/>
                <w:szCs w:val="24"/>
              </w:rPr>
            </w:pPr>
            <w:r w:rsidRPr="00E869FE">
              <w:rPr>
                <w:rFonts w:eastAsia="Calibri"/>
                <w:szCs w:val="24"/>
              </w:rPr>
              <w:t>Saturday: 7 am - 5 pm CT</w:t>
            </w:r>
          </w:p>
          <w:p w14:paraId="001E7E6C" w14:textId="77777777" w:rsidR="00F77F73" w:rsidRPr="00E869FE" w:rsidRDefault="00F77F73" w:rsidP="00710A3B">
            <w:pPr>
              <w:autoSpaceDE w:val="0"/>
              <w:autoSpaceDN w:val="0"/>
              <w:adjustRightInd w:val="0"/>
              <w:rPr>
                <w:rFonts w:eastAsia="Calibri" w:cs="FranklinGothic-Book"/>
                <w:color w:val="000000"/>
                <w:szCs w:val="24"/>
              </w:rPr>
            </w:pPr>
          </w:p>
          <w:p w14:paraId="2CE4B23B" w14:textId="77777777" w:rsidR="00F77F73" w:rsidRPr="00E869FE" w:rsidRDefault="00F77F73" w:rsidP="00710A3B">
            <w:pPr>
              <w:rPr>
                <w:szCs w:val="24"/>
              </w:rPr>
            </w:pPr>
            <w:r w:rsidRPr="00E869FE">
              <w:rPr>
                <w:rFonts w:eastAsia="Calibri" w:cs="FranklinGothic-Book"/>
                <w:b/>
                <w:bCs/>
                <w:color w:val="000000"/>
                <w:szCs w:val="24"/>
              </w:rPr>
              <w:t xml:space="preserve">Additional Resources: </w:t>
            </w:r>
            <w:r w:rsidRPr="00E869FE">
              <w:rPr>
                <w:rFonts w:eastAsia="Calibri" w:cs="FranklinGothic-Book"/>
                <w:color w:val="000000"/>
                <w:szCs w:val="24"/>
              </w:rPr>
              <w:t xml:space="preserve"> </w:t>
            </w:r>
            <w:hyperlink r:id="rId24" w:history="1">
              <w:r w:rsidRPr="00E869FE">
                <w:rPr>
                  <w:rStyle w:val="Hyperlink"/>
                  <w:rFonts w:eastAsia="Calibri" w:cs="FranklinGothic-Book"/>
                </w:rPr>
                <w:t>Go.covermymeds.com/help</w:t>
              </w:r>
            </w:hyperlink>
          </w:p>
        </w:tc>
      </w:tr>
      <w:tr w:rsidR="00F77F73" w:rsidRPr="00E869FE" w14:paraId="07B1A5EB" w14:textId="77777777" w:rsidTr="00710A3B">
        <w:tc>
          <w:tcPr>
            <w:tcW w:w="353" w:type="pct"/>
          </w:tcPr>
          <w:p w14:paraId="0C162B90"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2</w:t>
            </w:r>
          </w:p>
        </w:tc>
        <w:tc>
          <w:tcPr>
            <w:tcW w:w="1323" w:type="pct"/>
          </w:tcPr>
          <w:p w14:paraId="4991FB9E"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What is CoverMyMeds?</w:t>
            </w:r>
          </w:p>
          <w:p w14:paraId="006EC11B" w14:textId="77777777" w:rsidR="00F77F73" w:rsidRPr="00E869FE" w:rsidRDefault="00F77F73" w:rsidP="00710A3B">
            <w:pPr>
              <w:rPr>
                <w:rFonts w:eastAsia="Times New Roman" w:cs="Times New Roman"/>
                <w:color w:val="000000"/>
                <w:szCs w:val="24"/>
              </w:rPr>
            </w:pPr>
          </w:p>
        </w:tc>
        <w:tc>
          <w:tcPr>
            <w:tcW w:w="3324" w:type="pct"/>
          </w:tcPr>
          <w:p w14:paraId="33F2E115" w14:textId="77777777" w:rsidR="00F77F73" w:rsidRPr="00E869FE" w:rsidRDefault="00F77F73" w:rsidP="00710A3B">
            <w:pPr>
              <w:autoSpaceDE w:val="0"/>
              <w:autoSpaceDN w:val="0"/>
              <w:adjustRightInd w:val="0"/>
              <w:rPr>
                <w:rFonts w:eastAsia="Calibri" w:cs="FranklinGothic-Book"/>
                <w:color w:val="000000"/>
                <w:szCs w:val="24"/>
              </w:rPr>
            </w:pPr>
            <w:r w:rsidRPr="00E869FE">
              <w:rPr>
                <w:rFonts w:eastAsia="Calibri" w:cs="FranklinGothic-Book"/>
                <w:szCs w:val="24"/>
              </w:rPr>
              <w:t xml:space="preserve">When the PA process is paper based, it requires multiple faxes and phone calls between prescribers, pharmacists, and health plans. With </w:t>
            </w:r>
            <w:proofErr w:type="gramStart"/>
            <w:r w:rsidRPr="00E869FE">
              <w:rPr>
                <w:rFonts w:eastAsia="Calibri" w:cs="FranklinGothic-Book"/>
                <w:szCs w:val="24"/>
              </w:rPr>
              <w:t>electronic prior</w:t>
            </w:r>
            <w:proofErr w:type="gramEnd"/>
            <w:r w:rsidRPr="00E869FE">
              <w:rPr>
                <w:rFonts w:eastAsia="Calibri" w:cs="FranklinGothic-Book"/>
                <w:szCs w:val="24"/>
              </w:rPr>
              <w:t xml:space="preserve"> authorization, prescribers, pharmacists, and health plans can receive real time responses and determinations.</w:t>
            </w:r>
          </w:p>
        </w:tc>
      </w:tr>
      <w:tr w:rsidR="00F77F73" w:rsidRPr="00E869FE" w14:paraId="6566E1C9" w14:textId="77777777" w:rsidTr="00710A3B">
        <w:tc>
          <w:tcPr>
            <w:tcW w:w="353" w:type="pct"/>
          </w:tcPr>
          <w:p w14:paraId="4536EBB2"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3</w:t>
            </w:r>
          </w:p>
        </w:tc>
        <w:tc>
          <w:tcPr>
            <w:tcW w:w="1323" w:type="pct"/>
          </w:tcPr>
          <w:p w14:paraId="66FCDA26"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 xml:space="preserve">What is electronic </w:t>
            </w:r>
            <w:bookmarkStart w:id="5" w:name="OLE_LINK26"/>
            <w:r w:rsidRPr="00E869FE">
              <w:rPr>
                <w:rFonts w:eastAsia="Calibri" w:cs="FranklinGothic-BookItalic"/>
                <w:b/>
                <w:iCs/>
                <w:szCs w:val="24"/>
              </w:rPr>
              <w:t xml:space="preserve">Prior Authorization </w:t>
            </w:r>
            <w:bookmarkEnd w:id="5"/>
            <w:r w:rsidRPr="00E869FE">
              <w:rPr>
                <w:rFonts w:eastAsia="Calibri" w:cs="FranklinGothic-BookItalic"/>
                <w:b/>
                <w:iCs/>
                <w:szCs w:val="24"/>
              </w:rPr>
              <w:t>(ePA)?</w:t>
            </w:r>
          </w:p>
        </w:tc>
        <w:tc>
          <w:tcPr>
            <w:tcW w:w="3324" w:type="pct"/>
          </w:tcPr>
          <w:p w14:paraId="0D49DB18" w14:textId="77777777" w:rsidR="00F77F73" w:rsidRPr="00E869FE" w:rsidRDefault="00F77F73" w:rsidP="00710A3B">
            <w:pPr>
              <w:autoSpaceDE w:val="0"/>
              <w:autoSpaceDN w:val="0"/>
              <w:adjustRightInd w:val="0"/>
              <w:rPr>
                <w:rFonts w:eastAsia="Calibri" w:cs="FranklinGothic-Book"/>
                <w:szCs w:val="24"/>
              </w:rPr>
            </w:pPr>
            <w:r w:rsidRPr="00E869FE">
              <w:rPr>
                <w:rFonts w:eastAsia="Calibri" w:cs="FranklinGothic-BookItalic"/>
                <w:b/>
                <w:iCs/>
                <w:szCs w:val="24"/>
              </w:rPr>
              <w:t xml:space="preserve">Prior Authorization </w:t>
            </w:r>
            <w:r w:rsidRPr="00E869FE">
              <w:rPr>
                <w:rFonts w:eastAsia="Calibri" w:cs="FranklinGothic-Book"/>
                <w:szCs w:val="24"/>
              </w:rPr>
              <w:t xml:space="preserve">paper-based process requires multiple faxes and phone calls between prescribers, pharmacists, and health plans. With </w:t>
            </w:r>
            <w:proofErr w:type="gramStart"/>
            <w:r w:rsidRPr="00E869FE">
              <w:rPr>
                <w:rFonts w:eastAsia="Calibri" w:cs="FranklinGothic-Book"/>
                <w:szCs w:val="24"/>
              </w:rPr>
              <w:t>electronic prior</w:t>
            </w:r>
            <w:proofErr w:type="gramEnd"/>
            <w:r w:rsidRPr="00E869FE">
              <w:rPr>
                <w:rFonts w:eastAsia="Calibri" w:cs="FranklinGothic-Book"/>
                <w:szCs w:val="24"/>
              </w:rPr>
              <w:t xml:space="preserve"> authorization, prescribers, pharmacists and health plans can receive real time responses and determinations.</w:t>
            </w:r>
          </w:p>
        </w:tc>
      </w:tr>
      <w:tr w:rsidR="00F77F73" w:rsidRPr="00E869FE" w14:paraId="2D131DB9" w14:textId="77777777" w:rsidTr="00710A3B">
        <w:tc>
          <w:tcPr>
            <w:tcW w:w="353" w:type="pct"/>
          </w:tcPr>
          <w:p w14:paraId="36F0D375"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4</w:t>
            </w:r>
          </w:p>
        </w:tc>
        <w:tc>
          <w:tcPr>
            <w:tcW w:w="1323" w:type="pct"/>
          </w:tcPr>
          <w:p w14:paraId="4FECF782"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 xml:space="preserve">What is </w:t>
            </w:r>
            <w:proofErr w:type="gramStart"/>
            <w:r w:rsidRPr="00E869FE">
              <w:rPr>
                <w:rFonts w:eastAsia="Calibri" w:cs="FranklinGothic-BookItalic"/>
                <w:b/>
                <w:iCs/>
                <w:szCs w:val="24"/>
              </w:rPr>
              <w:t>a KEY</w:t>
            </w:r>
            <w:proofErr w:type="gramEnd"/>
            <w:r w:rsidRPr="00E869FE">
              <w:rPr>
                <w:rFonts w:eastAsia="Calibri" w:cs="FranklinGothic-BookItalic"/>
                <w:b/>
                <w:iCs/>
                <w:szCs w:val="24"/>
              </w:rPr>
              <w:t>?</w:t>
            </w:r>
          </w:p>
          <w:p w14:paraId="50E0256B" w14:textId="77777777" w:rsidR="00F77F73" w:rsidRPr="00E869FE" w:rsidRDefault="00F77F73" w:rsidP="00710A3B">
            <w:pPr>
              <w:autoSpaceDE w:val="0"/>
              <w:autoSpaceDN w:val="0"/>
              <w:adjustRightInd w:val="0"/>
              <w:rPr>
                <w:rFonts w:eastAsia="Calibri" w:cs="FranklinGothic-BookItalic"/>
                <w:b/>
                <w:iCs/>
                <w:szCs w:val="24"/>
              </w:rPr>
            </w:pPr>
          </w:p>
        </w:tc>
        <w:tc>
          <w:tcPr>
            <w:tcW w:w="3324" w:type="pct"/>
          </w:tcPr>
          <w:p w14:paraId="420868FD" w14:textId="77777777" w:rsidR="00F77F73" w:rsidRPr="00E869FE" w:rsidRDefault="00F77F73" w:rsidP="00710A3B">
            <w:pPr>
              <w:autoSpaceDE w:val="0"/>
              <w:autoSpaceDN w:val="0"/>
              <w:adjustRightInd w:val="0"/>
              <w:rPr>
                <w:rFonts w:eastAsia="Calibri" w:cs="FranklinGothic-Book"/>
                <w:b/>
                <w:bCs/>
                <w:szCs w:val="24"/>
              </w:rPr>
            </w:pPr>
            <w:r w:rsidRPr="00E869FE">
              <w:rPr>
                <w:rFonts w:eastAsia="Calibri" w:cs="FranklinGothic-Book"/>
                <w:szCs w:val="24"/>
              </w:rPr>
              <w:t xml:space="preserve">The KEY is a 6-character code used to identify requests in CoverMyMeds. The KEY is needed to access requests started by CVS Care in CoverMyMeds. </w:t>
            </w:r>
          </w:p>
          <w:p w14:paraId="57B09A0F" w14:textId="77777777" w:rsidR="00F77F73" w:rsidRPr="00E869FE" w:rsidRDefault="00F77F73" w:rsidP="00710A3B">
            <w:pPr>
              <w:autoSpaceDE w:val="0"/>
              <w:autoSpaceDN w:val="0"/>
              <w:adjustRightInd w:val="0"/>
              <w:rPr>
                <w:rFonts w:eastAsia="Calibri" w:cs="FranklinGothic-BookItalic"/>
                <w:iCs/>
                <w:szCs w:val="24"/>
              </w:rPr>
            </w:pPr>
            <w:r w:rsidRPr="00E869FE">
              <w:rPr>
                <w:rFonts w:eastAsia="Calibri" w:cs="FranklinGothic-Book"/>
                <w:b/>
                <w:bCs/>
                <w:iCs/>
                <w:szCs w:val="24"/>
              </w:rPr>
              <w:t xml:space="preserve">Reminder:  </w:t>
            </w:r>
            <w:r w:rsidRPr="00E869FE">
              <w:rPr>
                <w:rFonts w:eastAsia="Calibri" w:cs="FranklinGothic-Book"/>
                <w:iCs/>
                <w:szCs w:val="24"/>
              </w:rPr>
              <w:t>The ePA key should be provided to providers, not to other callers.</w:t>
            </w:r>
          </w:p>
        </w:tc>
      </w:tr>
      <w:tr w:rsidR="00F77F73" w:rsidRPr="00E869FE" w14:paraId="3271B1B3" w14:textId="77777777" w:rsidTr="00710A3B">
        <w:trPr>
          <w:trHeight w:val="20"/>
        </w:trPr>
        <w:tc>
          <w:tcPr>
            <w:tcW w:w="353" w:type="pct"/>
          </w:tcPr>
          <w:p w14:paraId="516807BD"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5</w:t>
            </w:r>
          </w:p>
        </w:tc>
        <w:tc>
          <w:tcPr>
            <w:tcW w:w="1323" w:type="pct"/>
          </w:tcPr>
          <w:p w14:paraId="1EFDCD15"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 xml:space="preserve">What are the benefits of using CoverMyMeds for </w:t>
            </w:r>
            <w:proofErr w:type="gramStart"/>
            <w:r w:rsidRPr="00E869FE">
              <w:rPr>
                <w:rFonts w:eastAsia="Calibri" w:cs="FranklinGothic-BookItalic"/>
                <w:b/>
                <w:iCs/>
                <w:szCs w:val="24"/>
              </w:rPr>
              <w:t>electronic prior</w:t>
            </w:r>
            <w:proofErr w:type="gramEnd"/>
            <w:r w:rsidRPr="00E869FE">
              <w:rPr>
                <w:rFonts w:eastAsia="Calibri" w:cs="FranklinGothic-BookItalic"/>
                <w:b/>
                <w:iCs/>
                <w:szCs w:val="24"/>
              </w:rPr>
              <w:t xml:space="preserve"> authorization?</w:t>
            </w:r>
          </w:p>
          <w:p w14:paraId="09B155EE" w14:textId="77777777" w:rsidR="00F77F73" w:rsidRPr="00E869FE" w:rsidRDefault="00F77F73" w:rsidP="00710A3B">
            <w:pPr>
              <w:autoSpaceDE w:val="0"/>
              <w:autoSpaceDN w:val="0"/>
              <w:adjustRightInd w:val="0"/>
              <w:rPr>
                <w:rFonts w:eastAsia="Calibri" w:cs="FranklinGothic-BookItalic"/>
                <w:b/>
                <w:iCs/>
                <w:szCs w:val="24"/>
              </w:rPr>
            </w:pPr>
          </w:p>
        </w:tc>
        <w:tc>
          <w:tcPr>
            <w:tcW w:w="3324" w:type="pct"/>
          </w:tcPr>
          <w:p w14:paraId="733A40E2" w14:textId="77777777" w:rsidR="00F77F73" w:rsidRPr="00E869FE" w:rsidRDefault="00F77F73" w:rsidP="00710A3B">
            <w:pPr>
              <w:pStyle w:val="ListParagraph"/>
              <w:numPr>
                <w:ilvl w:val="0"/>
                <w:numId w:val="6"/>
              </w:numPr>
              <w:autoSpaceDE w:val="0"/>
              <w:autoSpaceDN w:val="0"/>
              <w:adjustRightInd w:val="0"/>
              <w:spacing w:line="240" w:lineRule="auto"/>
              <w:rPr>
                <w:rFonts w:eastAsia="Calibri" w:cs="FranklinGothic-Book"/>
                <w:szCs w:val="24"/>
              </w:rPr>
            </w:pPr>
            <w:r w:rsidRPr="00E869FE">
              <w:rPr>
                <w:rFonts w:eastAsia="Calibri" w:cs="FranklinGothic-Book"/>
                <w:szCs w:val="24"/>
              </w:rPr>
              <w:t xml:space="preserve">It is </w:t>
            </w:r>
            <w:proofErr w:type="gramStart"/>
            <w:r w:rsidRPr="00E869FE">
              <w:rPr>
                <w:rFonts w:eastAsia="Calibri" w:cs="FranklinGothic-Book"/>
                <w:szCs w:val="24"/>
              </w:rPr>
              <w:t>a free</w:t>
            </w:r>
            <w:proofErr w:type="gramEnd"/>
            <w:r w:rsidRPr="00E869FE">
              <w:rPr>
                <w:rFonts w:eastAsia="Calibri" w:cs="FranklinGothic-Book"/>
                <w:szCs w:val="24"/>
              </w:rPr>
              <w:t xml:space="preserve"> service.</w:t>
            </w:r>
          </w:p>
          <w:p w14:paraId="1CD80B80" w14:textId="77777777" w:rsidR="00F77F73" w:rsidRPr="00E869FE" w:rsidRDefault="00F77F73" w:rsidP="00710A3B">
            <w:pPr>
              <w:pStyle w:val="ListParagraph"/>
              <w:numPr>
                <w:ilvl w:val="0"/>
                <w:numId w:val="6"/>
              </w:numPr>
              <w:autoSpaceDE w:val="0"/>
              <w:autoSpaceDN w:val="0"/>
              <w:adjustRightInd w:val="0"/>
              <w:spacing w:line="240" w:lineRule="auto"/>
              <w:rPr>
                <w:rFonts w:eastAsia="Calibri" w:cs="FranklinGothic-Book"/>
                <w:szCs w:val="24"/>
              </w:rPr>
            </w:pPr>
            <w:r w:rsidRPr="00E869FE">
              <w:rPr>
                <w:rFonts w:eastAsia="Calibri" w:cs="FranklinGothic-Book"/>
                <w:szCs w:val="24"/>
              </w:rPr>
              <w:t>Majority of requests receive a determination within 2-3 minutes.</w:t>
            </w:r>
          </w:p>
          <w:p w14:paraId="273DE878" w14:textId="77777777" w:rsidR="00F77F73" w:rsidRPr="00E869FE" w:rsidRDefault="00F77F73" w:rsidP="00710A3B">
            <w:pPr>
              <w:pStyle w:val="ListParagraph"/>
              <w:numPr>
                <w:ilvl w:val="0"/>
                <w:numId w:val="6"/>
              </w:numPr>
              <w:autoSpaceDE w:val="0"/>
              <w:autoSpaceDN w:val="0"/>
              <w:adjustRightInd w:val="0"/>
              <w:spacing w:line="240" w:lineRule="auto"/>
              <w:rPr>
                <w:rFonts w:eastAsia="Calibri" w:cs="FranklinGothic-Book"/>
                <w:szCs w:val="24"/>
              </w:rPr>
            </w:pPr>
            <w:r w:rsidRPr="00E869FE">
              <w:rPr>
                <w:rFonts w:eastAsia="Calibri" w:cs="FranklinGothic-Book"/>
                <w:szCs w:val="24"/>
              </w:rPr>
              <w:t>CoverMyMeds allows you to easily renew requests.</w:t>
            </w:r>
          </w:p>
          <w:p w14:paraId="0D0C1B90" w14:textId="77777777" w:rsidR="00F77F73" w:rsidRPr="00E869FE" w:rsidRDefault="00F77F73" w:rsidP="00710A3B">
            <w:pPr>
              <w:pStyle w:val="ListParagraph"/>
              <w:numPr>
                <w:ilvl w:val="0"/>
                <w:numId w:val="6"/>
              </w:numPr>
              <w:autoSpaceDE w:val="0"/>
              <w:autoSpaceDN w:val="0"/>
              <w:adjustRightInd w:val="0"/>
              <w:spacing w:line="240" w:lineRule="auto"/>
              <w:rPr>
                <w:rFonts w:eastAsia="Calibri" w:cs="FranklinGothic-Book"/>
                <w:szCs w:val="24"/>
              </w:rPr>
            </w:pPr>
            <w:r w:rsidRPr="00E869FE">
              <w:rPr>
                <w:rFonts w:eastAsia="Calibri" w:cs="FranklinGothic-Book"/>
                <w:szCs w:val="24"/>
              </w:rPr>
              <w:t>CoverMyMeds works for all plans and all medications.</w:t>
            </w:r>
          </w:p>
          <w:p w14:paraId="248A203B" w14:textId="77777777" w:rsidR="00F77F73" w:rsidRPr="00E869FE" w:rsidRDefault="00F77F73" w:rsidP="00710A3B">
            <w:pPr>
              <w:pStyle w:val="ListParagraph"/>
              <w:numPr>
                <w:ilvl w:val="0"/>
                <w:numId w:val="6"/>
              </w:numPr>
              <w:autoSpaceDE w:val="0"/>
              <w:autoSpaceDN w:val="0"/>
              <w:adjustRightInd w:val="0"/>
              <w:spacing w:line="240" w:lineRule="auto"/>
              <w:rPr>
                <w:rFonts w:eastAsia="Calibri" w:cs="FranklinGothic-Book"/>
                <w:szCs w:val="24"/>
              </w:rPr>
            </w:pPr>
            <w:r w:rsidRPr="00E869FE">
              <w:rPr>
                <w:rFonts w:eastAsia="Calibri" w:cs="FranklinGothic-Book"/>
                <w:szCs w:val="24"/>
              </w:rPr>
              <w:t>Complete PA requests initiated by pharmacies.</w:t>
            </w:r>
          </w:p>
          <w:p w14:paraId="620344C2" w14:textId="77777777" w:rsidR="00F77F73" w:rsidRPr="00E869FE" w:rsidRDefault="00F77F73" w:rsidP="00710A3B">
            <w:pPr>
              <w:pStyle w:val="ListParagraph"/>
              <w:numPr>
                <w:ilvl w:val="0"/>
                <w:numId w:val="6"/>
              </w:numPr>
              <w:autoSpaceDE w:val="0"/>
              <w:autoSpaceDN w:val="0"/>
              <w:adjustRightInd w:val="0"/>
              <w:spacing w:line="240" w:lineRule="auto"/>
              <w:rPr>
                <w:rFonts w:eastAsia="Calibri" w:cs="FranklinGothic-Book"/>
                <w:szCs w:val="24"/>
              </w:rPr>
            </w:pPr>
            <w:r w:rsidRPr="00E869FE">
              <w:rPr>
                <w:rFonts w:eastAsia="Calibri" w:cs="FranklinGothic-Book"/>
                <w:szCs w:val="24"/>
              </w:rPr>
              <w:t>Initiate, submit and track PA requests in one place online.</w:t>
            </w:r>
          </w:p>
        </w:tc>
      </w:tr>
      <w:tr w:rsidR="00F77F73" w:rsidRPr="00E869FE" w14:paraId="35700936" w14:textId="77777777" w:rsidTr="00710A3B">
        <w:tc>
          <w:tcPr>
            <w:tcW w:w="353" w:type="pct"/>
          </w:tcPr>
          <w:p w14:paraId="4EBAF718"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6</w:t>
            </w:r>
          </w:p>
        </w:tc>
        <w:tc>
          <w:tcPr>
            <w:tcW w:w="1323" w:type="pct"/>
          </w:tcPr>
          <w:p w14:paraId="75A6301A"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Can the prescriber initiate the ePA request using CoverMyMeds?</w:t>
            </w:r>
          </w:p>
        </w:tc>
        <w:tc>
          <w:tcPr>
            <w:tcW w:w="3324" w:type="pct"/>
          </w:tcPr>
          <w:p w14:paraId="0390543A" w14:textId="77777777" w:rsidR="00F77F73" w:rsidRPr="00E869FE" w:rsidRDefault="00F77F73" w:rsidP="00710A3B">
            <w:pPr>
              <w:autoSpaceDE w:val="0"/>
              <w:autoSpaceDN w:val="0"/>
              <w:adjustRightInd w:val="0"/>
              <w:rPr>
                <w:rFonts w:eastAsia="Calibri" w:cs="FranklinGothic-Book"/>
                <w:szCs w:val="24"/>
              </w:rPr>
            </w:pPr>
            <w:r w:rsidRPr="00E869FE">
              <w:rPr>
                <w:rFonts w:eastAsia="Calibri" w:cs="FranklinGothic-Book"/>
                <w:szCs w:val="24"/>
              </w:rPr>
              <w:t>Yes, the prescriber can initiate an ePA request using the CoverMyMeds system. After logging into CMM, the prescriber:</w:t>
            </w:r>
          </w:p>
          <w:p w14:paraId="52FBF56F" w14:textId="77777777" w:rsidR="00F77F73" w:rsidRPr="00E869FE" w:rsidRDefault="00F77F73" w:rsidP="00710A3B">
            <w:pPr>
              <w:pStyle w:val="ListParagraph"/>
              <w:numPr>
                <w:ilvl w:val="0"/>
                <w:numId w:val="7"/>
              </w:numPr>
              <w:autoSpaceDE w:val="0"/>
              <w:autoSpaceDN w:val="0"/>
              <w:adjustRightInd w:val="0"/>
              <w:spacing w:line="240" w:lineRule="auto"/>
              <w:rPr>
                <w:rFonts w:eastAsia="Calibri" w:cs="FranklinGothic-Book"/>
                <w:szCs w:val="24"/>
              </w:rPr>
            </w:pPr>
            <w:proofErr w:type="gramStart"/>
            <w:r w:rsidRPr="00E869FE">
              <w:rPr>
                <w:rFonts w:eastAsia="Calibri" w:cs="FranklinGothic-Book"/>
                <w:szCs w:val="24"/>
              </w:rPr>
              <w:t>Selects</w:t>
            </w:r>
            <w:proofErr w:type="gramEnd"/>
            <w:r w:rsidRPr="00E869FE">
              <w:rPr>
                <w:rFonts w:eastAsia="Calibri" w:cs="FranklinGothic-Book"/>
                <w:szCs w:val="24"/>
              </w:rPr>
              <w:t xml:space="preserve"> the appropriate health plan request form to initiate an ePA </w:t>
            </w:r>
          </w:p>
          <w:p w14:paraId="27037E4A" w14:textId="77777777" w:rsidR="00F77F73" w:rsidRPr="00E869FE" w:rsidRDefault="00F77F73" w:rsidP="00710A3B">
            <w:pPr>
              <w:pStyle w:val="ListParagraph"/>
              <w:numPr>
                <w:ilvl w:val="0"/>
                <w:numId w:val="7"/>
              </w:numPr>
              <w:autoSpaceDE w:val="0"/>
              <w:autoSpaceDN w:val="0"/>
              <w:adjustRightInd w:val="0"/>
              <w:spacing w:line="240" w:lineRule="auto"/>
              <w:rPr>
                <w:rFonts w:eastAsia="Calibri" w:cs="FranklinGothic-Book"/>
                <w:szCs w:val="24"/>
              </w:rPr>
            </w:pPr>
            <w:r w:rsidRPr="00E869FE">
              <w:rPr>
                <w:rFonts w:eastAsia="Calibri" w:cs="FranklinGothic-Book"/>
                <w:szCs w:val="24"/>
              </w:rPr>
              <w:t>Inputs key patient, drug, and plan information regarding the request</w:t>
            </w:r>
          </w:p>
          <w:p w14:paraId="4C10A3FD" w14:textId="77777777" w:rsidR="00F77F73" w:rsidRPr="00E869FE" w:rsidRDefault="00F77F73" w:rsidP="00710A3B">
            <w:pPr>
              <w:pStyle w:val="ListParagraph"/>
              <w:numPr>
                <w:ilvl w:val="0"/>
                <w:numId w:val="7"/>
              </w:numPr>
              <w:autoSpaceDE w:val="0"/>
              <w:autoSpaceDN w:val="0"/>
              <w:adjustRightInd w:val="0"/>
              <w:spacing w:line="240" w:lineRule="auto"/>
              <w:rPr>
                <w:rFonts w:eastAsia="Calibri" w:cs="FranklinGothic-Book"/>
                <w:szCs w:val="24"/>
              </w:rPr>
            </w:pPr>
            <w:r w:rsidRPr="00E869FE">
              <w:rPr>
                <w:rFonts w:eastAsia="Calibri" w:cs="FranklinGothic-Book"/>
                <w:szCs w:val="24"/>
              </w:rPr>
              <w:t>Submits the request to obtain the appropriate clinical question set</w:t>
            </w:r>
          </w:p>
        </w:tc>
      </w:tr>
      <w:tr w:rsidR="00F77F73" w:rsidRPr="00E869FE" w14:paraId="05E5A3BE" w14:textId="77777777" w:rsidTr="00710A3B">
        <w:tc>
          <w:tcPr>
            <w:tcW w:w="353" w:type="pct"/>
          </w:tcPr>
          <w:p w14:paraId="261E3077"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7</w:t>
            </w:r>
          </w:p>
        </w:tc>
        <w:tc>
          <w:tcPr>
            <w:tcW w:w="1323" w:type="pct"/>
          </w:tcPr>
          <w:p w14:paraId="6F360285"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Will the prescriber know the ePA submitted is for PA or Clinical Exception? Will that be included automatically based on the plan?</w:t>
            </w:r>
          </w:p>
        </w:tc>
        <w:tc>
          <w:tcPr>
            <w:tcW w:w="3324" w:type="pct"/>
          </w:tcPr>
          <w:p w14:paraId="060B987D" w14:textId="77777777" w:rsidR="00F77F73" w:rsidRPr="00E869FE" w:rsidRDefault="00F77F73" w:rsidP="00710A3B">
            <w:pPr>
              <w:autoSpaceDE w:val="0"/>
              <w:autoSpaceDN w:val="0"/>
              <w:adjustRightInd w:val="0"/>
              <w:rPr>
                <w:rFonts w:eastAsia="Calibri" w:cs="FranklinGothic-Book"/>
                <w:szCs w:val="24"/>
              </w:rPr>
            </w:pPr>
            <w:r w:rsidRPr="00E869FE">
              <w:rPr>
                <w:rFonts w:eastAsia="Calibri" w:cs="FranklinGothic-Book"/>
                <w:szCs w:val="24"/>
              </w:rPr>
              <w:t>It is based on the rejection messaging of the test claim that is initiated when the prescriber submits the information.</w:t>
            </w:r>
          </w:p>
        </w:tc>
      </w:tr>
      <w:tr w:rsidR="00F77F73" w:rsidRPr="00E869FE" w14:paraId="2A092F17" w14:textId="77777777" w:rsidTr="00710A3B">
        <w:tc>
          <w:tcPr>
            <w:tcW w:w="353" w:type="pct"/>
          </w:tcPr>
          <w:p w14:paraId="55C76991"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8</w:t>
            </w:r>
          </w:p>
        </w:tc>
        <w:tc>
          <w:tcPr>
            <w:tcW w:w="1323" w:type="pct"/>
          </w:tcPr>
          <w:p w14:paraId="5E29CCB2"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If the prescriber gets PA denial and wants to appeal, can they use CoverMyMeds or will further instructions follow on how to request an Appeal?</w:t>
            </w:r>
          </w:p>
        </w:tc>
        <w:tc>
          <w:tcPr>
            <w:tcW w:w="3324" w:type="pct"/>
          </w:tcPr>
          <w:p w14:paraId="049EAD86" w14:textId="77777777" w:rsidR="00F77F73" w:rsidRPr="00E869FE" w:rsidRDefault="00F77F73" w:rsidP="00710A3B">
            <w:pPr>
              <w:autoSpaceDE w:val="0"/>
              <w:autoSpaceDN w:val="0"/>
              <w:adjustRightInd w:val="0"/>
              <w:rPr>
                <w:rFonts w:eastAsia="Calibri" w:cs="FranklinGothic-Book"/>
                <w:szCs w:val="24"/>
              </w:rPr>
            </w:pPr>
            <w:r w:rsidRPr="00E869FE">
              <w:rPr>
                <w:rFonts w:eastAsia="Calibri" w:cs="FranklinGothic-Book"/>
                <w:szCs w:val="24"/>
              </w:rPr>
              <w:t xml:space="preserve">In the case of a denial, the prescriber should follow our existing recommended appeals process. CoverMyMeds is purely for the ePA initiation phase. </w:t>
            </w:r>
          </w:p>
          <w:p w14:paraId="56738D86" w14:textId="77777777" w:rsidR="00F77F73" w:rsidRPr="00E869FE" w:rsidRDefault="00F77F73" w:rsidP="00710A3B">
            <w:pPr>
              <w:rPr>
                <w:rFonts w:eastAsia="Times New Roman" w:cs="Times New Roman"/>
                <w:color w:val="000000"/>
                <w:szCs w:val="24"/>
              </w:rPr>
            </w:pPr>
            <w:r w:rsidRPr="00E869FE">
              <w:rPr>
                <w:rFonts w:eastAsia="Times New Roman" w:cs="Times New Roman"/>
                <w:color w:val="000000"/>
                <w:szCs w:val="24"/>
              </w:rPr>
              <w:t xml:space="preserve">Refer to </w:t>
            </w:r>
            <w:hyperlink r:id="rId25" w:anchor="!/view?docid=2afb93f5-6068-48b7-af0f-e04000f90426" w:history="1">
              <w:r w:rsidRPr="00E869FE">
                <w:rPr>
                  <w:rStyle w:val="Hyperlink"/>
                  <w:rFonts w:eastAsia="Times New Roman" w:cs="Times New Roman"/>
                </w:rPr>
                <w:t>Compass - Appeals (057981)</w:t>
              </w:r>
            </w:hyperlink>
            <w:r w:rsidRPr="00E869FE">
              <w:rPr>
                <w:rFonts w:eastAsia="Times New Roman" w:cs="Times New Roman"/>
                <w:color w:val="000000"/>
                <w:szCs w:val="24"/>
              </w:rPr>
              <w:t>.</w:t>
            </w:r>
          </w:p>
        </w:tc>
      </w:tr>
      <w:tr w:rsidR="00F77F73" w:rsidRPr="00E869FE" w14:paraId="69490D8C" w14:textId="77777777" w:rsidTr="00710A3B">
        <w:tc>
          <w:tcPr>
            <w:tcW w:w="353" w:type="pct"/>
          </w:tcPr>
          <w:p w14:paraId="3D603DED" w14:textId="77777777" w:rsidR="00F77F73" w:rsidRPr="00E869FE" w:rsidRDefault="00F77F73" w:rsidP="00710A3B">
            <w:pPr>
              <w:autoSpaceDE w:val="0"/>
              <w:autoSpaceDN w:val="0"/>
              <w:adjustRightInd w:val="0"/>
              <w:jc w:val="center"/>
              <w:rPr>
                <w:rFonts w:eastAsia="Calibri" w:cs="FranklinGothic-BookItalic"/>
                <w:b/>
                <w:iCs/>
                <w:szCs w:val="24"/>
              </w:rPr>
            </w:pPr>
            <w:r w:rsidRPr="00E869FE">
              <w:rPr>
                <w:rFonts w:eastAsia="Calibri" w:cs="FranklinGothic-BookItalic"/>
                <w:b/>
                <w:iCs/>
                <w:szCs w:val="24"/>
              </w:rPr>
              <w:t>9</w:t>
            </w:r>
          </w:p>
        </w:tc>
        <w:tc>
          <w:tcPr>
            <w:tcW w:w="1323" w:type="pct"/>
          </w:tcPr>
          <w:p w14:paraId="30348C42" w14:textId="77777777" w:rsidR="00F77F73" w:rsidRPr="00E869FE" w:rsidRDefault="00F77F73" w:rsidP="00710A3B">
            <w:pPr>
              <w:autoSpaceDE w:val="0"/>
              <w:autoSpaceDN w:val="0"/>
              <w:adjustRightInd w:val="0"/>
              <w:rPr>
                <w:rFonts w:eastAsia="Calibri" w:cs="FranklinGothic-BookItalic"/>
                <w:b/>
                <w:iCs/>
                <w:szCs w:val="24"/>
              </w:rPr>
            </w:pPr>
            <w:r w:rsidRPr="00E869FE">
              <w:rPr>
                <w:rFonts w:eastAsia="Calibri" w:cs="FranklinGothic-BookItalic"/>
                <w:b/>
                <w:iCs/>
                <w:szCs w:val="24"/>
              </w:rPr>
              <w:t>What happens when an electronic Prior Authorization (ePA) is submitted?</w:t>
            </w:r>
          </w:p>
        </w:tc>
        <w:tc>
          <w:tcPr>
            <w:tcW w:w="3324" w:type="pct"/>
          </w:tcPr>
          <w:p w14:paraId="6AF58DAD" w14:textId="77777777" w:rsidR="00F77F73" w:rsidRPr="00E869FE" w:rsidRDefault="00F77F73" w:rsidP="00710A3B">
            <w:pPr>
              <w:spacing w:after="160"/>
              <w:rPr>
                <w:rFonts w:eastAsia="Calibri" w:cs="FranklinGothic-Book"/>
                <w:szCs w:val="24"/>
              </w:rPr>
            </w:pPr>
            <w:r w:rsidRPr="00E869FE">
              <w:rPr>
                <w:rFonts w:eastAsia="Calibri" w:cs="FranklinGothic-Book"/>
                <w:szCs w:val="24"/>
              </w:rPr>
              <w:t xml:space="preserve">When an Electronic Prior Authorization (ePA) request is submitted, the system runs a test claim. Using the resulting information, the CIF, and information </w:t>
            </w:r>
            <w:proofErr w:type="gramStart"/>
            <w:r w:rsidRPr="00E869FE">
              <w:rPr>
                <w:rFonts w:eastAsia="Calibri" w:cs="FranklinGothic-Book"/>
                <w:szCs w:val="24"/>
              </w:rPr>
              <w:t>on the account</w:t>
            </w:r>
            <w:proofErr w:type="gramEnd"/>
            <w:r w:rsidRPr="00E869FE">
              <w:rPr>
                <w:rFonts w:eastAsia="Calibri" w:cs="FranklinGothic-Book"/>
                <w:szCs w:val="24"/>
              </w:rPr>
              <w:t>, the Clinical team will then request the necessary information from the Provider.</w:t>
            </w:r>
          </w:p>
        </w:tc>
      </w:tr>
    </w:tbl>
    <w:p w14:paraId="32999CAF" w14:textId="77777777" w:rsidR="00F77F73" w:rsidRPr="00E869FE" w:rsidRDefault="00F77F73" w:rsidP="00F77F73">
      <w:pPr>
        <w:spacing w:after="0" w:line="240" w:lineRule="auto"/>
      </w:pPr>
    </w:p>
    <w:p w14:paraId="4A1CC3D5" w14:textId="77777777" w:rsidR="00F77F73" w:rsidRPr="00E869FE" w:rsidRDefault="00F77F73" w:rsidP="00F77F73">
      <w:pPr>
        <w:spacing w:after="0" w:line="240" w:lineRule="auto"/>
        <w:jc w:val="right"/>
      </w:pPr>
      <w:hyperlink w:anchor="_top" w:history="1">
        <w:r w:rsidRPr="00E869FE">
          <w:rPr>
            <w:rStyle w:val="Hyperlink"/>
          </w:rPr>
          <w:t>Top of the Document</w:t>
        </w:r>
      </w:hyperlink>
    </w:p>
    <w:p w14:paraId="4C91AF8D" w14:textId="77777777" w:rsidR="00F77F73" w:rsidRPr="00E869FE" w:rsidRDefault="00F77F73" w:rsidP="00F77F73">
      <w:pPr>
        <w:pStyle w:val="NormalWeb"/>
        <w:spacing w:before="120" w:beforeAutospacing="0" w:after="120" w:afterAutospacing="0"/>
        <w:jc w:val="center"/>
        <w:rPr>
          <w:rFonts w:ascii="Verdana" w:hAnsi="Verdana"/>
          <w:color w:val="000000"/>
          <w:sz w:val="27"/>
          <w:szCs w:val="27"/>
        </w:rPr>
      </w:pPr>
      <w:r w:rsidRPr="00E869FE">
        <w:rPr>
          <w:rFonts w:ascii="Verdana" w:hAnsi="Verdana"/>
          <w:color w:val="000000"/>
          <w:sz w:val="16"/>
          <w:szCs w:val="16"/>
        </w:rPr>
        <w:t>Not to Be Reproduced or Disclosed to Others Without Prior Written Approval</w:t>
      </w:r>
    </w:p>
    <w:p w14:paraId="0C0880A7" w14:textId="77777777" w:rsidR="00F77F73" w:rsidRPr="00E869FE" w:rsidRDefault="00F77F73" w:rsidP="00F77F73">
      <w:pPr>
        <w:pStyle w:val="NormalWeb"/>
        <w:spacing w:before="120" w:beforeAutospacing="0" w:after="120" w:afterAutospacing="0"/>
        <w:jc w:val="center"/>
        <w:rPr>
          <w:rFonts w:ascii="Verdana" w:hAnsi="Verdana"/>
          <w:b/>
          <w:bCs/>
        </w:rPr>
      </w:pPr>
      <w:r w:rsidRPr="00E869FE">
        <w:rPr>
          <w:rFonts w:ascii="Verdana" w:hAnsi="Verdana"/>
          <w:b/>
          <w:bCs/>
          <w:color w:val="000000"/>
          <w:sz w:val="16"/>
          <w:szCs w:val="16"/>
        </w:rPr>
        <w:t>ELECTRONIC DATA = OFFICIAL VERSION / PAPER COPY = INFORMATIONAL ONLY</w:t>
      </w:r>
    </w:p>
    <w:p w14:paraId="1A303EAB" w14:textId="77777777" w:rsidR="00EA26A9" w:rsidRDefault="00EA26A9"/>
    <w:sectPr w:rsidR="00EA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FranklinGothic-Book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8" type="#_x0000_t75" style="width:19.5pt;height:17.25pt;visibility:visible;mso-wrap-style:square" o:bullet="t">
        <v:imagedata r:id="rId1" o:title=""/>
      </v:shape>
    </w:pict>
  </w:numPicBullet>
  <w:abstractNum w:abstractNumId="0" w15:restartNumberingAfterBreak="0">
    <w:nsid w:val="01097431"/>
    <w:multiLevelType w:val="hybridMultilevel"/>
    <w:tmpl w:val="74F09842"/>
    <w:lvl w:ilvl="0" w:tplc="384E8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6202C"/>
    <w:multiLevelType w:val="hybridMultilevel"/>
    <w:tmpl w:val="DFF2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97332"/>
    <w:multiLevelType w:val="hybridMultilevel"/>
    <w:tmpl w:val="4B4A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E5A5F"/>
    <w:multiLevelType w:val="hybridMultilevel"/>
    <w:tmpl w:val="2B0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E4D2F"/>
    <w:multiLevelType w:val="hybridMultilevel"/>
    <w:tmpl w:val="935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A5EAB"/>
    <w:multiLevelType w:val="hybridMultilevel"/>
    <w:tmpl w:val="40F09EF8"/>
    <w:lvl w:ilvl="0" w:tplc="2392E3DA">
      <w:start w:val="1"/>
      <w:numFmt w:val="bullet"/>
      <w:lvlText w:val=""/>
      <w:lvlPicBulletId w:val="0"/>
      <w:lvlJc w:val="left"/>
      <w:pPr>
        <w:tabs>
          <w:tab w:val="num" w:pos="720"/>
        </w:tabs>
        <w:ind w:left="720" w:hanging="360"/>
      </w:pPr>
      <w:rPr>
        <w:rFonts w:ascii="Symbol" w:hAnsi="Symbol" w:hint="default"/>
      </w:rPr>
    </w:lvl>
    <w:lvl w:ilvl="1" w:tplc="CD8AD4DC" w:tentative="1">
      <w:start w:val="1"/>
      <w:numFmt w:val="bullet"/>
      <w:lvlText w:val=""/>
      <w:lvlJc w:val="left"/>
      <w:pPr>
        <w:tabs>
          <w:tab w:val="num" w:pos="1440"/>
        </w:tabs>
        <w:ind w:left="1440" w:hanging="360"/>
      </w:pPr>
      <w:rPr>
        <w:rFonts w:ascii="Symbol" w:hAnsi="Symbol" w:hint="default"/>
      </w:rPr>
    </w:lvl>
    <w:lvl w:ilvl="2" w:tplc="8B0A7B50" w:tentative="1">
      <w:start w:val="1"/>
      <w:numFmt w:val="bullet"/>
      <w:lvlText w:val=""/>
      <w:lvlJc w:val="left"/>
      <w:pPr>
        <w:tabs>
          <w:tab w:val="num" w:pos="2160"/>
        </w:tabs>
        <w:ind w:left="2160" w:hanging="360"/>
      </w:pPr>
      <w:rPr>
        <w:rFonts w:ascii="Symbol" w:hAnsi="Symbol" w:hint="default"/>
      </w:rPr>
    </w:lvl>
    <w:lvl w:ilvl="3" w:tplc="4E4AF2AC" w:tentative="1">
      <w:start w:val="1"/>
      <w:numFmt w:val="bullet"/>
      <w:lvlText w:val=""/>
      <w:lvlJc w:val="left"/>
      <w:pPr>
        <w:tabs>
          <w:tab w:val="num" w:pos="2880"/>
        </w:tabs>
        <w:ind w:left="2880" w:hanging="360"/>
      </w:pPr>
      <w:rPr>
        <w:rFonts w:ascii="Symbol" w:hAnsi="Symbol" w:hint="default"/>
      </w:rPr>
    </w:lvl>
    <w:lvl w:ilvl="4" w:tplc="4058DB1C" w:tentative="1">
      <w:start w:val="1"/>
      <w:numFmt w:val="bullet"/>
      <w:lvlText w:val=""/>
      <w:lvlJc w:val="left"/>
      <w:pPr>
        <w:tabs>
          <w:tab w:val="num" w:pos="3600"/>
        </w:tabs>
        <w:ind w:left="3600" w:hanging="360"/>
      </w:pPr>
      <w:rPr>
        <w:rFonts w:ascii="Symbol" w:hAnsi="Symbol" w:hint="default"/>
      </w:rPr>
    </w:lvl>
    <w:lvl w:ilvl="5" w:tplc="5DA607E2" w:tentative="1">
      <w:start w:val="1"/>
      <w:numFmt w:val="bullet"/>
      <w:lvlText w:val=""/>
      <w:lvlJc w:val="left"/>
      <w:pPr>
        <w:tabs>
          <w:tab w:val="num" w:pos="4320"/>
        </w:tabs>
        <w:ind w:left="4320" w:hanging="360"/>
      </w:pPr>
      <w:rPr>
        <w:rFonts w:ascii="Symbol" w:hAnsi="Symbol" w:hint="default"/>
      </w:rPr>
    </w:lvl>
    <w:lvl w:ilvl="6" w:tplc="E31C3B9A" w:tentative="1">
      <w:start w:val="1"/>
      <w:numFmt w:val="bullet"/>
      <w:lvlText w:val=""/>
      <w:lvlJc w:val="left"/>
      <w:pPr>
        <w:tabs>
          <w:tab w:val="num" w:pos="5040"/>
        </w:tabs>
        <w:ind w:left="5040" w:hanging="360"/>
      </w:pPr>
      <w:rPr>
        <w:rFonts w:ascii="Symbol" w:hAnsi="Symbol" w:hint="default"/>
      </w:rPr>
    </w:lvl>
    <w:lvl w:ilvl="7" w:tplc="D0CA7FCE" w:tentative="1">
      <w:start w:val="1"/>
      <w:numFmt w:val="bullet"/>
      <w:lvlText w:val=""/>
      <w:lvlJc w:val="left"/>
      <w:pPr>
        <w:tabs>
          <w:tab w:val="num" w:pos="5760"/>
        </w:tabs>
        <w:ind w:left="5760" w:hanging="360"/>
      </w:pPr>
      <w:rPr>
        <w:rFonts w:ascii="Symbol" w:hAnsi="Symbol" w:hint="default"/>
      </w:rPr>
    </w:lvl>
    <w:lvl w:ilvl="8" w:tplc="A6E406F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BBE6B42"/>
    <w:multiLevelType w:val="hybridMultilevel"/>
    <w:tmpl w:val="06CA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24E8E"/>
    <w:multiLevelType w:val="hybridMultilevel"/>
    <w:tmpl w:val="E7CAB460"/>
    <w:lvl w:ilvl="0" w:tplc="384E89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339176">
    <w:abstractNumId w:val="2"/>
  </w:num>
  <w:num w:numId="2" w16cid:durableId="1254313874">
    <w:abstractNumId w:val="6"/>
  </w:num>
  <w:num w:numId="3" w16cid:durableId="1071076121">
    <w:abstractNumId w:val="3"/>
  </w:num>
  <w:num w:numId="4" w16cid:durableId="379523397">
    <w:abstractNumId w:val="7"/>
  </w:num>
  <w:num w:numId="5" w16cid:durableId="701319309">
    <w:abstractNumId w:val="0"/>
  </w:num>
  <w:num w:numId="6" w16cid:durableId="126558608">
    <w:abstractNumId w:val="4"/>
  </w:num>
  <w:num w:numId="7" w16cid:durableId="1529903315">
    <w:abstractNumId w:val="1"/>
  </w:num>
  <w:num w:numId="8" w16cid:durableId="1544713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73"/>
    <w:rsid w:val="00002A81"/>
    <w:rsid w:val="000D62CB"/>
    <w:rsid w:val="00101506"/>
    <w:rsid w:val="00135BDB"/>
    <w:rsid w:val="001B401C"/>
    <w:rsid w:val="001C081A"/>
    <w:rsid w:val="00264EB1"/>
    <w:rsid w:val="002A5B1C"/>
    <w:rsid w:val="00374735"/>
    <w:rsid w:val="00391AA4"/>
    <w:rsid w:val="003B7D36"/>
    <w:rsid w:val="00413ECA"/>
    <w:rsid w:val="004143E3"/>
    <w:rsid w:val="004276FA"/>
    <w:rsid w:val="004D47E4"/>
    <w:rsid w:val="004E21B3"/>
    <w:rsid w:val="005309B5"/>
    <w:rsid w:val="00547EC9"/>
    <w:rsid w:val="005B000E"/>
    <w:rsid w:val="005B4CCA"/>
    <w:rsid w:val="006436E2"/>
    <w:rsid w:val="006C505C"/>
    <w:rsid w:val="006D3280"/>
    <w:rsid w:val="006E0BC2"/>
    <w:rsid w:val="006E4B17"/>
    <w:rsid w:val="00733DC3"/>
    <w:rsid w:val="00760ACA"/>
    <w:rsid w:val="0076641E"/>
    <w:rsid w:val="00796E80"/>
    <w:rsid w:val="007B3953"/>
    <w:rsid w:val="007B5A5B"/>
    <w:rsid w:val="007D69EB"/>
    <w:rsid w:val="008B037F"/>
    <w:rsid w:val="00912438"/>
    <w:rsid w:val="00937754"/>
    <w:rsid w:val="009E43AB"/>
    <w:rsid w:val="009F13BA"/>
    <w:rsid w:val="00A171EC"/>
    <w:rsid w:val="00A62AF7"/>
    <w:rsid w:val="00A63951"/>
    <w:rsid w:val="00AD76BC"/>
    <w:rsid w:val="00AF0503"/>
    <w:rsid w:val="00AF14A0"/>
    <w:rsid w:val="00B26844"/>
    <w:rsid w:val="00B4360E"/>
    <w:rsid w:val="00B826DA"/>
    <w:rsid w:val="00BE4C07"/>
    <w:rsid w:val="00C327B5"/>
    <w:rsid w:val="00D2649C"/>
    <w:rsid w:val="00D72CE1"/>
    <w:rsid w:val="00DA6D91"/>
    <w:rsid w:val="00DB62FD"/>
    <w:rsid w:val="00E248A4"/>
    <w:rsid w:val="00E4070A"/>
    <w:rsid w:val="00E5241A"/>
    <w:rsid w:val="00E600D6"/>
    <w:rsid w:val="00E9082C"/>
    <w:rsid w:val="00E92A09"/>
    <w:rsid w:val="00EA26A9"/>
    <w:rsid w:val="00F77F73"/>
    <w:rsid w:val="00FE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93488C"/>
  <w15:chartTrackingRefBased/>
  <w15:docId w15:val="{508AB2F4-ADDB-4AA1-8174-33E268CE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F73"/>
    <w:pPr>
      <w:spacing w:before="120" w:after="120" w:line="259" w:lineRule="auto"/>
    </w:pPr>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77F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7F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7F7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7F7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7F7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7F7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F77F73"/>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F77F73"/>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F77F73"/>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F77F73"/>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F77F73"/>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F77F73"/>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F77F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F7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F7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7F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7F73"/>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F77F73"/>
    <w:pPr>
      <w:ind w:left="720"/>
      <w:contextualSpacing/>
    </w:pPr>
  </w:style>
  <w:style w:type="character" w:styleId="IntenseEmphasis">
    <w:name w:val="Intense Emphasis"/>
    <w:basedOn w:val="DefaultParagraphFont"/>
    <w:uiPriority w:val="21"/>
    <w:qFormat/>
    <w:rsid w:val="00F77F73"/>
    <w:rPr>
      <w:i/>
      <w:iCs/>
      <w:color w:val="0F4761" w:themeColor="accent1" w:themeShade="BF"/>
    </w:rPr>
  </w:style>
  <w:style w:type="paragraph" w:styleId="IntenseQuote">
    <w:name w:val="Intense Quote"/>
    <w:basedOn w:val="Normal"/>
    <w:next w:val="Normal"/>
    <w:link w:val="IntenseQuoteChar"/>
    <w:uiPriority w:val="30"/>
    <w:qFormat/>
    <w:rsid w:val="00F77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F73"/>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F77F73"/>
    <w:rPr>
      <w:b/>
      <w:bCs/>
      <w:smallCaps/>
      <w:color w:val="0F4761" w:themeColor="accent1" w:themeShade="BF"/>
      <w:spacing w:val="5"/>
    </w:rPr>
  </w:style>
  <w:style w:type="paragraph" w:styleId="NormalWeb">
    <w:name w:val="Normal (Web)"/>
    <w:basedOn w:val="Normal"/>
    <w:uiPriority w:val="99"/>
    <w:unhideWhenUsed/>
    <w:rsid w:val="00F77F73"/>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77F73"/>
  </w:style>
  <w:style w:type="table" w:styleId="TableGrid">
    <w:name w:val="Table Grid"/>
    <w:basedOn w:val="TableNormal"/>
    <w:uiPriority w:val="39"/>
    <w:rsid w:val="00F77F73"/>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77F73"/>
    <w:pPr>
      <w:tabs>
        <w:tab w:val="right" w:leader="dot" w:pos="9350"/>
      </w:tabs>
      <w:spacing w:after="100"/>
    </w:pPr>
  </w:style>
  <w:style w:type="character" w:styleId="UnresolvedMention">
    <w:name w:val="Unresolved Mention"/>
    <w:basedOn w:val="DefaultParagraphFont"/>
    <w:uiPriority w:val="99"/>
    <w:semiHidden/>
    <w:unhideWhenUsed/>
    <w:rsid w:val="000D62CB"/>
    <w:rPr>
      <w:color w:val="605E5C"/>
      <w:shd w:val="clear" w:color="auto" w:fill="E1DFDD"/>
    </w:rPr>
  </w:style>
  <w:style w:type="paragraph" w:styleId="Revision">
    <w:name w:val="Revision"/>
    <w:hidden/>
    <w:uiPriority w:val="99"/>
    <w:semiHidden/>
    <w:rsid w:val="00547EC9"/>
    <w:rPr>
      <w:rFonts w:ascii="Verdana" w:hAnsi="Verdana"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www.covermymeds.com/main/support-center/prescribers-pharmacist-support"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mailto:Help@covermymeds.com" TargetMode="External"/><Relationship Id="rId10" Type="http://schemas.openxmlformats.org/officeDocument/2006/relationships/hyperlink" Target="https://thesource.cvshealth.com/nuxeo/thesourc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www.covermymeds.com/epa/caremark/"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 xsi:nil="true"/>
    <DocumentConsultatnt xmlns="d19e0082-693e-45ae-8f74-da0dd659fa03" xsi:nil="true"/>
    <DueDate xmlns="d19e0082-693e-45ae-8f74-da0dd659fa03" xsi:nil="true"/>
    <LifelineQuickChat xmlns="d19e0082-693e-45ae-8f74-da0dd659fa03" xsi:nil="true"/>
    <Status xmlns="d19e0082-693e-45ae-8f74-da0dd659fa0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bf912b4f12eb7005afd2bae5938a38c3">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c3a4bce088898085ab96066dc5d04373"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601CA-4E98-434F-9177-98D874EF6079}">
  <ds:schemaRefs>
    <ds:schemaRef ds:uri="http://schemas.microsoft.com/sharepoint/v3/contenttype/forms"/>
  </ds:schemaRefs>
</ds:datastoreItem>
</file>

<file path=customXml/itemProps2.xml><?xml version="1.0" encoding="utf-8"?>
<ds:datastoreItem xmlns:ds="http://schemas.openxmlformats.org/officeDocument/2006/customXml" ds:itemID="{F5E6703B-ABC3-421B-A2BF-A0CF88096F1B}">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41BF45F6-62B2-4318-9D63-362E79BEF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32</cp:revision>
  <dcterms:created xsi:type="dcterms:W3CDTF">2025-04-14T19:04:00Z</dcterms:created>
  <dcterms:modified xsi:type="dcterms:W3CDTF">2025-08-01T18:05:00Z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2025-03-21T21:04:53Z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9137e870-a41b-4a35-a3ca-2875d2687000</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