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F8C49" w14:textId="518342C8" w:rsidR="00DE7A25" w:rsidRDefault="00EC2248" w:rsidP="00DE7A25">
      <w:pPr>
        <w:spacing w:after="0" w:line="240" w:lineRule="auto"/>
        <w:rPr>
          <w:rFonts w:ascii="Verdana" w:eastAsia="Times New Roman" w:hAnsi="Verdana" w:cs="Arial"/>
          <w:b/>
          <w:color w:val="000000"/>
          <w:sz w:val="36"/>
          <w:szCs w:val="36"/>
        </w:rPr>
      </w:pPr>
      <w:bookmarkStart w:id="0" w:name="_top"/>
      <w:bookmarkEnd w:id="0"/>
      <w:r>
        <w:rPr>
          <w:rFonts w:ascii="Verdana" w:eastAsia="Times New Roman" w:hAnsi="Verdana" w:cs="Arial"/>
          <w:b/>
          <w:color w:val="000000"/>
          <w:sz w:val="36"/>
          <w:szCs w:val="36"/>
        </w:rPr>
        <w:t xml:space="preserve">MED D - </w:t>
      </w:r>
      <w:r w:rsidR="00756588" w:rsidRPr="00756588">
        <w:rPr>
          <w:rFonts w:ascii="Verdana" w:eastAsia="Times New Roman" w:hAnsi="Verdana" w:cs="Arial"/>
          <w:b/>
          <w:color w:val="000000"/>
          <w:sz w:val="36"/>
          <w:szCs w:val="36"/>
        </w:rPr>
        <w:t xml:space="preserve">CVS/Caremark </w:t>
      </w:r>
      <w:bookmarkStart w:id="1" w:name="_Hlk155942687"/>
      <w:r w:rsidR="00756588" w:rsidRPr="00756588">
        <w:rPr>
          <w:rFonts w:ascii="Verdana" w:eastAsia="Times New Roman" w:hAnsi="Verdana" w:cs="Arial"/>
          <w:b/>
          <w:color w:val="000000"/>
          <w:sz w:val="36"/>
          <w:szCs w:val="36"/>
        </w:rPr>
        <w:t>FEP MPDP Voluntary Disenrollment Process</w:t>
      </w:r>
      <w:bookmarkEnd w:id="1"/>
    </w:p>
    <w:p w14:paraId="4E634E70" w14:textId="79A349FD" w:rsidR="00756588" w:rsidRDefault="00756588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085A65C0" w14:textId="77777777" w:rsidR="00EC2248" w:rsidRPr="00DE7A25" w:rsidRDefault="00EC2248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4ACFBDE3" w14:textId="0E6B8D94" w:rsidR="00226D8E" w:rsidRDefault="00DE7A25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r w:rsidRPr="00DE7A25">
        <w:fldChar w:fldCharType="begin"/>
      </w:r>
      <w:r w:rsidRPr="00DE7A25">
        <w:instrText xml:space="preserve"> TOC \o "2-2" \n \p " " \h \z \u </w:instrText>
      </w:r>
      <w:r w:rsidRPr="00DE7A25">
        <w:fldChar w:fldCharType="separate"/>
      </w:r>
      <w:hyperlink w:anchor="_Toc155942581" w:history="1">
        <w:r w:rsidR="00226D8E" w:rsidRPr="00693E24">
          <w:rPr>
            <w:rStyle w:val="Hyperlink"/>
          </w:rPr>
          <w:t>General Information</w:t>
        </w:r>
      </w:hyperlink>
    </w:p>
    <w:p w14:paraId="1EB498D7" w14:textId="12BDB6A9" w:rsidR="00226D8E" w:rsidRDefault="00EC2248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55942582" w:history="1">
        <w:r w:rsidR="00226D8E" w:rsidRPr="00693E24">
          <w:rPr>
            <w:rStyle w:val="Hyperlink"/>
          </w:rPr>
          <w:t>Call Handling</w:t>
        </w:r>
      </w:hyperlink>
    </w:p>
    <w:p w14:paraId="02E2955B" w14:textId="11582EC0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  <w:r w:rsidRPr="00DE7A25">
        <w:rPr>
          <w:rFonts w:ascii="Verdana" w:hAnsi="Verdana"/>
          <w:noProof/>
          <w:color w:val="3333FF"/>
          <w:sz w:val="24"/>
          <w:szCs w:val="24"/>
          <w:u w:val="single"/>
        </w:rPr>
        <w:fldChar w:fldCharType="end"/>
      </w:r>
    </w:p>
    <w:p w14:paraId="4988718A" w14:textId="77777777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2789ECB" w14:textId="14A78DB1" w:rsidR="00DE7A25" w:rsidRPr="00DE7A25" w:rsidRDefault="00DE7A25" w:rsidP="00DE7A25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  <w:bookmarkStart w:id="2" w:name="_Overview"/>
      <w:bookmarkEnd w:id="2"/>
      <w:r w:rsidRPr="00DE7A25">
        <w:rPr>
          <w:rFonts w:ascii="Verdana" w:hAnsi="Verdana"/>
          <w:b/>
          <w:sz w:val="24"/>
          <w:szCs w:val="24"/>
        </w:rPr>
        <w:t xml:space="preserve">Description:  </w:t>
      </w:r>
      <w:r w:rsidR="00226D8E">
        <w:rPr>
          <w:rFonts w:ascii="Verdana" w:hAnsi="Verdana"/>
          <w:sz w:val="24"/>
          <w:szCs w:val="24"/>
        </w:rPr>
        <w:t xml:space="preserve">This document provides information on the </w:t>
      </w:r>
      <w:r w:rsidR="00226D8E" w:rsidRPr="00226D8E">
        <w:rPr>
          <w:rFonts w:ascii="Verdana" w:hAnsi="Verdana"/>
          <w:sz w:val="24"/>
          <w:szCs w:val="24"/>
        </w:rPr>
        <w:t>FEP MPDP Voluntary Disenrollment Process</w:t>
      </w:r>
      <w:r w:rsidR="00226D8E">
        <w:rPr>
          <w:rFonts w:ascii="Verdana" w:hAnsi="Verdana"/>
          <w:sz w:val="24"/>
          <w:szCs w:val="24"/>
        </w:rPr>
        <w:t>.</w:t>
      </w:r>
    </w:p>
    <w:p w14:paraId="38708C31" w14:textId="77777777" w:rsidR="00DE7A25" w:rsidRPr="00DE7A25" w:rsidRDefault="00DE7A25" w:rsidP="00DE7A25">
      <w:pPr>
        <w:spacing w:after="0" w:line="240" w:lineRule="auto"/>
        <w:jc w:val="right"/>
        <w:rPr>
          <w:rStyle w:val="Hyperlink"/>
          <w:rFonts w:ascii="Verdana" w:hAnsi="Verdana"/>
          <w:sz w:val="24"/>
          <w:szCs w:val="24"/>
        </w:rPr>
      </w:pPr>
      <w:bookmarkStart w:id="3" w:name="_Rationale"/>
      <w:bookmarkStart w:id="4" w:name="_Definitions"/>
      <w:bookmarkStart w:id="5" w:name="_Abbreviations/Definitions"/>
      <w:bookmarkStart w:id="6" w:name="_Log_Activity"/>
      <w:bookmarkEnd w:id="3"/>
      <w:bookmarkEnd w:id="4"/>
      <w:bookmarkEnd w:id="5"/>
      <w:bookmarkEnd w:id="6"/>
    </w:p>
    <w:p w14:paraId="50BF015A" w14:textId="77777777" w:rsidR="00DE7A25" w:rsidRPr="00DE7A25" w:rsidRDefault="00DE7A25" w:rsidP="00DE7A25">
      <w:pPr>
        <w:jc w:val="right"/>
        <w:rPr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05288093" w14:textId="77777777" w:rsidTr="00DE7A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AA3B376" w14:textId="38A82DA2" w:rsidR="00DE7A25" w:rsidRDefault="00756588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7" w:name="_Determining_if_an"/>
            <w:bookmarkStart w:id="8" w:name="_Qualifying_the_Call"/>
            <w:bookmarkStart w:id="9" w:name="_Various_Work_Instructions_1"/>
            <w:bookmarkStart w:id="10" w:name="_Various_Work_Instructions1"/>
            <w:bookmarkStart w:id="11" w:name="_Process"/>
            <w:bookmarkStart w:id="12" w:name="_Various_Work_Instructions"/>
            <w:bookmarkStart w:id="13" w:name="_Toc155942581"/>
            <w:bookmarkEnd w:id="7"/>
            <w:bookmarkEnd w:id="8"/>
            <w:bookmarkEnd w:id="9"/>
            <w:bookmarkEnd w:id="10"/>
            <w:bookmarkEnd w:id="11"/>
            <w:bookmarkEnd w:id="12"/>
            <w:r>
              <w:rPr>
                <w:rFonts w:ascii="Verdana" w:hAnsi="Verdana"/>
                <w:i w:val="0"/>
              </w:rPr>
              <w:t>General Information</w:t>
            </w:r>
            <w:bookmarkEnd w:id="13"/>
          </w:p>
        </w:tc>
      </w:tr>
    </w:tbl>
    <w:p w14:paraId="7DD93E8C" w14:textId="305A5623" w:rsidR="00DE7A25" w:rsidRDefault="00DE7A25" w:rsidP="00DE7A25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</w:p>
    <w:p w14:paraId="7233D141" w14:textId="08092FF7" w:rsidR="00756588" w:rsidRPr="00226D8E" w:rsidRDefault="00756588" w:rsidP="00226D8E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  <w:r w:rsidRPr="00226D8E">
        <w:rPr>
          <w:rFonts w:ascii="Verdana" w:eastAsia="Times New Roman" w:hAnsi="Verdana"/>
          <w:color w:val="000000"/>
          <w:sz w:val="24"/>
          <w:szCs w:val="24"/>
        </w:rPr>
        <w:t>Voluntary disenrollment is initiated by the beneficiary after the beneficiary is effective in the</w:t>
      </w:r>
      <w:r w:rsidR="00226D8E">
        <w:rPr>
          <w:rFonts w:ascii="Verdana" w:eastAsia="Times New Roman" w:hAnsi="Verdana"/>
          <w:color w:val="000000"/>
          <w:sz w:val="24"/>
          <w:szCs w:val="24"/>
        </w:rPr>
        <w:t>ir</w:t>
      </w:r>
      <w:r w:rsidRPr="00226D8E">
        <w:rPr>
          <w:rFonts w:ascii="Verdana" w:eastAsia="Times New Roman" w:hAnsi="Verdana"/>
          <w:color w:val="000000"/>
          <w:sz w:val="24"/>
          <w:szCs w:val="24"/>
        </w:rPr>
        <w:t xml:space="preserve"> plan. </w:t>
      </w:r>
    </w:p>
    <w:p w14:paraId="2B11C15A" w14:textId="77777777" w:rsidR="00756588" w:rsidRPr="00756588" w:rsidRDefault="00756588" w:rsidP="00756588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  <w:r w:rsidRPr="00756588">
        <w:rPr>
          <w:rFonts w:ascii="Verdana" w:eastAsia="Times New Roman" w:hAnsi="Verdana"/>
          <w:color w:val="000000"/>
          <w:sz w:val="24"/>
          <w:szCs w:val="24"/>
        </w:rPr>
        <w:t xml:space="preserve">Once the beneficiary’s plan is effective, they will need to voluntary disenroll from the plan (opt-out would take place prior to the plan being effective). </w:t>
      </w:r>
    </w:p>
    <w:p w14:paraId="0A2B7D87" w14:textId="1477C265" w:rsidR="00756588" w:rsidRPr="00756588" w:rsidRDefault="00756588" w:rsidP="00756588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  <w:r w:rsidRPr="00756588">
        <w:rPr>
          <w:rFonts w:ascii="Verdana" w:eastAsia="Times New Roman" w:hAnsi="Verdana"/>
          <w:color w:val="000000"/>
          <w:sz w:val="24"/>
          <w:szCs w:val="24"/>
        </w:rPr>
        <w:t xml:space="preserve">The FEP MPDP enrollment team is </w:t>
      </w:r>
      <w:r w:rsidRPr="00226D8E">
        <w:rPr>
          <w:rFonts w:ascii="Verdana" w:eastAsia="Times New Roman" w:hAnsi="Verdana"/>
          <w:b/>
          <w:bCs/>
          <w:color w:val="000000"/>
          <w:sz w:val="24"/>
          <w:szCs w:val="24"/>
        </w:rPr>
        <w:t>not</w:t>
      </w:r>
      <w:r w:rsidRPr="00756588">
        <w:rPr>
          <w:rFonts w:ascii="Verdana" w:eastAsia="Times New Roman" w:hAnsi="Verdana"/>
          <w:color w:val="000000"/>
          <w:sz w:val="24"/>
          <w:szCs w:val="24"/>
        </w:rPr>
        <w:t xml:space="preserve"> able to disenroll beneficiaries over the phone.</w:t>
      </w:r>
    </w:p>
    <w:p w14:paraId="6819D2E1" w14:textId="77777777" w:rsidR="00226D8E" w:rsidRDefault="00226D8E" w:rsidP="00226D8E">
      <w:pPr>
        <w:pStyle w:val="ListParagraph"/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</w:p>
    <w:p w14:paraId="417B551F" w14:textId="7AF36FED" w:rsidR="00756588" w:rsidRPr="00226D8E" w:rsidRDefault="00756588" w:rsidP="00226D8E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  <w:r w:rsidRPr="00226D8E">
        <w:rPr>
          <w:rFonts w:ascii="Verdana" w:eastAsia="Times New Roman" w:hAnsi="Verdana"/>
          <w:color w:val="000000"/>
          <w:sz w:val="24"/>
          <w:szCs w:val="24"/>
        </w:rPr>
        <w:t xml:space="preserve">Disenrollment requests must be submitted in writing. </w:t>
      </w:r>
    </w:p>
    <w:p w14:paraId="337D5F21" w14:textId="33A3E46D" w:rsidR="00756588" w:rsidRPr="00756588" w:rsidRDefault="00226D8E" w:rsidP="00756588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A d</w:t>
      </w:r>
      <w:r w:rsidR="00756588" w:rsidRPr="00756588">
        <w:rPr>
          <w:rFonts w:ascii="Verdana" w:eastAsia="Times New Roman" w:hAnsi="Verdana"/>
          <w:color w:val="000000"/>
          <w:sz w:val="24"/>
          <w:szCs w:val="24"/>
        </w:rPr>
        <w:t xml:space="preserve">isenrollment form can be obtained from: </w:t>
      </w:r>
      <w:hyperlink r:id="rId8" w:history="1">
        <w:r w:rsidR="00756588" w:rsidRPr="00756588">
          <w:rPr>
            <w:rStyle w:val="Hyperlink"/>
            <w:rFonts w:ascii="Verdana" w:eastAsia="Times New Roman" w:hAnsi="Verdana"/>
            <w:sz w:val="24"/>
            <w:szCs w:val="24"/>
          </w:rPr>
          <w:t>https://www.fepblue.org/medicarerx</w:t>
        </w:r>
      </w:hyperlink>
      <w:r w:rsidR="00756588" w:rsidRPr="00756588">
        <w:rPr>
          <w:rFonts w:ascii="Verdana" w:eastAsia="Times New Roman" w:hAnsi="Verdana"/>
          <w:color w:val="000000"/>
          <w:sz w:val="24"/>
          <w:szCs w:val="24"/>
        </w:rPr>
        <w:t xml:space="preserve"> </w:t>
      </w:r>
    </w:p>
    <w:p w14:paraId="6BB738CC" w14:textId="2CB79602" w:rsidR="00756588" w:rsidRDefault="00756588" w:rsidP="00756588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  <w:r w:rsidRPr="00756588">
        <w:rPr>
          <w:rFonts w:ascii="Verdana" w:eastAsia="Times New Roman" w:hAnsi="Verdana"/>
          <w:color w:val="000000"/>
          <w:sz w:val="24"/>
          <w:szCs w:val="24"/>
        </w:rPr>
        <w:t xml:space="preserve">Disenrollment occurs on the last day of the month the written request is received. </w:t>
      </w:r>
    </w:p>
    <w:p w14:paraId="1A028626" w14:textId="77777777" w:rsidR="00756588" w:rsidRPr="00756588" w:rsidRDefault="00756588" w:rsidP="00756588">
      <w:pPr>
        <w:pStyle w:val="ListParagraph"/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</w:p>
    <w:p w14:paraId="6F0AD2B5" w14:textId="44622B14" w:rsidR="00756588" w:rsidRPr="00226D8E" w:rsidRDefault="00756588" w:rsidP="00226D8E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  <w:r w:rsidRPr="00226D8E">
        <w:rPr>
          <w:rFonts w:ascii="Verdana" w:eastAsia="Times New Roman" w:hAnsi="Verdana"/>
          <w:color w:val="000000"/>
          <w:sz w:val="24"/>
          <w:szCs w:val="24"/>
        </w:rPr>
        <w:t xml:space="preserve">When can a beneficiary disenroll? </w:t>
      </w:r>
    </w:p>
    <w:p w14:paraId="0D42597A" w14:textId="09E75DFE" w:rsidR="00756588" w:rsidRPr="00756588" w:rsidRDefault="00756588" w:rsidP="00226D8E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  <w:r w:rsidRPr="00756588">
        <w:rPr>
          <w:rFonts w:ascii="Verdana" w:eastAsia="Times New Roman" w:hAnsi="Verdana"/>
          <w:color w:val="000000"/>
          <w:sz w:val="24"/>
          <w:szCs w:val="24"/>
        </w:rPr>
        <w:t xml:space="preserve">FEP members have a continuous Special Election Period (SEP) that can be used at any time for the beneficiary to disenroll from the FEP MPDP plan. </w:t>
      </w:r>
    </w:p>
    <w:p w14:paraId="14A73E48" w14:textId="4B855AC0" w:rsidR="00756588" w:rsidRDefault="00756588" w:rsidP="00DE7A25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</w:p>
    <w:p w14:paraId="75AA43F8" w14:textId="3C9B1F82" w:rsidR="00756588" w:rsidRPr="00DE7A25" w:rsidRDefault="00EC2248" w:rsidP="00756588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="00756588" w:rsidRPr="00DE7A25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756588" w14:paraId="01BBB20C" w14:textId="77777777" w:rsidTr="0093634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FFE8186" w14:textId="6344B9B9" w:rsidR="00756588" w:rsidRDefault="00756588" w:rsidP="00936346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4" w:name="_Toc155942582"/>
            <w:r>
              <w:rPr>
                <w:rFonts w:ascii="Verdana" w:hAnsi="Verdana"/>
                <w:i w:val="0"/>
              </w:rPr>
              <w:t>Call Handling</w:t>
            </w:r>
            <w:bookmarkEnd w:id="14"/>
          </w:p>
        </w:tc>
      </w:tr>
    </w:tbl>
    <w:p w14:paraId="55F766F1" w14:textId="0F351AAC" w:rsidR="00756588" w:rsidRDefault="00756588" w:rsidP="00DE7A25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</w:p>
    <w:p w14:paraId="74352940" w14:textId="5E95E258" w:rsidR="00DE7A25" w:rsidRPr="00DE7A25" w:rsidRDefault="00DE7A25" w:rsidP="00DE7A25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  <w:r w:rsidRPr="00DE7A25">
        <w:rPr>
          <w:rFonts w:ascii="Verdana" w:hAnsi="Verdana"/>
          <w:color w:val="000000"/>
          <w:sz w:val="24"/>
          <w:szCs w:val="24"/>
        </w:rPr>
        <w:t>Follow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71"/>
        <w:gridCol w:w="1983"/>
        <w:gridCol w:w="957"/>
        <w:gridCol w:w="5439"/>
      </w:tblGrid>
      <w:tr w:rsidR="0057604D" w:rsidRPr="00DE7A25" w14:paraId="6B8791AA" w14:textId="77777777" w:rsidTr="00226D8E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7C63CD" w14:textId="77777777" w:rsidR="00DE7A25" w:rsidRPr="00DE7A25" w:rsidRDefault="00DE7A25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2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D8A82" w14:textId="77777777" w:rsidR="00DE7A25" w:rsidRPr="00DE7A25" w:rsidRDefault="00DE7A25" w:rsidP="00DE7A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Action</w:t>
            </w:r>
          </w:p>
        </w:tc>
      </w:tr>
      <w:tr w:rsidR="00226D8E" w:rsidRPr="00DE7A25" w14:paraId="46B0EEC9" w14:textId="77777777" w:rsidTr="00226D8E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C0AF0" w14:textId="77777777" w:rsidR="00DE7A25" w:rsidRPr="00DE7A25" w:rsidRDefault="00DE7A25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2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023B" w14:textId="35E566D2" w:rsidR="00756588" w:rsidRDefault="00756588" w:rsidP="00756588">
            <w:pPr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Advise the caller: </w:t>
            </w:r>
          </w:p>
          <w:p w14:paraId="26667E5B" w14:textId="5935A907" w:rsidR="00DE7A25" w:rsidRDefault="00EC2248" w:rsidP="00226D8E">
            <w:pPr>
              <w:pStyle w:val="NormalWeb"/>
              <w:rPr>
                <w:rFonts w:ascii="Verdana" w:hAnsi="Verdana"/>
                <w:bCs/>
                <w:color w:val="000000"/>
              </w:rPr>
            </w:pPr>
            <w:r>
              <w:lastRenderedPageBreak/>
              <w:pict w14:anchorId="7FBEE3CA">
                <v:shape id="_x0000_i1026" type="#_x0000_t75" style="width:18.4pt;height:16.75pt;visibility:visible;mso-wrap-style:square">
                  <v:imagedata r:id="rId9" o:title=""/>
                </v:shape>
              </w:pict>
            </w:r>
            <w:r w:rsidR="00756588">
              <w:rPr>
                <w:rFonts w:ascii="Verdana" w:hAnsi="Verdana"/>
                <w:bCs/>
                <w:color w:val="000000"/>
              </w:rPr>
              <w:t xml:space="preserve">  </w:t>
            </w:r>
            <w:r w:rsidR="00756588" w:rsidRPr="00756588">
              <w:rPr>
                <w:rFonts w:ascii="Verdana" w:hAnsi="Verdana"/>
                <w:bCs/>
                <w:color w:val="000000"/>
              </w:rPr>
              <w:t xml:space="preserve">Disenrollment requests must be submitted in writing. I can provide the information that needs to be included in the written notice if you would like to disenroll. A </w:t>
            </w:r>
            <w:r w:rsidR="00226D8E">
              <w:rPr>
                <w:rFonts w:ascii="Verdana" w:hAnsi="Verdana"/>
                <w:bCs/>
                <w:color w:val="000000"/>
              </w:rPr>
              <w:t>d</w:t>
            </w:r>
            <w:r w:rsidR="00756588" w:rsidRPr="00756588">
              <w:rPr>
                <w:rFonts w:ascii="Verdana" w:hAnsi="Verdana"/>
                <w:bCs/>
                <w:color w:val="000000"/>
              </w:rPr>
              <w:t xml:space="preserve">isenrollment form can also be obtained from </w:t>
            </w:r>
            <w:hyperlink r:id="rId10" w:history="1">
              <w:r w:rsidR="00756588" w:rsidRPr="00084BF0">
                <w:rPr>
                  <w:rStyle w:val="Hyperlink"/>
                  <w:rFonts w:ascii="Verdana" w:hAnsi="Verdana"/>
                  <w:bCs/>
                </w:rPr>
                <w:t>https://www.fepblue.org/medicarerx</w:t>
              </w:r>
            </w:hyperlink>
            <w:r w:rsidR="00226D8E">
              <w:rPr>
                <w:rFonts w:ascii="Verdana" w:hAnsi="Verdana"/>
                <w:bCs/>
                <w:color w:val="000000"/>
              </w:rPr>
              <w:t>.</w:t>
            </w:r>
            <w:r w:rsidR="00756588">
              <w:rPr>
                <w:rFonts w:ascii="Verdana" w:hAnsi="Verdana"/>
                <w:bCs/>
                <w:color w:val="000000"/>
              </w:rPr>
              <w:t xml:space="preserve"> </w:t>
            </w:r>
          </w:p>
          <w:p w14:paraId="5C6C6D7B" w14:textId="24031C6E" w:rsidR="00226D8E" w:rsidRPr="00226D8E" w:rsidRDefault="00226D8E" w:rsidP="00226D8E">
            <w:pPr>
              <w:pStyle w:val="NormalWeb"/>
            </w:pPr>
          </w:p>
        </w:tc>
      </w:tr>
      <w:tr w:rsidR="00226D8E" w:rsidRPr="00DE7A25" w14:paraId="5AE196C9" w14:textId="77777777" w:rsidTr="00226D8E">
        <w:tc>
          <w:tcPr>
            <w:tcW w:w="19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36881" w14:textId="69499260" w:rsidR="00DE7A25" w:rsidRPr="00DE7A25" w:rsidRDefault="00226D8E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21BB" w14:textId="77777777" w:rsidR="00756588" w:rsidRPr="00756588" w:rsidRDefault="00756588" w:rsidP="00756588">
            <w:pPr>
              <w:rPr>
                <w:rFonts w:ascii="Verdana" w:hAnsi="Verdana"/>
                <w:sz w:val="24"/>
                <w:szCs w:val="24"/>
              </w:rPr>
            </w:pPr>
            <w:r w:rsidRPr="00756588">
              <w:rPr>
                <w:rFonts w:ascii="Verdana" w:hAnsi="Verdana"/>
                <w:sz w:val="24"/>
                <w:szCs w:val="24"/>
              </w:rPr>
              <w:t xml:space="preserve">Provide the following information required for the disenrollment written request: </w:t>
            </w:r>
          </w:p>
          <w:p w14:paraId="564CC9AB" w14:textId="77777777" w:rsidR="00DE7A25" w:rsidRPr="00DE7A25" w:rsidRDefault="00DE7A25" w:rsidP="00DE7A25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F61547" w:rsidRPr="00DE7A25" w14:paraId="320D76E0" w14:textId="77777777" w:rsidTr="00226D8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28BEA" w14:textId="77777777" w:rsidR="00DE7A25" w:rsidRPr="00DE7A25" w:rsidRDefault="00DE7A25" w:rsidP="00DE7A25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9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9E6341" w14:textId="77777777" w:rsidR="00DE7A25" w:rsidRPr="00DE7A25" w:rsidRDefault="00DE7A25" w:rsidP="00DE7A25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If…</w:t>
            </w:r>
          </w:p>
        </w:tc>
        <w:tc>
          <w:tcPr>
            <w:tcW w:w="19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5286E3" w14:textId="77777777" w:rsidR="00DE7A25" w:rsidRPr="00DE7A25" w:rsidRDefault="00DE7A25" w:rsidP="00DE7A25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57604D" w:rsidRPr="00DE7A25" w14:paraId="09E6A0D9" w14:textId="77777777" w:rsidTr="00226D8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642FF" w14:textId="77777777" w:rsidR="00DE7A25" w:rsidRPr="00DE7A25" w:rsidRDefault="00DE7A25" w:rsidP="00DE7A25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9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FF63" w14:textId="6B368A30" w:rsidR="00DE7A25" w:rsidRPr="00DE7A25" w:rsidRDefault="00F61547" w:rsidP="00DE7A25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>Legal Representative Submission for disenrollment</w:t>
            </w:r>
          </w:p>
        </w:tc>
        <w:tc>
          <w:tcPr>
            <w:tcW w:w="19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525F2" w14:textId="38E44568" w:rsidR="00F61547" w:rsidRPr="00F61547" w:rsidRDefault="00F61547" w:rsidP="00F615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Beneficiary </w:t>
            </w: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>first and last name</w:t>
            </w:r>
          </w:p>
          <w:p w14:paraId="11BD67CB" w14:textId="2BC07067" w:rsidR="00F61547" w:rsidRPr="00F61547" w:rsidRDefault="00F61547" w:rsidP="00F615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Beneficiary </w:t>
            </w: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 xml:space="preserve">ID number </w:t>
            </w:r>
          </w:p>
          <w:p w14:paraId="2A43970A" w14:textId="77777777" w:rsidR="00F61547" w:rsidRPr="00F61547" w:rsidRDefault="00F61547" w:rsidP="00F615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>Legal representative signature</w:t>
            </w:r>
          </w:p>
          <w:p w14:paraId="7E061F43" w14:textId="77777777" w:rsidR="00F61547" w:rsidRPr="00F61547" w:rsidRDefault="00F61547" w:rsidP="00F615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 xml:space="preserve">Date of written request </w:t>
            </w:r>
          </w:p>
          <w:p w14:paraId="4BEA5C3A" w14:textId="77777777" w:rsidR="00F61547" w:rsidRPr="00F61547" w:rsidRDefault="00F61547" w:rsidP="00F615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>Reason for disenrollment</w:t>
            </w:r>
          </w:p>
          <w:p w14:paraId="78E105E4" w14:textId="77777777" w:rsidR="00F61547" w:rsidRPr="00F61547" w:rsidRDefault="00F61547" w:rsidP="00F615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 xml:space="preserve">Relationship to enrollee </w:t>
            </w:r>
          </w:p>
          <w:p w14:paraId="6BAC0073" w14:textId="77777777" w:rsidR="00F61547" w:rsidRPr="00F61547" w:rsidRDefault="00F61547" w:rsidP="00F615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 xml:space="preserve">Legal representative contact information including address </w:t>
            </w:r>
          </w:p>
          <w:p w14:paraId="409A2919" w14:textId="420C3A38" w:rsidR="00F61547" w:rsidRPr="00F61547" w:rsidRDefault="00F61547" w:rsidP="00F615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 xml:space="preserve">Attestation that </w:t>
            </w:r>
            <w:r w:rsidR="00226D8E">
              <w:rPr>
                <w:rFonts w:ascii="Verdana" w:hAnsi="Verdana"/>
                <w:color w:val="000000"/>
                <w:sz w:val="24"/>
                <w:szCs w:val="24"/>
              </w:rPr>
              <w:t>they have</w:t>
            </w: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 xml:space="preserve"> the authority under state law to make the disenrollment request </w:t>
            </w:r>
          </w:p>
          <w:p w14:paraId="75277E84" w14:textId="2FF24BE8" w:rsidR="00F61547" w:rsidRPr="00F61547" w:rsidRDefault="00F61547" w:rsidP="00F615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>Proof of authority under state law (</w:t>
            </w:r>
            <w:r w:rsidR="00226D8E" w:rsidRPr="00F61547">
              <w:rPr>
                <w:rFonts w:ascii="Verdana" w:hAnsi="Verdana"/>
                <w:color w:val="000000"/>
                <w:sz w:val="24"/>
                <w:szCs w:val="24"/>
              </w:rPr>
              <w:t>i.e.,</w:t>
            </w: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 xml:space="preserve"> copy of court-appointed legal guardianship, Power of Attorney/POA, or other legal documentation), if not already listed under POA/Responsible Party. </w:t>
            </w:r>
          </w:p>
          <w:p w14:paraId="03164F23" w14:textId="77777777" w:rsidR="00DE7A25" w:rsidRPr="00DE7A25" w:rsidRDefault="00DE7A25" w:rsidP="00DE7A25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57604D" w:rsidRPr="00DE7A25" w14:paraId="08F3F24A" w14:textId="77777777" w:rsidTr="00226D8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61F9" w14:textId="77777777" w:rsidR="00DE7A25" w:rsidRPr="00DE7A25" w:rsidRDefault="00DE7A25" w:rsidP="00DE7A25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9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86AF" w14:textId="1747320A" w:rsidR="00DE7A25" w:rsidRPr="00DE7A25" w:rsidRDefault="00F61547" w:rsidP="00DE7A25">
            <w:pPr>
              <w:spacing w:after="0" w:line="240" w:lineRule="auto"/>
              <w:jc w:val="both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All other callers</w:t>
            </w:r>
          </w:p>
        </w:tc>
        <w:tc>
          <w:tcPr>
            <w:tcW w:w="19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90CD6" w14:textId="01B4DBB9" w:rsidR="00F61547" w:rsidRPr="00F61547" w:rsidRDefault="00F61547" w:rsidP="00F6154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Beneficiary</w:t>
            </w:r>
            <w:r w:rsidRPr="00F61547">
              <w:rPr>
                <w:rFonts w:ascii="Verdana" w:hAnsi="Verdana"/>
                <w:sz w:val="24"/>
                <w:szCs w:val="24"/>
              </w:rPr>
              <w:t xml:space="preserve"> first name, last name, and middle initial </w:t>
            </w:r>
          </w:p>
          <w:p w14:paraId="32EE0FD6" w14:textId="69584C35" w:rsidR="00F61547" w:rsidRPr="00F61547" w:rsidRDefault="00F61547" w:rsidP="00F6154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Beneficiary</w:t>
            </w:r>
            <w:r w:rsidRPr="00F61547">
              <w:rPr>
                <w:rFonts w:ascii="Verdana" w:hAnsi="Verdana"/>
                <w:sz w:val="24"/>
                <w:szCs w:val="24"/>
              </w:rPr>
              <w:t xml:space="preserve"> MPDP ID number </w:t>
            </w:r>
          </w:p>
          <w:p w14:paraId="71E25104" w14:textId="5F9AFA14" w:rsidR="00F61547" w:rsidRPr="00F61547" w:rsidRDefault="00F61547" w:rsidP="00F6154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Beneficiary</w:t>
            </w:r>
            <w:r w:rsidRPr="00F61547">
              <w:rPr>
                <w:rFonts w:ascii="Verdana" w:hAnsi="Verdana"/>
                <w:sz w:val="24"/>
                <w:szCs w:val="24"/>
              </w:rPr>
              <w:t xml:space="preserve"> Date of Birth</w:t>
            </w:r>
          </w:p>
          <w:p w14:paraId="124B0336" w14:textId="7A808153" w:rsidR="00F61547" w:rsidRPr="00F61547" w:rsidRDefault="00F61547" w:rsidP="00F6154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Beneficiary</w:t>
            </w:r>
            <w:r w:rsidRPr="00F61547">
              <w:rPr>
                <w:rFonts w:ascii="Verdana" w:hAnsi="Verdana"/>
                <w:sz w:val="24"/>
                <w:szCs w:val="24"/>
              </w:rPr>
              <w:t xml:space="preserve"> Signature </w:t>
            </w:r>
          </w:p>
          <w:p w14:paraId="62C6F2BA" w14:textId="77777777" w:rsidR="00F61547" w:rsidRPr="00F61547" w:rsidRDefault="00F61547" w:rsidP="00F6154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F61547">
              <w:rPr>
                <w:rFonts w:ascii="Verdana" w:hAnsi="Verdana"/>
                <w:sz w:val="24"/>
                <w:szCs w:val="24"/>
              </w:rPr>
              <w:t xml:space="preserve">Date of written request </w:t>
            </w:r>
          </w:p>
          <w:p w14:paraId="055AA7AF" w14:textId="77777777" w:rsidR="00F61547" w:rsidRPr="00F61547" w:rsidRDefault="00F61547" w:rsidP="00F6154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F61547">
              <w:rPr>
                <w:rFonts w:ascii="Verdana" w:hAnsi="Verdana"/>
                <w:sz w:val="24"/>
                <w:szCs w:val="24"/>
              </w:rPr>
              <w:t xml:space="preserve">Reason for disenrollment </w:t>
            </w:r>
          </w:p>
          <w:p w14:paraId="7047AE3B" w14:textId="77777777" w:rsidR="00DE7A25" w:rsidRPr="00DE7A25" w:rsidRDefault="00DE7A25" w:rsidP="00DE7A25">
            <w:pPr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226D8E" w:rsidRPr="00DE7A25" w14:paraId="52D20DDF" w14:textId="77777777" w:rsidTr="00226D8E">
        <w:trPr>
          <w:trHeight w:val="20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92CB" w14:textId="6E6D87FF" w:rsidR="00DE7A25" w:rsidRPr="00DE7A25" w:rsidRDefault="00226D8E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3</w:t>
            </w:r>
          </w:p>
          <w:p w14:paraId="64A25A9A" w14:textId="77777777" w:rsidR="00DE7A25" w:rsidRPr="00DE7A25" w:rsidRDefault="00DE7A25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2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07F7" w14:textId="684BCB86" w:rsidR="00F61547" w:rsidRDefault="00F61547" w:rsidP="00F61547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 xml:space="preserve">Advise the caller: </w:t>
            </w:r>
          </w:p>
          <w:p w14:paraId="3ECBB17E" w14:textId="77777777" w:rsidR="00F61547" w:rsidRPr="00F61547" w:rsidRDefault="00F61547" w:rsidP="00F61547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6817D26B" w14:textId="77777777" w:rsidR="00F61547" w:rsidRDefault="00EC2248" w:rsidP="00F61547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pict w14:anchorId="1E813144">
                <v:shape id="_x0000_i1027" type="#_x0000_t75" style="width:18.4pt;height:16.75pt;visibility:visible;mso-wrap-style:square" o:bullet="t">
                  <v:imagedata r:id="rId9" o:title=""/>
                </v:shape>
              </w:pict>
            </w:r>
            <w:r w:rsidR="00F61547">
              <w:rPr>
                <w:rFonts w:ascii="Verdana" w:hAnsi="Verdana"/>
                <w:color w:val="000000"/>
                <w:sz w:val="24"/>
                <w:szCs w:val="24"/>
              </w:rPr>
              <w:t xml:space="preserve">  </w:t>
            </w:r>
          </w:p>
          <w:p w14:paraId="11BCED69" w14:textId="2F0A7729" w:rsidR="00F61547" w:rsidRPr="00F61547" w:rsidRDefault="00F61547" w:rsidP="00F61547">
            <w:pPr>
              <w:pStyle w:val="ListParagraph"/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 xml:space="preserve">You can disenroll at any time by submitting your request in writing to: </w:t>
            </w:r>
          </w:p>
          <w:p w14:paraId="2FFD446B" w14:textId="77777777" w:rsidR="00F61547" w:rsidRDefault="00F61547" w:rsidP="00F61547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49472AEA" w14:textId="77777777" w:rsidR="00F61547" w:rsidRPr="00F61547" w:rsidRDefault="00F61547" w:rsidP="00F61547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F61547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lastRenderedPageBreak/>
              <w:t>FEP Medicare Prescription Drug Program Enrollment</w:t>
            </w:r>
          </w:p>
          <w:p w14:paraId="1324E8BB" w14:textId="0A00F8DD" w:rsidR="00F61547" w:rsidRDefault="00F61547" w:rsidP="00F6154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>PO Box 3539</w:t>
            </w:r>
          </w:p>
          <w:p w14:paraId="5A8669B1" w14:textId="5FDC9487" w:rsidR="00F61547" w:rsidRDefault="00F61547" w:rsidP="00F6154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>Scranton, PA 18505</w:t>
            </w:r>
          </w:p>
          <w:p w14:paraId="2C3AD6B6" w14:textId="77777777" w:rsidR="00F61547" w:rsidRPr="00F61547" w:rsidRDefault="00F61547" w:rsidP="00F6154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21DA11D7" w14:textId="2C6362B6" w:rsidR="00F61547" w:rsidRDefault="00F61547" w:rsidP="00F6154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proofErr w:type="gramStart"/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>As long as</w:t>
            </w:r>
            <w:proofErr w:type="gramEnd"/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 xml:space="preserve"> the disenrollment request is received by the end of the month, the disenrollment will be effective the first of the following month. </w:t>
            </w:r>
            <w:proofErr w:type="spellStart"/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>Disenrollments</w:t>
            </w:r>
            <w:proofErr w:type="spellEnd"/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 xml:space="preserve"> are finalized once confirmed by Medicare. </w:t>
            </w:r>
          </w:p>
          <w:p w14:paraId="7BCEB2AF" w14:textId="77777777" w:rsidR="00F61547" w:rsidRPr="00F61547" w:rsidRDefault="00F61547" w:rsidP="00F61547">
            <w:pPr>
              <w:pStyle w:val="ListParagraph"/>
              <w:spacing w:after="0" w:line="240" w:lineRule="auto"/>
              <w:ind w:left="1080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719198C5" w14:textId="1F2321F2" w:rsidR="00F61547" w:rsidRPr="00F61547" w:rsidRDefault="00F61547" w:rsidP="00F6154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 xml:space="preserve">Would you like the fax number to submit your written disenrollment request? </w:t>
            </w:r>
          </w:p>
          <w:p w14:paraId="799EA5DD" w14:textId="0D25D2FB" w:rsidR="00F61547" w:rsidRPr="00F61547" w:rsidRDefault="00F61547" w:rsidP="00F6154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 xml:space="preserve">Fax number for written request submission: </w:t>
            </w:r>
            <w:r w:rsidRPr="00CA3D4E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1-855-865-1817</w:t>
            </w:r>
            <w:r w:rsidR="00CA3D4E" w:rsidRPr="00CA3D4E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437AA328" w14:textId="77777777" w:rsidR="00DE7A25" w:rsidRPr="00DE7A25" w:rsidRDefault="00DE7A25" w:rsidP="00DE7A25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F61547" w:rsidRPr="00DE7A25" w14:paraId="7A60FF19" w14:textId="77777777" w:rsidTr="00226D8E">
        <w:trPr>
          <w:trHeight w:val="20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5C196" w14:textId="5CE0B008" w:rsidR="00F61547" w:rsidRPr="00DE7A25" w:rsidRDefault="00226D8E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B604" w14:textId="7BC69E48" w:rsidR="00F61547" w:rsidRDefault="00F61547" w:rsidP="00F61547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A</w:t>
            </w: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>dvise the caller of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turnaround time</w:t>
            </w: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 xml:space="preserve">: </w:t>
            </w:r>
          </w:p>
          <w:p w14:paraId="6A786C95" w14:textId="77777777" w:rsidR="00F61547" w:rsidRPr="00F61547" w:rsidRDefault="00F61547" w:rsidP="00F61547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69E38B6F" w14:textId="31BB7746" w:rsidR="00F61547" w:rsidRDefault="00EC2248" w:rsidP="00F61547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pict w14:anchorId="3F657161">
                <v:shape id="_x0000_i1028" type="#_x0000_t75" style="width:18.4pt;height:16.75pt;visibility:visible;mso-wrap-style:square">
                  <v:imagedata r:id="rId9" o:title=""/>
                </v:shape>
              </w:pict>
            </w:r>
            <w:r w:rsidR="00F61547">
              <w:rPr>
                <w:rFonts w:ascii="Verdana" w:hAnsi="Verdana"/>
                <w:color w:val="000000"/>
                <w:sz w:val="24"/>
                <w:szCs w:val="24"/>
              </w:rPr>
              <w:t xml:space="preserve">  </w:t>
            </w:r>
          </w:p>
          <w:p w14:paraId="369D55A4" w14:textId="666FBA6F" w:rsidR="00F61547" w:rsidRDefault="00F61547" w:rsidP="00F6154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>The disenrollment process turnaround time expectation is for it to take 2-3 weeks from the time the</w:t>
            </w:r>
            <w:r w:rsidR="00CA3D4E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 xml:space="preserve">request is submitted. </w:t>
            </w:r>
          </w:p>
          <w:p w14:paraId="632C975C" w14:textId="0AE6CB1B" w:rsidR="00F61547" w:rsidRPr="00F61547" w:rsidRDefault="00F61547" w:rsidP="00F6154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 xml:space="preserve">Due to the request being submitted in writing, we will not be able to check the status of the request until notification is sent from FEP to the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beneficiary</w:t>
            </w: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 xml:space="preserve">. </w:t>
            </w:r>
          </w:p>
          <w:p w14:paraId="7B2C13C2" w14:textId="0A754742" w:rsidR="00F61547" w:rsidRDefault="00F61547" w:rsidP="00F6154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 xml:space="preserve">CMS (Center for Medicaid and Medicare Service) must approve the request </w:t>
            </w:r>
            <w:r w:rsidR="00CA3D4E">
              <w:rPr>
                <w:rFonts w:ascii="Verdana" w:hAnsi="Verdana"/>
                <w:color w:val="000000"/>
                <w:sz w:val="24"/>
                <w:szCs w:val="24"/>
              </w:rPr>
              <w:t>for</w:t>
            </w: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 xml:space="preserve"> disenrollment. </w:t>
            </w:r>
          </w:p>
          <w:p w14:paraId="40B79171" w14:textId="6972F163" w:rsidR="00F61547" w:rsidRPr="00F61547" w:rsidRDefault="00F61547" w:rsidP="00F6154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 xml:space="preserve">Once the enrollment team receives approval from CMS, a </w:t>
            </w:r>
            <w:hyperlink r:id="rId11" w:anchor="!/view?docid=d18a5c81-37c6-424b-b722-dfb8381bbef2" w:history="1">
              <w:r w:rsidRPr="00EC2248">
                <w:rPr>
                  <w:rStyle w:val="Hyperlink"/>
                  <w:rFonts w:ascii="Verdana" w:hAnsi="Verdana"/>
                  <w:sz w:val="24"/>
                  <w:szCs w:val="24"/>
                </w:rPr>
                <w:t>disenrollment confirmation letter</w:t>
              </w:r>
            </w:hyperlink>
            <w:r w:rsidRPr="00F61547">
              <w:rPr>
                <w:rFonts w:ascii="Verdana" w:hAnsi="Verdana"/>
                <w:color w:val="000000"/>
                <w:sz w:val="24"/>
                <w:szCs w:val="24"/>
              </w:rPr>
              <w:t xml:space="preserve"> will be sent. </w:t>
            </w:r>
          </w:p>
          <w:p w14:paraId="67850A7D" w14:textId="5A9679FC" w:rsidR="00F61547" w:rsidRPr="0057604D" w:rsidRDefault="0057604D" w:rsidP="0057604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Y</w:t>
            </w:r>
            <w:r w:rsidR="00F61547" w:rsidRPr="0057604D">
              <w:rPr>
                <w:rFonts w:ascii="Verdana" w:hAnsi="Verdana"/>
                <w:color w:val="000000"/>
                <w:sz w:val="24"/>
                <w:szCs w:val="24"/>
              </w:rPr>
              <w:t xml:space="preserve">ou will receive a letter confirming your request to disenroll in the plan within 15 business days upon receipt of your written request. </w:t>
            </w:r>
          </w:p>
          <w:p w14:paraId="7911AD7E" w14:textId="05A28D9C" w:rsidR="00F61547" w:rsidRDefault="00F61547" w:rsidP="0057604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57604D">
              <w:rPr>
                <w:rFonts w:ascii="Verdana" w:hAnsi="Verdana"/>
                <w:color w:val="000000"/>
                <w:sz w:val="24"/>
                <w:szCs w:val="24"/>
              </w:rPr>
              <w:t xml:space="preserve">Once </w:t>
            </w:r>
            <w:r w:rsidR="00CA3D4E">
              <w:rPr>
                <w:rFonts w:ascii="Verdana" w:hAnsi="Verdana"/>
                <w:color w:val="000000"/>
                <w:sz w:val="24"/>
                <w:szCs w:val="24"/>
              </w:rPr>
              <w:t>you have been disenrolled,</w:t>
            </w:r>
            <w:r w:rsidRPr="0057604D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="00CA3D4E">
              <w:rPr>
                <w:rFonts w:ascii="Verdana" w:hAnsi="Verdana"/>
                <w:color w:val="000000"/>
                <w:sz w:val="24"/>
                <w:szCs w:val="24"/>
              </w:rPr>
              <w:t>you</w:t>
            </w:r>
            <w:r w:rsidRPr="0057604D">
              <w:rPr>
                <w:rFonts w:ascii="Verdana" w:hAnsi="Verdana"/>
                <w:color w:val="000000"/>
                <w:sz w:val="24"/>
                <w:szCs w:val="24"/>
              </w:rPr>
              <w:t xml:space="preserve"> will be automatically enrolled back into the traditional FEP Commercial pharmacy benefit, effective the 1st of the following month.</w:t>
            </w:r>
          </w:p>
          <w:p w14:paraId="7D6081D0" w14:textId="72E93E8D" w:rsidR="0057604D" w:rsidRPr="0057604D" w:rsidRDefault="0057604D" w:rsidP="0057604D">
            <w:pPr>
              <w:pStyle w:val="ListParagraph"/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57604D" w:rsidRPr="00DE7A25" w14:paraId="64C377CD" w14:textId="77777777" w:rsidTr="00226D8E">
        <w:trPr>
          <w:trHeight w:val="20"/>
        </w:trPr>
        <w:tc>
          <w:tcPr>
            <w:tcW w:w="19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BAD83F" w14:textId="24E16BFD" w:rsidR="0057604D" w:rsidRDefault="00226D8E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5</w:t>
            </w:r>
          </w:p>
        </w:tc>
        <w:tc>
          <w:tcPr>
            <w:tcW w:w="2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567D" w14:textId="77777777" w:rsidR="0057604D" w:rsidRPr="0057604D" w:rsidRDefault="0057604D" w:rsidP="0057604D">
            <w:pPr>
              <w:spacing w:after="0" w:line="240" w:lineRule="atLeast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57604D">
              <w:rPr>
                <w:rFonts w:ascii="Verdana" w:eastAsia="Times New Roman" w:hAnsi="Verdana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78B985C" wp14:editId="6160B593">
                  <wp:extent cx="238125" cy="2095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7604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 </w:t>
            </w:r>
            <w:r w:rsidRPr="0057604D">
              <w:rPr>
                <w:rFonts w:ascii="Verdana" w:eastAsia="Times New Roman" w:hAnsi="Verdana" w:cs="Arial"/>
                <w:bCs/>
                <w:sz w:val="24"/>
                <w:szCs w:val="24"/>
              </w:rPr>
              <w:t>Did you have any questions on the information I have provided you today?</w:t>
            </w:r>
          </w:p>
          <w:p w14:paraId="3106965F" w14:textId="3658D0F9" w:rsidR="0057604D" w:rsidRDefault="0057604D" w:rsidP="00F61547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57604D" w:rsidRPr="00DE7A25" w14:paraId="07335FD1" w14:textId="77777777" w:rsidTr="00226D8E">
        <w:trPr>
          <w:trHeight w:val="20"/>
        </w:trPr>
        <w:tc>
          <w:tcPr>
            <w:tcW w:w="19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02F846" w14:textId="77777777" w:rsidR="0057604D" w:rsidRDefault="0057604D" w:rsidP="0057604D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5065" w:type="dxa"/>
            <w:tcBorders>
              <w:left w:val="single" w:sz="4" w:space="0" w:color="auto"/>
            </w:tcBorders>
            <w:shd w:val="pct10" w:color="auto" w:fill="auto"/>
          </w:tcPr>
          <w:p w14:paraId="2CFB4DDA" w14:textId="2963A309" w:rsidR="0057604D" w:rsidRPr="0057604D" w:rsidRDefault="0057604D" w:rsidP="0057604D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57604D">
              <w:rPr>
                <w:rFonts w:ascii="Verdana" w:hAnsi="Verdana" w:cs="Verdana"/>
                <w:b/>
                <w:sz w:val="24"/>
                <w:szCs w:val="24"/>
              </w:rPr>
              <w:t>If…</w:t>
            </w:r>
          </w:p>
        </w:tc>
        <w:tc>
          <w:tcPr>
            <w:tcW w:w="23655" w:type="dxa"/>
            <w:gridSpan w:val="2"/>
            <w:shd w:val="pct10" w:color="auto" w:fill="auto"/>
          </w:tcPr>
          <w:p w14:paraId="3FE6756B" w14:textId="6E726BAE" w:rsidR="0057604D" w:rsidRPr="0057604D" w:rsidRDefault="0057604D" w:rsidP="0057604D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57604D">
              <w:rPr>
                <w:rFonts w:ascii="Verdana" w:hAnsi="Verdana" w:cs="Verdana"/>
                <w:b/>
                <w:sz w:val="24"/>
                <w:szCs w:val="24"/>
              </w:rPr>
              <w:t>Then…</w:t>
            </w:r>
          </w:p>
        </w:tc>
      </w:tr>
      <w:tr w:rsidR="0057604D" w:rsidRPr="00DE7A25" w14:paraId="24CAC740" w14:textId="77777777" w:rsidTr="00226D8E">
        <w:trPr>
          <w:trHeight w:val="20"/>
        </w:trPr>
        <w:tc>
          <w:tcPr>
            <w:tcW w:w="19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D09920" w14:textId="77777777" w:rsidR="0057604D" w:rsidRDefault="0057604D" w:rsidP="0057604D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5065" w:type="dxa"/>
            <w:tcBorders>
              <w:left w:val="single" w:sz="4" w:space="0" w:color="auto"/>
            </w:tcBorders>
            <w:shd w:val="clear" w:color="auto" w:fill="auto"/>
          </w:tcPr>
          <w:p w14:paraId="3699E321" w14:textId="77777777" w:rsidR="0057604D" w:rsidRPr="0057604D" w:rsidRDefault="0057604D" w:rsidP="0057604D">
            <w:pPr>
              <w:spacing w:line="240" w:lineRule="atLeast"/>
              <w:textAlignment w:val="top"/>
              <w:rPr>
                <w:rFonts w:ascii="Verdana" w:hAnsi="Verdana" w:cs="Verdana"/>
                <w:sz w:val="24"/>
                <w:szCs w:val="24"/>
              </w:rPr>
            </w:pPr>
            <w:r w:rsidRPr="0057604D">
              <w:rPr>
                <w:rFonts w:ascii="Verdana" w:hAnsi="Verdana" w:cs="Verdana"/>
                <w:sz w:val="24"/>
                <w:szCs w:val="24"/>
              </w:rPr>
              <w:t>Yes</w:t>
            </w:r>
          </w:p>
          <w:p w14:paraId="688F2076" w14:textId="77777777" w:rsidR="0057604D" w:rsidRPr="0057604D" w:rsidRDefault="0057604D" w:rsidP="0057604D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23655" w:type="dxa"/>
            <w:gridSpan w:val="2"/>
            <w:shd w:val="clear" w:color="auto" w:fill="auto"/>
          </w:tcPr>
          <w:p w14:paraId="7CB6F54C" w14:textId="1F225E31" w:rsidR="0057604D" w:rsidRPr="0057604D" w:rsidRDefault="0057604D" w:rsidP="0057604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 xml:space="preserve">For </w:t>
            </w:r>
            <w:r w:rsidRPr="0057604D">
              <w:rPr>
                <w:rFonts w:ascii="Verdana" w:hAnsi="Verdana" w:cs="Verdana"/>
                <w:sz w:val="24"/>
                <w:szCs w:val="24"/>
              </w:rPr>
              <w:t>questions related to enrollment changes or status outside of the information provided above, use the following process:</w:t>
            </w:r>
          </w:p>
          <w:p w14:paraId="759468D1" w14:textId="77777777" w:rsidR="00CA3D4E" w:rsidRDefault="0057604D" w:rsidP="0057604D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Verdana" w:hAnsi="Verdana" w:cs="Verdana"/>
                <w:sz w:val="24"/>
                <w:szCs w:val="24"/>
              </w:rPr>
            </w:pPr>
            <w:r w:rsidRPr="0057604D">
              <w:rPr>
                <w:rFonts w:ascii="Verdana" w:hAnsi="Verdana" w:cs="Verdana"/>
                <w:sz w:val="24"/>
                <w:szCs w:val="24"/>
              </w:rPr>
              <w:t xml:space="preserve">Warm transfer any calls related to FEP MPDP Enrollment changes or status use the speed dial pull down and </w:t>
            </w:r>
            <w:r w:rsidRPr="0057604D">
              <w:rPr>
                <w:rFonts w:ascii="Verdana" w:hAnsi="Verdana" w:cs="Verdana"/>
                <w:sz w:val="24"/>
                <w:szCs w:val="24"/>
              </w:rPr>
              <w:lastRenderedPageBreak/>
              <w:t xml:space="preserve">select the Speed code </w:t>
            </w:r>
            <w:r w:rsidRPr="0057604D">
              <w:rPr>
                <w:rFonts w:ascii="Verdana" w:hAnsi="Verdana" w:cs="Verdana"/>
                <w:b/>
                <w:bCs/>
                <w:sz w:val="24"/>
                <w:szCs w:val="24"/>
              </w:rPr>
              <w:t>354</w:t>
            </w:r>
            <w:r w:rsidRPr="0057604D">
              <w:rPr>
                <w:rFonts w:ascii="Verdana" w:hAnsi="Verdana" w:cs="Verdana"/>
                <w:sz w:val="24"/>
                <w:szCs w:val="24"/>
              </w:rPr>
              <w:t xml:space="preserve">, which will transfer the call to the enrollment vendor. </w:t>
            </w:r>
          </w:p>
          <w:p w14:paraId="11ED5C33" w14:textId="34C5BF9E" w:rsidR="0057604D" w:rsidRDefault="00CA3D4E" w:rsidP="0057604D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If there are a</w:t>
            </w:r>
            <w:r w:rsidR="0057604D" w:rsidRPr="0057604D">
              <w:rPr>
                <w:rFonts w:ascii="Verdana" w:hAnsi="Verdana" w:cs="Verdana"/>
                <w:sz w:val="24"/>
                <w:szCs w:val="24"/>
              </w:rPr>
              <w:t xml:space="preserve">ny issues with the speed code, dial </w:t>
            </w:r>
            <w:r w:rsidR="0057604D" w:rsidRPr="0057604D">
              <w:rPr>
                <w:rFonts w:ascii="Verdana" w:hAnsi="Verdana" w:cs="Verdana"/>
                <w:b/>
                <w:bCs/>
                <w:sz w:val="24"/>
                <w:szCs w:val="24"/>
              </w:rPr>
              <w:t>1-833-968-0606</w:t>
            </w:r>
            <w:r w:rsidR="0057604D" w:rsidRPr="0057604D">
              <w:rPr>
                <w:rFonts w:ascii="Verdana" w:hAnsi="Verdana" w:cs="Verdana"/>
                <w:sz w:val="24"/>
                <w:szCs w:val="24"/>
              </w:rPr>
              <w:t xml:space="preserve"> (</w:t>
            </w:r>
            <w:r w:rsidR="0057604D" w:rsidRPr="0057604D">
              <w:rPr>
                <w:rFonts w:ascii="Verdana" w:hAnsi="Verdana" w:cs="Verdana"/>
                <w:b/>
                <w:bCs/>
                <w:sz w:val="24"/>
                <w:szCs w:val="24"/>
              </w:rPr>
              <w:t>Internal Number</w:t>
            </w:r>
            <w:r w:rsidR="0057604D">
              <w:rPr>
                <w:rFonts w:ascii="Verdana" w:hAnsi="Verdana" w:cs="Verdana"/>
                <w:b/>
                <w:bCs/>
                <w:sz w:val="24"/>
                <w:szCs w:val="24"/>
              </w:rPr>
              <w:t xml:space="preserve"> Only</w:t>
            </w:r>
            <w:r w:rsidRPr="00CA3D4E">
              <w:rPr>
                <w:rFonts w:ascii="Verdana" w:hAnsi="Verdana" w:cs="Verdana"/>
                <w:sz w:val="24"/>
                <w:szCs w:val="24"/>
              </w:rPr>
              <w:t xml:space="preserve">. </w:t>
            </w:r>
            <w:r w:rsidR="0057604D" w:rsidRPr="0057604D">
              <w:rPr>
                <w:rFonts w:ascii="Verdana" w:hAnsi="Verdana" w:cs="Verdana"/>
                <w:sz w:val="24"/>
                <w:szCs w:val="24"/>
              </w:rPr>
              <w:t>Do not</w:t>
            </w:r>
            <w:r w:rsidR="0057604D">
              <w:rPr>
                <w:rFonts w:ascii="Verdana" w:hAnsi="Verdana" w:cs="Verdana"/>
                <w:sz w:val="24"/>
                <w:szCs w:val="24"/>
              </w:rPr>
              <w:t xml:space="preserve"> give</w:t>
            </w:r>
            <w:r w:rsidR="0057604D" w:rsidRPr="0057604D">
              <w:rPr>
                <w:rFonts w:ascii="Verdana" w:hAnsi="Verdana" w:cs="Verdana"/>
                <w:sz w:val="24"/>
                <w:szCs w:val="24"/>
              </w:rPr>
              <w:t xml:space="preserve"> to callers). </w:t>
            </w:r>
          </w:p>
          <w:p w14:paraId="168964A4" w14:textId="77777777" w:rsidR="0057604D" w:rsidRPr="0057604D" w:rsidRDefault="0057604D" w:rsidP="0057604D">
            <w:pPr>
              <w:pStyle w:val="ListParagraph"/>
              <w:spacing w:after="0" w:line="240" w:lineRule="auto"/>
              <w:ind w:left="1440"/>
              <w:rPr>
                <w:rFonts w:ascii="Verdana" w:hAnsi="Verdana" w:cs="Verdana"/>
                <w:sz w:val="24"/>
                <w:szCs w:val="24"/>
              </w:rPr>
            </w:pPr>
          </w:p>
          <w:p w14:paraId="3971A4E5" w14:textId="42AB19BC" w:rsidR="0057604D" w:rsidRDefault="0057604D" w:rsidP="0057604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For future use, p</w:t>
            </w:r>
            <w:r w:rsidRPr="0057604D">
              <w:rPr>
                <w:rFonts w:ascii="Verdana" w:hAnsi="Verdana" w:cs="Verdana"/>
                <w:sz w:val="24"/>
                <w:szCs w:val="24"/>
              </w:rPr>
              <w:t>rovide the FEP MPDP</w:t>
            </w:r>
            <w:r>
              <w:rPr>
                <w:rFonts w:ascii="Verdana" w:hAnsi="Verdana" w:cs="Verdana"/>
                <w:sz w:val="24"/>
                <w:szCs w:val="24"/>
              </w:rPr>
              <w:t xml:space="preserve"> number,</w:t>
            </w:r>
            <w:r w:rsidRPr="0057604D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57604D">
              <w:rPr>
                <w:rFonts w:ascii="Verdana" w:hAnsi="Verdana" w:cs="Verdana"/>
                <w:b/>
                <w:bCs/>
                <w:sz w:val="24"/>
                <w:szCs w:val="24"/>
              </w:rPr>
              <w:t xml:space="preserve">1-888-338-7737 </w:t>
            </w:r>
            <w:r>
              <w:rPr>
                <w:rFonts w:ascii="Verdana" w:hAnsi="Verdana" w:cs="Verdana"/>
                <w:sz w:val="24"/>
                <w:szCs w:val="24"/>
              </w:rPr>
              <w:t>and</w:t>
            </w:r>
            <w:r w:rsidRPr="0057604D">
              <w:rPr>
                <w:rFonts w:ascii="Verdana" w:hAnsi="Verdana" w:cs="Verdana"/>
                <w:sz w:val="24"/>
                <w:szCs w:val="24"/>
              </w:rPr>
              <w:t xml:space="preserve"> advise </w:t>
            </w:r>
            <w:r>
              <w:rPr>
                <w:rFonts w:ascii="Verdana" w:hAnsi="Verdana" w:cs="Verdana"/>
                <w:sz w:val="24"/>
                <w:szCs w:val="24"/>
              </w:rPr>
              <w:t xml:space="preserve">that </w:t>
            </w:r>
            <w:r w:rsidRPr="0057604D">
              <w:rPr>
                <w:rFonts w:ascii="Verdana" w:hAnsi="Verdana" w:cs="Verdana"/>
                <w:sz w:val="24"/>
                <w:szCs w:val="24"/>
              </w:rPr>
              <w:t xml:space="preserve">they can select </w:t>
            </w:r>
            <w:r w:rsidR="00CA3D4E">
              <w:rPr>
                <w:rFonts w:ascii="Verdana" w:hAnsi="Verdana" w:cs="Verdana"/>
                <w:sz w:val="24"/>
                <w:szCs w:val="24"/>
              </w:rPr>
              <w:t xml:space="preserve">the </w:t>
            </w:r>
            <w:r w:rsidRPr="0057604D">
              <w:rPr>
                <w:rFonts w:ascii="Verdana" w:hAnsi="Verdana" w:cs="Verdana"/>
                <w:sz w:val="24"/>
                <w:szCs w:val="24"/>
              </w:rPr>
              <w:t>enrollment option</w:t>
            </w:r>
            <w:r w:rsidR="00CA3D4E">
              <w:rPr>
                <w:rFonts w:ascii="Verdana" w:hAnsi="Verdana" w:cs="Verdana"/>
                <w:sz w:val="24"/>
                <w:szCs w:val="24"/>
              </w:rPr>
              <w:t>,</w:t>
            </w:r>
            <w:r w:rsidRPr="0057604D">
              <w:rPr>
                <w:rFonts w:ascii="Verdana" w:hAnsi="Verdana" w:cs="Verdana"/>
                <w:sz w:val="24"/>
                <w:szCs w:val="24"/>
              </w:rPr>
              <w:t xml:space="preserve"> as needed. </w:t>
            </w:r>
          </w:p>
          <w:p w14:paraId="59F6C01B" w14:textId="39071B5D" w:rsidR="0057604D" w:rsidRPr="0057604D" w:rsidRDefault="0057604D" w:rsidP="0057604D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Verdana" w:hAnsi="Verdana" w:cs="Verdana"/>
                <w:sz w:val="24"/>
                <w:szCs w:val="24"/>
              </w:rPr>
            </w:pPr>
            <w:r w:rsidRPr="0057604D">
              <w:rPr>
                <w:rFonts w:ascii="Verdana" w:hAnsi="Verdana" w:cs="Verdana"/>
                <w:sz w:val="24"/>
                <w:szCs w:val="24"/>
              </w:rPr>
              <w:t xml:space="preserve">Enrollment vendor hours are </w:t>
            </w:r>
            <w:r w:rsidRPr="0057604D">
              <w:rPr>
                <w:rFonts w:ascii="Verdana" w:hAnsi="Verdana" w:cs="Verdana"/>
                <w:b/>
                <w:bCs/>
                <w:sz w:val="24"/>
                <w:szCs w:val="24"/>
              </w:rPr>
              <w:t>8a</w:t>
            </w: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 xml:space="preserve">m </w:t>
            </w:r>
            <w:r w:rsidRPr="0057604D">
              <w:rPr>
                <w:rFonts w:ascii="Verdana" w:hAnsi="Verdana" w:cs="Verdana"/>
                <w:b/>
                <w:bCs/>
                <w:sz w:val="24"/>
                <w:szCs w:val="24"/>
              </w:rPr>
              <w:t>-</w:t>
            </w: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 xml:space="preserve"> </w:t>
            </w:r>
            <w:r w:rsidRPr="0057604D">
              <w:rPr>
                <w:rFonts w:ascii="Verdana" w:hAnsi="Verdana" w:cs="Verdana"/>
                <w:b/>
                <w:bCs/>
                <w:sz w:val="24"/>
                <w:szCs w:val="24"/>
              </w:rPr>
              <w:t>6pm</w:t>
            </w:r>
            <w:r w:rsidR="00CA3D4E">
              <w:rPr>
                <w:rFonts w:ascii="Verdana" w:hAnsi="Verdana" w:cs="Verdana"/>
                <w:b/>
                <w:bCs/>
                <w:sz w:val="24"/>
                <w:szCs w:val="24"/>
              </w:rPr>
              <w:t>,</w:t>
            </w:r>
            <w:r w:rsidRPr="0057604D">
              <w:rPr>
                <w:rFonts w:ascii="Verdana" w:hAnsi="Verdana" w:cs="Verdana"/>
                <w:b/>
                <w:bCs/>
                <w:sz w:val="24"/>
                <w:szCs w:val="24"/>
              </w:rPr>
              <w:t xml:space="preserve"> Monday-Friday EST</w:t>
            </w:r>
            <w:r w:rsidRPr="0057604D">
              <w:rPr>
                <w:rFonts w:ascii="Verdana" w:hAnsi="Verdana" w:cs="Verdana"/>
                <w:sz w:val="24"/>
                <w:szCs w:val="24"/>
              </w:rPr>
              <w:t xml:space="preserve"> </w:t>
            </w:r>
          </w:p>
          <w:p w14:paraId="23A8A5CD" w14:textId="1B98767E" w:rsidR="0057604D" w:rsidRPr="0057604D" w:rsidRDefault="0057604D" w:rsidP="0057604D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Verdana" w:hAnsi="Verdana" w:cs="Verdana"/>
                <w:sz w:val="24"/>
                <w:szCs w:val="24"/>
              </w:rPr>
            </w:pPr>
            <w:r w:rsidRPr="00226D8E">
              <w:rPr>
                <w:rFonts w:ascii="Verdana" w:hAnsi="Verdana" w:cs="Verdana"/>
                <w:b/>
                <w:bCs/>
                <w:sz w:val="24"/>
                <w:szCs w:val="24"/>
              </w:rPr>
              <w:t>After hours process:</w:t>
            </w:r>
            <w:r w:rsidRPr="0057604D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="00226D8E">
              <w:rPr>
                <w:rFonts w:ascii="Verdana" w:hAnsi="Verdana" w:cs="Verdana"/>
                <w:sz w:val="24"/>
                <w:szCs w:val="24"/>
              </w:rPr>
              <w:t>The A</w:t>
            </w:r>
            <w:r w:rsidR="00226D8E" w:rsidRPr="0057604D">
              <w:rPr>
                <w:rFonts w:ascii="Verdana" w:hAnsi="Verdana" w:cs="Verdana"/>
                <w:sz w:val="24"/>
                <w:szCs w:val="24"/>
              </w:rPr>
              <w:t>fterhours</w:t>
            </w:r>
            <w:r w:rsidRPr="0057604D">
              <w:rPr>
                <w:rFonts w:ascii="Verdana" w:hAnsi="Verdana" w:cs="Verdana"/>
                <w:sz w:val="24"/>
                <w:szCs w:val="24"/>
              </w:rPr>
              <w:t xml:space="preserve"> enrollment team has voicemail available. Voicemails are returned within 1 business day.</w:t>
            </w:r>
          </w:p>
          <w:p w14:paraId="55DD45C7" w14:textId="1B9AFB55" w:rsidR="0057604D" w:rsidRPr="0057604D" w:rsidRDefault="0057604D" w:rsidP="0057604D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57604D" w:rsidRPr="00DE7A25" w14:paraId="454BAF2C" w14:textId="77777777" w:rsidTr="00226D8E">
        <w:trPr>
          <w:trHeight w:val="20"/>
        </w:trPr>
        <w:tc>
          <w:tcPr>
            <w:tcW w:w="19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11A69" w14:textId="77777777" w:rsidR="0057604D" w:rsidRDefault="0057604D" w:rsidP="0057604D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5065" w:type="dxa"/>
            <w:tcBorders>
              <w:left w:val="single" w:sz="4" w:space="0" w:color="auto"/>
            </w:tcBorders>
            <w:shd w:val="clear" w:color="auto" w:fill="auto"/>
          </w:tcPr>
          <w:p w14:paraId="6BA8A246" w14:textId="77777777" w:rsidR="0057604D" w:rsidRPr="0057604D" w:rsidRDefault="0057604D" w:rsidP="0057604D">
            <w:pPr>
              <w:spacing w:line="240" w:lineRule="atLeast"/>
              <w:textAlignment w:val="top"/>
              <w:rPr>
                <w:rFonts w:ascii="Verdana" w:hAnsi="Verdana" w:cs="Verdana"/>
                <w:sz w:val="24"/>
                <w:szCs w:val="24"/>
              </w:rPr>
            </w:pPr>
            <w:r w:rsidRPr="0057604D">
              <w:rPr>
                <w:rFonts w:ascii="Verdana" w:hAnsi="Verdana" w:cs="Verdana"/>
                <w:sz w:val="24"/>
                <w:szCs w:val="24"/>
              </w:rPr>
              <w:t>No</w:t>
            </w:r>
          </w:p>
          <w:p w14:paraId="274F0C7B" w14:textId="77777777" w:rsidR="0057604D" w:rsidRPr="0057604D" w:rsidRDefault="0057604D" w:rsidP="0057604D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23655" w:type="dxa"/>
            <w:gridSpan w:val="2"/>
            <w:shd w:val="clear" w:color="auto" w:fill="auto"/>
          </w:tcPr>
          <w:p w14:paraId="7B199F76" w14:textId="5CCF1161" w:rsidR="0057604D" w:rsidRPr="0057604D" w:rsidRDefault="0057604D" w:rsidP="0057604D">
            <w:pPr>
              <w:textAlignment w:val="top"/>
              <w:rPr>
                <w:rFonts w:ascii="Verdana" w:hAnsi="Verdana"/>
                <w:b/>
                <w:sz w:val="24"/>
                <w:szCs w:val="24"/>
              </w:rPr>
            </w:pPr>
            <w:r w:rsidRPr="0057604D">
              <w:rPr>
                <w:rFonts w:ascii="Verdana" w:hAnsi="Verdana" w:cs="Verdana"/>
                <w:sz w:val="24"/>
                <w:szCs w:val="24"/>
              </w:rPr>
              <w:t>Document and close the call</w:t>
            </w:r>
            <w:r w:rsidR="00CA3D4E">
              <w:rPr>
                <w:rFonts w:ascii="Verdana" w:hAnsi="Verdana" w:cs="Verdana"/>
                <w:sz w:val="24"/>
                <w:szCs w:val="24"/>
              </w:rPr>
              <w:t xml:space="preserve">. </w:t>
            </w:r>
            <w:r w:rsidRPr="0057604D">
              <w:rPr>
                <w:rFonts w:ascii="Verdana" w:hAnsi="Verdana" w:cs="Verdana"/>
                <w:sz w:val="24"/>
                <w:szCs w:val="24"/>
              </w:rPr>
              <w:t xml:space="preserve">Refer to </w:t>
            </w:r>
            <w:hyperlink r:id="rId13" w:history="1">
              <w:r w:rsidRPr="0057604D">
                <w:rPr>
                  <w:rStyle w:val="Hyperlink"/>
                  <w:rFonts w:ascii="Verdana" w:hAnsi="Verdana"/>
                  <w:sz w:val="24"/>
                  <w:szCs w:val="24"/>
                </w:rPr>
                <w:t>MED D Call Documentation.</w:t>
              </w:r>
            </w:hyperlink>
          </w:p>
          <w:p w14:paraId="1E9E9876" w14:textId="77777777" w:rsidR="0057604D" w:rsidRPr="0057604D" w:rsidRDefault="0057604D" w:rsidP="0057604D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</w:tbl>
    <w:p w14:paraId="2A7E2B24" w14:textId="77777777" w:rsidR="00DE7A25" w:rsidRPr="00DE7A25" w:rsidRDefault="00DE7A25" w:rsidP="00DE7A25">
      <w:pPr>
        <w:spacing w:after="0" w:line="240" w:lineRule="auto"/>
        <w:jc w:val="right"/>
        <w:rPr>
          <w:rFonts w:ascii="Verdana" w:eastAsia="Times New Roman" w:hAnsi="Verdana"/>
          <w:sz w:val="24"/>
          <w:szCs w:val="24"/>
        </w:rPr>
      </w:pPr>
    </w:p>
    <w:p w14:paraId="6E52515A" w14:textId="1BBFACCD" w:rsidR="00DE7A25" w:rsidRDefault="00EC2248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="00DE7A25" w:rsidRPr="00DE7A25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  <w:bookmarkStart w:id="15" w:name="_Override_Reference_Table"/>
      <w:bookmarkEnd w:id="15"/>
      <w:r w:rsidR="00DE7A25" w:rsidRPr="00DE7A25">
        <w:rPr>
          <w:rFonts w:ascii="Verdana" w:hAnsi="Verdana"/>
          <w:sz w:val="24"/>
          <w:szCs w:val="24"/>
        </w:rPr>
        <w:t xml:space="preserve"> </w:t>
      </w:r>
    </w:p>
    <w:p w14:paraId="7F724108" w14:textId="77777777" w:rsidR="00DE7A25" w:rsidRPr="00DE7A25" w:rsidRDefault="00DE7A25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</w:p>
    <w:p w14:paraId="6707E2A1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Not To Be Reproduced </w:t>
      </w:r>
      <w:proofErr w:type="gramStart"/>
      <w:r>
        <w:rPr>
          <w:rFonts w:ascii="Verdana" w:hAnsi="Verdana"/>
          <w:sz w:val="16"/>
          <w:szCs w:val="16"/>
        </w:rPr>
        <w:t>Or</w:t>
      </w:r>
      <w:proofErr w:type="gramEnd"/>
      <w:r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348E1AEC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2834D808" w14:textId="77777777" w:rsidR="00466250" w:rsidRDefault="00466250"/>
    <w:sectPr w:rsidR="0046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29AB9" w14:textId="77777777" w:rsidR="003C232E" w:rsidRDefault="003C232E" w:rsidP="00DE7A25">
      <w:pPr>
        <w:spacing w:after="0" w:line="240" w:lineRule="auto"/>
      </w:pPr>
      <w:r>
        <w:separator/>
      </w:r>
    </w:p>
  </w:endnote>
  <w:endnote w:type="continuationSeparator" w:id="0">
    <w:p w14:paraId="2DF2D81A" w14:textId="77777777" w:rsidR="003C232E" w:rsidRDefault="003C232E" w:rsidP="00DE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Pro-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DDC01" w14:textId="77777777" w:rsidR="003C232E" w:rsidRDefault="003C232E" w:rsidP="00DE7A25">
      <w:pPr>
        <w:spacing w:after="0" w:line="240" w:lineRule="auto"/>
      </w:pPr>
      <w:r>
        <w:separator/>
      </w:r>
    </w:p>
  </w:footnote>
  <w:footnote w:type="continuationSeparator" w:id="0">
    <w:p w14:paraId="77E81744" w14:textId="77777777" w:rsidR="003C232E" w:rsidRDefault="003C232E" w:rsidP="00DE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660" type="#_x0000_t75" style="width:18.4pt;height:16.75pt;visibility:visible;mso-wrap-style:square" o:bullet="t">
        <v:imagedata r:id="rId1" o:title=""/>
      </v:shape>
    </w:pict>
  </w:numPicBullet>
  <w:abstractNum w:abstractNumId="0" w15:restartNumberingAfterBreak="0">
    <w:nsid w:val="00CE114A"/>
    <w:multiLevelType w:val="multilevel"/>
    <w:tmpl w:val="EA22AFE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D7110"/>
    <w:multiLevelType w:val="hybridMultilevel"/>
    <w:tmpl w:val="8C622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010D5"/>
    <w:multiLevelType w:val="hybridMultilevel"/>
    <w:tmpl w:val="9B6E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45CAF"/>
    <w:multiLevelType w:val="hybridMultilevel"/>
    <w:tmpl w:val="4E940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5950AB"/>
    <w:multiLevelType w:val="hybridMultilevel"/>
    <w:tmpl w:val="0164D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E22EE"/>
    <w:multiLevelType w:val="hybridMultilevel"/>
    <w:tmpl w:val="75082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D2BFE"/>
    <w:multiLevelType w:val="hybridMultilevel"/>
    <w:tmpl w:val="C076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947684">
    <w:abstractNumId w:val="5"/>
  </w:num>
  <w:num w:numId="2" w16cid:durableId="1849560655">
    <w:abstractNumId w:val="1"/>
  </w:num>
  <w:num w:numId="3" w16cid:durableId="1054543374">
    <w:abstractNumId w:val="6"/>
  </w:num>
  <w:num w:numId="4" w16cid:durableId="1486319835">
    <w:abstractNumId w:val="3"/>
  </w:num>
  <w:num w:numId="5" w16cid:durableId="1365906677">
    <w:abstractNumId w:val="2"/>
  </w:num>
  <w:num w:numId="6" w16cid:durableId="747114308">
    <w:abstractNumId w:val="4"/>
  </w:num>
  <w:num w:numId="7" w16cid:durableId="214573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5"/>
    <w:rsid w:val="00226D8E"/>
    <w:rsid w:val="003627BC"/>
    <w:rsid w:val="003C232E"/>
    <w:rsid w:val="00466250"/>
    <w:rsid w:val="0057604D"/>
    <w:rsid w:val="00756588"/>
    <w:rsid w:val="00B8456C"/>
    <w:rsid w:val="00CA3D4E"/>
    <w:rsid w:val="00CC5F5C"/>
    <w:rsid w:val="00DE7A25"/>
    <w:rsid w:val="00EC2248"/>
    <w:rsid w:val="00F61547"/>
    <w:rsid w:val="00FC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0007A"/>
  <w15:chartTrackingRefBased/>
  <w15:docId w15:val="{60E89FFD-15A8-4170-91CA-A795DB0B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4"/>
    <w:link w:val="Heading1Char"/>
    <w:qFormat/>
    <w:rsid w:val="00DE7A25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A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A25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E7A2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DE7A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E7A25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7565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65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6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uiPriority w:val="99"/>
    <w:rsid w:val="0057604D"/>
    <w:pPr>
      <w:widowControl w:val="0"/>
      <w:autoSpaceDE w:val="0"/>
      <w:autoSpaceDN w:val="0"/>
      <w:adjustRightInd w:val="0"/>
      <w:spacing w:after="0" w:line="280" w:lineRule="atLeast"/>
      <w:textAlignment w:val="center"/>
    </w:pPr>
    <w:rPr>
      <w:rFonts w:ascii="MyriadPro-Regular" w:eastAsia="Cambria" w:hAnsi="MyriadPro-Regular" w:cs="MyriadPro-Regular"/>
      <w:color w:val="000000"/>
      <w:sz w:val="24"/>
      <w:szCs w:val="24"/>
    </w:rPr>
  </w:style>
  <w:style w:type="numbering" w:customStyle="1" w:styleId="CurrentList1">
    <w:name w:val="Current List1"/>
    <w:uiPriority w:val="99"/>
    <w:rsid w:val="0057604D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pblue.org/medicarerx" TargetMode="External"/><Relationship Id="rId13" Type="http://schemas.openxmlformats.org/officeDocument/2006/relationships/hyperlink" Target="file:///C:\Users\Z101891\AppData\Local\Microsoft\Windows\INetCache\Content.Outlook\AppData\Local\Microsoft\Windows\INetCache\Content.Outlook\GDCCO52O\CMS-PRD1-06766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epblue.org/medicarer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449F0-684D-47AC-B53F-5753F2C6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773</Words>
  <Characters>4412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Kristoff, Angel T</cp:lastModifiedBy>
  <cp:revision>2</cp:revision>
  <dcterms:created xsi:type="dcterms:W3CDTF">2024-01-12T17:44:00Z</dcterms:created>
  <dcterms:modified xsi:type="dcterms:W3CDTF">2024-01-12T17:44:00Z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2022-07-27T16:42:24Z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7682c61f-a894-4012-bce7-ec5510cf36ea</vt:lpwstr>
  </property>
  <property fmtid="{D5CDD505-2E9C-101B-9397-08002B2CF9AE}" pid="8" name="MSIP_Label_67599526-06ca-49cc-9fa9-5307800a949a_ContentBits">
    <vt:lpwstr>0</vt:lpwstr>
  </property>
</Properties>
</file>