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E053C" w14:textId="20EDC876" w:rsidR="003B2986" w:rsidRDefault="008E507F" w:rsidP="00A9528D">
      <w:pPr>
        <w:pStyle w:val="Heading1"/>
        <w:spacing w:before="120" w:after="0"/>
        <w:rPr>
          <w:rFonts w:ascii="Verdana" w:hAnsi="Verdana"/>
          <w:color w:val="000000"/>
          <w:sz w:val="36"/>
          <w:szCs w:val="36"/>
        </w:rPr>
      </w:pPr>
      <w:bookmarkStart w:id="0" w:name="_top"/>
      <w:bookmarkStart w:id="1" w:name="_Hlk206676465"/>
      <w:bookmarkStart w:id="2" w:name="OLE_LINK4"/>
      <w:bookmarkEnd w:id="0"/>
      <w:r>
        <w:rPr>
          <w:rFonts w:ascii="Verdana" w:hAnsi="Verdana"/>
          <w:color w:val="000000"/>
          <w:sz w:val="36"/>
          <w:szCs w:val="36"/>
        </w:rPr>
        <w:t xml:space="preserve">Compass </w:t>
      </w:r>
      <w:r w:rsidR="004F1E33">
        <w:rPr>
          <w:rFonts w:ascii="Verdana" w:hAnsi="Verdana"/>
          <w:color w:val="000000"/>
          <w:sz w:val="36"/>
          <w:szCs w:val="36"/>
        </w:rPr>
        <w:t>M</w:t>
      </w:r>
      <w:r w:rsidR="00A575B0">
        <w:rPr>
          <w:rFonts w:ascii="Verdana" w:hAnsi="Verdana"/>
          <w:color w:val="000000"/>
          <w:sz w:val="36"/>
          <w:szCs w:val="36"/>
        </w:rPr>
        <w:t>ED</w:t>
      </w:r>
      <w:r w:rsidR="00C15D56">
        <w:rPr>
          <w:rFonts w:ascii="Verdana" w:hAnsi="Verdana"/>
          <w:color w:val="000000"/>
          <w:sz w:val="36"/>
          <w:szCs w:val="36"/>
        </w:rPr>
        <w:t xml:space="preserve"> </w:t>
      </w:r>
      <w:r w:rsidR="004F1E33">
        <w:rPr>
          <w:rFonts w:ascii="Verdana" w:hAnsi="Verdana"/>
          <w:color w:val="000000"/>
          <w:sz w:val="36"/>
          <w:szCs w:val="36"/>
        </w:rPr>
        <w:t xml:space="preserve">D </w:t>
      </w:r>
      <w:r w:rsidR="00BE664A">
        <w:rPr>
          <w:rFonts w:ascii="Verdana" w:hAnsi="Verdana"/>
          <w:color w:val="000000"/>
          <w:sz w:val="36"/>
          <w:szCs w:val="36"/>
        </w:rPr>
        <w:t xml:space="preserve">- </w:t>
      </w:r>
      <w:r w:rsidR="000D7274">
        <w:rPr>
          <w:rFonts w:ascii="Verdana" w:hAnsi="Verdana"/>
          <w:color w:val="000000"/>
          <w:sz w:val="36"/>
          <w:szCs w:val="36"/>
        </w:rPr>
        <w:t xml:space="preserve">Creating a </w:t>
      </w:r>
      <w:bookmarkStart w:id="3" w:name="_Hlk206676212"/>
      <w:r w:rsidR="00DA7457">
        <w:rPr>
          <w:rFonts w:ascii="Verdana" w:hAnsi="Verdana"/>
          <w:color w:val="000000"/>
          <w:sz w:val="36"/>
          <w:szCs w:val="36"/>
        </w:rPr>
        <w:t xml:space="preserve">Med D Enrollment </w:t>
      </w:r>
      <w:r w:rsidR="000D7274">
        <w:rPr>
          <w:rFonts w:ascii="Verdana" w:hAnsi="Verdana"/>
          <w:color w:val="000000"/>
          <w:sz w:val="36"/>
          <w:szCs w:val="36"/>
        </w:rPr>
        <w:t xml:space="preserve">Support Task </w:t>
      </w:r>
      <w:r w:rsidR="00DA7457">
        <w:rPr>
          <w:rFonts w:ascii="Verdana" w:hAnsi="Verdana"/>
          <w:color w:val="000000"/>
          <w:sz w:val="36"/>
          <w:szCs w:val="36"/>
        </w:rPr>
        <w:t>from Member Search</w:t>
      </w:r>
      <w:bookmarkEnd w:id="3"/>
    </w:p>
    <w:bookmarkEnd w:id="1"/>
    <w:p w14:paraId="301E001F" w14:textId="77777777" w:rsidR="00FE3726" w:rsidRPr="00FE3726" w:rsidRDefault="00FE3726" w:rsidP="00FE3726">
      <w:pPr>
        <w:pStyle w:val="Heading4"/>
      </w:pPr>
    </w:p>
    <w:bookmarkEnd w:id="2"/>
    <w:p w14:paraId="5965F18C" w14:textId="77777777" w:rsidR="005B449F" w:rsidRDefault="005B449F" w:rsidP="00A9528D">
      <w:pPr>
        <w:pStyle w:val="TOC2"/>
      </w:pPr>
    </w:p>
    <w:p w14:paraId="2D4C199D" w14:textId="314FB1D4" w:rsidR="005B449F" w:rsidRDefault="00F96EBC" w:rsidP="00A9528D">
      <w:pPr>
        <w:pStyle w:val="TOC2"/>
        <w:rPr>
          <w:rFonts w:asciiTheme="minorHAnsi" w:eastAsiaTheme="minorEastAsia" w:hAnsiTheme="minorHAnsi" w:cstheme="minorBidi"/>
          <w:noProof/>
          <w:color w:val="auto"/>
          <w:kern w:val="2"/>
          <w:sz w:val="22"/>
          <w:szCs w:val="22"/>
          <w:u w:val="none"/>
          <w14:ligatures w14:val="standardContextual"/>
        </w:rPr>
      </w:pPr>
      <w:r>
        <w:rPr>
          <w:rFonts w:ascii="Arial" w:hAnsi="Arial" w:cs="Arial"/>
          <w:b/>
          <w:color w:val="FF9900"/>
          <w:sz w:val="32"/>
          <w:szCs w:val="20"/>
          <w:u w:val="none"/>
        </w:rPr>
        <w:fldChar w:fldCharType="begin"/>
      </w:r>
      <w:r w:rsidR="007E3D3C">
        <w:instrText xml:space="preserve"> TOC \o "2-3" \n \h \z \u </w:instrText>
      </w:r>
      <w:r>
        <w:rPr>
          <w:rFonts w:ascii="Arial" w:hAnsi="Arial" w:cs="Arial"/>
          <w:b/>
          <w:color w:val="FF9900"/>
          <w:sz w:val="32"/>
          <w:szCs w:val="20"/>
          <w:u w:val="none"/>
        </w:rPr>
        <w:fldChar w:fldCharType="separate"/>
      </w:r>
      <w:hyperlink w:anchor="_Toc162960755" w:history="1">
        <w:r w:rsidR="005B449F" w:rsidRPr="003C553C">
          <w:rPr>
            <w:rStyle w:val="Hyperlink"/>
            <w:noProof/>
          </w:rPr>
          <w:t>Process</w:t>
        </w:r>
      </w:hyperlink>
    </w:p>
    <w:p w14:paraId="5B7F6FA7" w14:textId="7A94432F" w:rsidR="005B449F" w:rsidRDefault="005B449F" w:rsidP="00A9528D">
      <w:pPr>
        <w:pStyle w:val="TOC2"/>
        <w:rPr>
          <w:rStyle w:val="Hyperlink"/>
          <w:noProof/>
        </w:rPr>
      </w:pPr>
      <w:hyperlink w:anchor="_Toc162960756" w:history="1">
        <w:r w:rsidRPr="003C553C">
          <w:rPr>
            <w:rStyle w:val="Hyperlink"/>
            <w:noProof/>
          </w:rPr>
          <w:t>Related Documents</w:t>
        </w:r>
      </w:hyperlink>
    </w:p>
    <w:p w14:paraId="559A4089" w14:textId="77777777" w:rsidR="00FE3726" w:rsidRPr="00FE3726" w:rsidRDefault="00FE3726" w:rsidP="00FE3726">
      <w:pPr>
        <w:rPr>
          <w:rFonts w:eastAsiaTheme="minorEastAsia"/>
        </w:rPr>
      </w:pPr>
    </w:p>
    <w:p w14:paraId="3FA8D074" w14:textId="42EB4EC8" w:rsidR="008F3B6D" w:rsidRDefault="00F96EBC" w:rsidP="00A9528D">
      <w:pPr>
        <w:pStyle w:val="TOC2"/>
      </w:pPr>
      <w:r>
        <w:fldChar w:fldCharType="end"/>
      </w:r>
      <w:bookmarkStart w:id="4" w:name="_Overview"/>
      <w:bookmarkEnd w:id="4"/>
    </w:p>
    <w:p w14:paraId="3C78EB79" w14:textId="25273634" w:rsidR="00F81783" w:rsidRDefault="00C87AD1" w:rsidP="00A9528D">
      <w:pPr>
        <w:rPr>
          <w:rFonts w:ascii="Verdana" w:hAnsi="Verdana"/>
        </w:rPr>
      </w:pPr>
      <w:r w:rsidRPr="00C87AD1">
        <w:rPr>
          <w:rFonts w:ascii="Verdana" w:hAnsi="Verdana"/>
          <w:b/>
        </w:rPr>
        <w:t>Description</w:t>
      </w:r>
      <w:r w:rsidRPr="00A575B0">
        <w:rPr>
          <w:rFonts w:ascii="Verdana" w:hAnsi="Verdana"/>
          <w:b/>
          <w:bCs/>
        </w:rPr>
        <w:t>:</w:t>
      </w:r>
      <w:r>
        <w:rPr>
          <w:rFonts w:ascii="Verdana" w:hAnsi="Verdana"/>
        </w:rPr>
        <w:t xml:space="preserve"> </w:t>
      </w:r>
      <w:r w:rsidR="00A575B0">
        <w:rPr>
          <w:rFonts w:ascii="Verdana" w:hAnsi="Verdana"/>
        </w:rPr>
        <w:t xml:space="preserve"> </w:t>
      </w:r>
      <w:r w:rsidR="00BE3C9A">
        <w:rPr>
          <w:rFonts w:ascii="Verdana" w:hAnsi="Verdana"/>
        </w:rPr>
        <w:t xml:space="preserve">Use to </w:t>
      </w:r>
      <w:r w:rsidR="00505C8F">
        <w:rPr>
          <w:rFonts w:ascii="Verdana" w:hAnsi="Verdana"/>
        </w:rPr>
        <w:t>create a</w:t>
      </w:r>
      <w:r w:rsidR="00DA7457">
        <w:rPr>
          <w:rFonts w:ascii="Verdana" w:hAnsi="Verdana"/>
        </w:rPr>
        <w:t xml:space="preserve"> Med D Enrollment Support Task from Member Search. </w:t>
      </w:r>
      <w:r w:rsidR="00205962">
        <w:rPr>
          <w:rFonts w:ascii="Verdana" w:hAnsi="Verdana"/>
        </w:rPr>
        <w:t xml:space="preserve"> </w:t>
      </w:r>
    </w:p>
    <w:p w14:paraId="2D7045BD" w14:textId="77777777" w:rsidR="00AD1626" w:rsidRDefault="00AD1626" w:rsidP="00A9528D">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BF74E9" w14:paraId="4D2D2C1E" w14:textId="77777777" w:rsidTr="00C934C2">
        <w:tc>
          <w:tcPr>
            <w:tcW w:w="5000" w:type="pct"/>
            <w:shd w:val="clear" w:color="auto" w:fill="C0C0C0"/>
          </w:tcPr>
          <w:p w14:paraId="21BF9112" w14:textId="4D527F00" w:rsidR="00F81783" w:rsidRPr="00D32D37" w:rsidRDefault="00AA0885" w:rsidP="00730359">
            <w:pPr>
              <w:pStyle w:val="Heading2"/>
              <w:tabs>
                <w:tab w:val="left" w:pos="11985"/>
              </w:tabs>
              <w:spacing w:before="120" w:after="120"/>
              <w:rPr>
                <w:rFonts w:ascii="Verdana" w:hAnsi="Verdana"/>
                <w:i w:val="0"/>
                <w:iCs w:val="0"/>
              </w:rPr>
            </w:pPr>
            <w:bookmarkStart w:id="5" w:name="_Toc162960755"/>
            <w:bookmarkStart w:id="6" w:name="_Hlk166508238"/>
            <w:r>
              <w:rPr>
                <w:rFonts w:ascii="Verdana" w:hAnsi="Verdana"/>
                <w:i w:val="0"/>
                <w:iCs w:val="0"/>
              </w:rPr>
              <w:t>Process</w:t>
            </w:r>
            <w:bookmarkEnd w:id="5"/>
          </w:p>
        </w:tc>
      </w:tr>
    </w:tbl>
    <w:bookmarkEnd w:id="6"/>
    <w:p w14:paraId="7E6723BE" w14:textId="6C573072" w:rsidR="00AB0B96" w:rsidRPr="00A055A4" w:rsidRDefault="00AB0B96" w:rsidP="00730359">
      <w:pPr>
        <w:spacing w:before="120" w:after="120"/>
        <w:rPr>
          <w:rFonts w:ascii="Verdana" w:hAnsi="Verdana"/>
        </w:rPr>
      </w:pPr>
      <w:r w:rsidRPr="00A055A4">
        <w:rPr>
          <w:rFonts w:ascii="Verdana" w:hAnsi="Verdana"/>
        </w:rPr>
        <w:t xml:space="preserve">The following Support Tasks can be submitted from the Member Search: </w:t>
      </w:r>
    </w:p>
    <w:p w14:paraId="6AD9F1AD" w14:textId="33AD169A" w:rsidR="00AB0B96" w:rsidRPr="00A055A4" w:rsidRDefault="00AB0B96" w:rsidP="00AB0B96">
      <w:pPr>
        <w:pStyle w:val="ListParagraph"/>
        <w:numPr>
          <w:ilvl w:val="0"/>
          <w:numId w:val="48"/>
        </w:numPr>
        <w:spacing w:before="120" w:after="120"/>
        <w:rPr>
          <w:rFonts w:ascii="Verdana" w:hAnsi="Verdana"/>
          <w:sz w:val="24"/>
          <w:szCs w:val="24"/>
        </w:rPr>
      </w:pPr>
      <w:r w:rsidRPr="00A055A4">
        <w:rPr>
          <w:rFonts w:ascii="Verdana" w:hAnsi="Verdana"/>
          <w:sz w:val="24"/>
          <w:szCs w:val="24"/>
        </w:rPr>
        <w:t>Med D - Enrollment - Enrollment Not Found</w:t>
      </w:r>
    </w:p>
    <w:p w14:paraId="46196811" w14:textId="2B2ED4C7" w:rsidR="00AB0B96" w:rsidRPr="00A055A4" w:rsidRDefault="00AB0B96" w:rsidP="00AB0B96">
      <w:pPr>
        <w:pStyle w:val="ListParagraph"/>
        <w:numPr>
          <w:ilvl w:val="0"/>
          <w:numId w:val="48"/>
        </w:numPr>
        <w:spacing w:before="120" w:after="120"/>
        <w:rPr>
          <w:rFonts w:ascii="Verdana" w:hAnsi="Verdana"/>
          <w:sz w:val="24"/>
          <w:szCs w:val="24"/>
        </w:rPr>
      </w:pPr>
      <w:r w:rsidRPr="00A055A4">
        <w:rPr>
          <w:rFonts w:ascii="Verdana" w:hAnsi="Verdana"/>
          <w:sz w:val="24"/>
          <w:szCs w:val="24"/>
        </w:rPr>
        <w:t>Med D - Enrollment - Enrollment/Eligibility Discrepancy</w:t>
      </w:r>
    </w:p>
    <w:p w14:paraId="57BA3582" w14:textId="0CB2EE95" w:rsidR="00AB0B96" w:rsidRPr="00A055A4" w:rsidRDefault="00AB0B96" w:rsidP="00AB0B96">
      <w:pPr>
        <w:pStyle w:val="ListParagraph"/>
        <w:numPr>
          <w:ilvl w:val="0"/>
          <w:numId w:val="48"/>
        </w:numPr>
        <w:spacing w:before="120" w:after="120"/>
        <w:rPr>
          <w:rFonts w:ascii="Verdana" w:hAnsi="Verdana"/>
          <w:sz w:val="24"/>
          <w:szCs w:val="24"/>
        </w:rPr>
      </w:pPr>
      <w:r w:rsidRPr="00A055A4">
        <w:rPr>
          <w:rFonts w:ascii="Verdana" w:hAnsi="Verdana"/>
          <w:sz w:val="24"/>
          <w:szCs w:val="24"/>
        </w:rPr>
        <w:t>Med D - Enrollment -</w:t>
      </w:r>
      <w:r w:rsidR="00A055A4">
        <w:rPr>
          <w:rFonts w:ascii="Verdana" w:hAnsi="Verdana"/>
          <w:sz w:val="24"/>
          <w:szCs w:val="24"/>
        </w:rPr>
        <w:t xml:space="preserve"> </w:t>
      </w:r>
      <w:r w:rsidRPr="00A055A4">
        <w:rPr>
          <w:rFonts w:ascii="Verdana" w:hAnsi="Verdana"/>
          <w:sz w:val="24"/>
          <w:szCs w:val="24"/>
        </w:rPr>
        <w:t xml:space="preserve">Missing Pre-enrollment Information </w:t>
      </w:r>
      <w:r w:rsidR="00DA7457" w:rsidRPr="00A055A4">
        <w:rPr>
          <w:rFonts w:ascii="Verdana" w:hAnsi="Verdana"/>
          <w:sz w:val="24"/>
          <w:szCs w:val="24"/>
        </w:rPr>
        <w:t>- RFI</w:t>
      </w:r>
    </w:p>
    <w:p w14:paraId="22628CA2" w14:textId="77777777" w:rsidR="00AB0B96" w:rsidRPr="00A055A4" w:rsidRDefault="00AB0B96" w:rsidP="00AB0B96">
      <w:pPr>
        <w:pStyle w:val="ListParagraph"/>
        <w:spacing w:before="120" w:after="120"/>
        <w:rPr>
          <w:rFonts w:ascii="Verdana" w:hAnsi="Verdana"/>
          <w:sz w:val="24"/>
          <w:szCs w:val="24"/>
        </w:rPr>
      </w:pPr>
    </w:p>
    <w:p w14:paraId="11D7ED9A" w14:textId="19277497" w:rsidR="001A2A99" w:rsidRPr="00C57BBF" w:rsidRDefault="001A4E09" w:rsidP="00730359">
      <w:pPr>
        <w:spacing w:before="120" w:after="120"/>
        <w:rPr>
          <w:rFonts w:ascii="Verdana" w:hAnsi="Verdana"/>
        </w:rPr>
      </w:pPr>
      <w:r w:rsidRPr="00FB5FA7">
        <w:rPr>
          <w:rFonts w:ascii="Verdana" w:hAnsi="Verdana"/>
        </w:rPr>
        <w:t>Perform the steps below</w:t>
      </w:r>
      <w:r w:rsidR="00135E15">
        <w:rPr>
          <w:rFonts w:ascii="Verdana" w:hAnsi="Verdana"/>
        </w:rPr>
        <w:t>:</w:t>
      </w:r>
    </w:p>
    <w:tbl>
      <w:tblPr>
        <w:tblpPr w:rightFromText="187"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373"/>
        <w:gridCol w:w="11038"/>
      </w:tblGrid>
      <w:tr w:rsidR="00262F06" w14:paraId="0DB42024" w14:textId="77777777" w:rsidTr="006D00ED">
        <w:trPr>
          <w:trHeight w:val="490"/>
        </w:trPr>
        <w:tc>
          <w:tcPr>
            <w:tcW w:w="226" w:type="pct"/>
            <w:shd w:val="clear" w:color="auto" w:fill="D9D9D9" w:themeFill="background1" w:themeFillShade="D9"/>
            <w:hideMark/>
          </w:tcPr>
          <w:p w14:paraId="77030C19" w14:textId="77777777" w:rsidR="00C661A3" w:rsidRDefault="00C661A3" w:rsidP="00874437">
            <w:pPr>
              <w:spacing w:before="240" w:after="240"/>
              <w:ind w:left="-291" w:right="80"/>
              <w:jc w:val="center"/>
              <w:rPr>
                <w:rFonts w:ascii="Verdana" w:hAnsi="Verdana"/>
                <w:b/>
              </w:rPr>
            </w:pPr>
            <w:r>
              <w:rPr>
                <w:rFonts w:ascii="Verdana" w:hAnsi="Verdana"/>
                <w:b/>
              </w:rPr>
              <w:t>Step</w:t>
            </w:r>
          </w:p>
        </w:tc>
        <w:tc>
          <w:tcPr>
            <w:tcW w:w="4774" w:type="pct"/>
            <w:gridSpan w:val="2"/>
            <w:shd w:val="clear" w:color="auto" w:fill="D9D9D9" w:themeFill="background1" w:themeFillShade="D9"/>
            <w:hideMark/>
          </w:tcPr>
          <w:p w14:paraId="4AF40016" w14:textId="77777777" w:rsidR="00C661A3" w:rsidRDefault="00C661A3" w:rsidP="00874437">
            <w:pPr>
              <w:spacing w:before="240" w:after="240"/>
              <w:jc w:val="center"/>
              <w:rPr>
                <w:rFonts w:ascii="Verdana" w:hAnsi="Verdana"/>
                <w:b/>
              </w:rPr>
            </w:pPr>
            <w:r>
              <w:rPr>
                <w:rFonts w:ascii="Verdana" w:hAnsi="Verdana"/>
                <w:b/>
              </w:rPr>
              <w:t>Action</w:t>
            </w:r>
          </w:p>
        </w:tc>
      </w:tr>
      <w:tr w:rsidR="00BE664A" w14:paraId="0827915B" w14:textId="77777777" w:rsidTr="006D00ED">
        <w:trPr>
          <w:trHeight w:val="490"/>
        </w:trPr>
        <w:tc>
          <w:tcPr>
            <w:tcW w:w="226" w:type="pct"/>
            <w:vMerge w:val="restart"/>
            <w:hideMark/>
          </w:tcPr>
          <w:p w14:paraId="5241B7E1" w14:textId="7E930580" w:rsidR="00BE664A" w:rsidRDefault="00BE664A" w:rsidP="00874437">
            <w:pPr>
              <w:spacing w:before="240" w:after="240"/>
              <w:jc w:val="center"/>
              <w:rPr>
                <w:rFonts w:ascii="Verdana" w:hAnsi="Verdana"/>
                <w:b/>
              </w:rPr>
            </w:pPr>
            <w:r>
              <w:rPr>
                <w:rFonts w:ascii="Verdana" w:hAnsi="Verdana"/>
                <w:b/>
              </w:rPr>
              <w:t>1</w:t>
            </w:r>
          </w:p>
        </w:tc>
        <w:tc>
          <w:tcPr>
            <w:tcW w:w="4774" w:type="pct"/>
            <w:gridSpan w:val="2"/>
            <w:hideMark/>
          </w:tcPr>
          <w:p w14:paraId="3E38126C" w14:textId="2DEEA234" w:rsidR="00BE664A" w:rsidRDefault="00BE664A" w:rsidP="00874437">
            <w:pPr>
              <w:spacing w:before="240" w:after="240"/>
              <w:rPr>
                <w:rFonts w:ascii="Verdana" w:hAnsi="Verdana"/>
              </w:rPr>
            </w:pPr>
            <w:r>
              <w:rPr>
                <w:rFonts w:ascii="Verdana" w:hAnsi="Verdana"/>
              </w:rPr>
              <w:t xml:space="preserve">After searching in Compass for an active line of eligibility </w:t>
            </w:r>
            <w:r w:rsidRPr="005F427E">
              <w:rPr>
                <w:rFonts w:ascii="Verdana" w:hAnsi="Verdana"/>
              </w:rPr>
              <w:t>(refer t</w:t>
            </w:r>
            <w:r>
              <w:rPr>
                <w:rFonts w:ascii="Verdana" w:hAnsi="Verdana"/>
              </w:rPr>
              <w:t>o</w:t>
            </w:r>
            <w:r w:rsidRPr="00C14249">
              <w:rPr>
                <w:rFonts w:ascii="Verdana" w:hAnsi="Verdana"/>
              </w:rPr>
              <w:t xml:space="preserve"> </w:t>
            </w:r>
            <w:hyperlink r:id="rId11" w:anchor="!/view?docid=44e71d7a-1b1c-4931-9089-d4161a72d114" w:history="1">
              <w:r w:rsidRPr="007439B9">
                <w:rPr>
                  <w:rStyle w:val="Hyperlink"/>
                  <w:rFonts w:ascii="Verdana" w:hAnsi="Verdana"/>
                </w:rPr>
                <w:t>Compass - Member Search</w:t>
              </w:r>
            </w:hyperlink>
            <w:r w:rsidRPr="005F427E">
              <w:rPr>
                <w:rFonts w:ascii="Verdana" w:hAnsi="Verdana"/>
              </w:rPr>
              <w:t>)</w:t>
            </w:r>
            <w:r>
              <w:rPr>
                <w:rFonts w:ascii="Verdana" w:hAnsi="Verdana"/>
              </w:rPr>
              <w:t>, proceed depending on one of the following scenarios:</w:t>
            </w:r>
          </w:p>
        </w:tc>
      </w:tr>
      <w:tr w:rsidR="00BE664A" w14:paraId="50426C77" w14:textId="77777777" w:rsidTr="006D00ED">
        <w:trPr>
          <w:trHeight w:val="505"/>
        </w:trPr>
        <w:tc>
          <w:tcPr>
            <w:tcW w:w="226" w:type="pct"/>
            <w:vMerge/>
            <w:vAlign w:val="center"/>
            <w:hideMark/>
          </w:tcPr>
          <w:p w14:paraId="70FFF48C" w14:textId="77777777" w:rsidR="00BE664A" w:rsidRDefault="00BE664A" w:rsidP="00874437">
            <w:pPr>
              <w:rPr>
                <w:rFonts w:ascii="Verdana" w:hAnsi="Verdana"/>
                <w:b/>
              </w:rPr>
            </w:pPr>
          </w:p>
        </w:tc>
        <w:tc>
          <w:tcPr>
            <w:tcW w:w="1084" w:type="pct"/>
            <w:shd w:val="clear" w:color="auto" w:fill="D9D9D9" w:themeFill="background1" w:themeFillShade="D9"/>
            <w:hideMark/>
          </w:tcPr>
          <w:p w14:paraId="26558A4F" w14:textId="5F184D79" w:rsidR="00BE664A" w:rsidRDefault="00BE664A" w:rsidP="00874437">
            <w:pPr>
              <w:spacing w:before="240" w:after="240"/>
              <w:jc w:val="center"/>
              <w:rPr>
                <w:rFonts w:ascii="Verdana" w:hAnsi="Verdana"/>
                <w:b/>
              </w:rPr>
            </w:pPr>
            <w:r>
              <w:rPr>
                <w:rFonts w:ascii="Verdana" w:hAnsi="Verdana"/>
                <w:b/>
              </w:rPr>
              <w:t>If the member is…</w:t>
            </w:r>
          </w:p>
        </w:tc>
        <w:tc>
          <w:tcPr>
            <w:tcW w:w="3690" w:type="pct"/>
            <w:shd w:val="clear" w:color="auto" w:fill="D9D9D9" w:themeFill="background1" w:themeFillShade="D9"/>
            <w:hideMark/>
          </w:tcPr>
          <w:p w14:paraId="3AA7BE75" w14:textId="77777777" w:rsidR="00BE664A" w:rsidRDefault="00BE664A" w:rsidP="00874437">
            <w:pPr>
              <w:spacing w:before="240" w:after="240"/>
              <w:jc w:val="center"/>
              <w:rPr>
                <w:rFonts w:ascii="Verdana" w:hAnsi="Verdana"/>
                <w:b/>
              </w:rPr>
            </w:pPr>
            <w:r>
              <w:rPr>
                <w:rFonts w:ascii="Verdana" w:hAnsi="Verdana"/>
                <w:b/>
              </w:rPr>
              <w:t>Then…</w:t>
            </w:r>
          </w:p>
        </w:tc>
      </w:tr>
      <w:tr w:rsidR="00BE664A" w14:paraId="1A6602A7" w14:textId="77777777" w:rsidTr="006D00ED">
        <w:trPr>
          <w:trHeight w:val="850"/>
        </w:trPr>
        <w:tc>
          <w:tcPr>
            <w:tcW w:w="226" w:type="pct"/>
            <w:vMerge/>
            <w:vAlign w:val="center"/>
            <w:hideMark/>
          </w:tcPr>
          <w:p w14:paraId="413F8E54" w14:textId="77777777" w:rsidR="00BE664A" w:rsidRDefault="00BE664A" w:rsidP="00874437">
            <w:pPr>
              <w:rPr>
                <w:rFonts w:ascii="Verdana" w:hAnsi="Verdana"/>
                <w:b/>
              </w:rPr>
            </w:pPr>
          </w:p>
        </w:tc>
        <w:tc>
          <w:tcPr>
            <w:tcW w:w="1084" w:type="pct"/>
            <w:hideMark/>
          </w:tcPr>
          <w:p w14:paraId="3E440156" w14:textId="778A941C" w:rsidR="00BE664A" w:rsidRDefault="00BE664A" w:rsidP="00874437">
            <w:pPr>
              <w:spacing w:before="240" w:after="240"/>
              <w:rPr>
                <w:rFonts w:ascii="Verdana" w:hAnsi="Verdana"/>
              </w:rPr>
            </w:pPr>
            <w:r>
              <w:rPr>
                <w:rFonts w:ascii="Verdana" w:hAnsi="Verdana"/>
              </w:rPr>
              <w:t xml:space="preserve">Found after </w:t>
            </w:r>
            <w:r w:rsidR="00964481">
              <w:rPr>
                <w:rFonts w:ascii="Verdana" w:hAnsi="Verdana"/>
              </w:rPr>
              <w:t>using</w:t>
            </w:r>
            <w:r>
              <w:rPr>
                <w:rFonts w:ascii="Verdana" w:hAnsi="Verdana"/>
              </w:rPr>
              <w:t xml:space="preserve"> </w:t>
            </w:r>
            <w:r w:rsidRPr="001B78CE">
              <w:rPr>
                <w:rFonts w:ascii="Verdana" w:hAnsi="Verdana"/>
                <w:b/>
                <w:bCs/>
              </w:rPr>
              <w:t xml:space="preserve">Medicare D </w:t>
            </w:r>
            <w:r w:rsidR="0053342A">
              <w:rPr>
                <w:rFonts w:ascii="Verdana" w:hAnsi="Verdana"/>
                <w:b/>
                <w:bCs/>
              </w:rPr>
              <w:t>S</w:t>
            </w:r>
            <w:r w:rsidRPr="001B78CE">
              <w:rPr>
                <w:rFonts w:ascii="Verdana" w:hAnsi="Verdana"/>
                <w:b/>
                <w:bCs/>
              </w:rPr>
              <w:t>ystem</w:t>
            </w:r>
            <w:r w:rsidR="00964481">
              <w:rPr>
                <w:rFonts w:ascii="Verdana" w:hAnsi="Verdana"/>
                <w:b/>
                <w:bCs/>
              </w:rPr>
              <w:t xml:space="preserve"> </w:t>
            </w:r>
            <w:r w:rsidR="00964481" w:rsidRPr="00494CE8">
              <w:rPr>
                <w:rFonts w:ascii="Verdana" w:hAnsi="Verdana"/>
                <w:b/>
                <w:bCs/>
              </w:rPr>
              <w:t>Member Search</w:t>
            </w:r>
            <w:r w:rsidRPr="001B78CE">
              <w:rPr>
                <w:rFonts w:ascii="Verdana" w:hAnsi="Verdana"/>
              </w:rPr>
              <w:t>, but there is a</w:t>
            </w:r>
            <w:r>
              <w:rPr>
                <w:rFonts w:ascii="Verdana" w:hAnsi="Verdana"/>
              </w:rPr>
              <w:t xml:space="preserve"> discrepancy in their profil</w:t>
            </w:r>
            <w:r w:rsidR="00AB0B96">
              <w:rPr>
                <w:rFonts w:ascii="Verdana" w:hAnsi="Verdana"/>
              </w:rPr>
              <w:t xml:space="preserve">e </w:t>
            </w:r>
          </w:p>
        </w:tc>
        <w:tc>
          <w:tcPr>
            <w:tcW w:w="3690" w:type="pct"/>
            <w:hideMark/>
          </w:tcPr>
          <w:p w14:paraId="14037201" w14:textId="77777777" w:rsidR="00DA7457" w:rsidRPr="00007A82" w:rsidRDefault="00DA7457" w:rsidP="00007A82">
            <w:pPr>
              <w:pStyle w:val="ListParagraph"/>
              <w:numPr>
                <w:ilvl w:val="0"/>
                <w:numId w:val="49"/>
              </w:numPr>
              <w:spacing w:before="240" w:after="240"/>
              <w:rPr>
                <w:rFonts w:ascii="Verdana" w:hAnsi="Verdana"/>
                <w:sz w:val="24"/>
                <w:szCs w:val="24"/>
              </w:rPr>
            </w:pPr>
            <w:r w:rsidRPr="00007A82">
              <w:rPr>
                <w:rFonts w:ascii="Verdana" w:hAnsi="Verdana"/>
                <w:sz w:val="24"/>
                <w:szCs w:val="24"/>
              </w:rPr>
              <w:t xml:space="preserve">Click the drop-down arrow in the </w:t>
            </w:r>
            <w:r w:rsidRPr="00007A82">
              <w:rPr>
                <w:rFonts w:ascii="Verdana" w:hAnsi="Verdana"/>
                <w:b/>
                <w:bCs/>
                <w:sz w:val="24"/>
                <w:szCs w:val="24"/>
              </w:rPr>
              <w:t>Support Task Actions</w:t>
            </w:r>
            <w:r w:rsidRPr="00007A82">
              <w:rPr>
                <w:rFonts w:ascii="Verdana" w:hAnsi="Verdana"/>
                <w:sz w:val="24"/>
                <w:szCs w:val="24"/>
              </w:rPr>
              <w:t xml:space="preserve"> button to see Support Task options. Then select </w:t>
            </w:r>
            <w:r w:rsidRPr="00007A82">
              <w:rPr>
                <w:rFonts w:ascii="Verdana" w:hAnsi="Verdana"/>
                <w:b/>
                <w:bCs/>
                <w:sz w:val="24"/>
                <w:szCs w:val="24"/>
              </w:rPr>
              <w:t>Create Med D Enrollment Support Task</w:t>
            </w:r>
            <w:r w:rsidRPr="00007A82">
              <w:rPr>
                <w:rFonts w:ascii="Verdana" w:hAnsi="Verdana"/>
                <w:sz w:val="24"/>
                <w:szCs w:val="24"/>
              </w:rPr>
              <w:t xml:space="preserve"> and create the following task:</w:t>
            </w:r>
          </w:p>
          <w:p w14:paraId="63394E7A" w14:textId="05889F7B" w:rsidR="00DA7457" w:rsidRPr="00007A82" w:rsidRDefault="00DA7457" w:rsidP="00007A82">
            <w:pPr>
              <w:pStyle w:val="ListParagraph"/>
              <w:numPr>
                <w:ilvl w:val="1"/>
                <w:numId w:val="49"/>
              </w:numPr>
              <w:rPr>
                <w:rFonts w:ascii="Verdana" w:hAnsi="Verdana"/>
                <w:sz w:val="24"/>
                <w:szCs w:val="24"/>
              </w:rPr>
            </w:pPr>
            <w:r w:rsidRPr="00007A82">
              <w:rPr>
                <w:rFonts w:ascii="Verdana" w:hAnsi="Verdana"/>
                <w:b/>
                <w:bCs/>
                <w:sz w:val="24"/>
                <w:szCs w:val="24"/>
              </w:rPr>
              <w:t xml:space="preserve">Task Type:  </w:t>
            </w:r>
            <w:r w:rsidRPr="00007A82">
              <w:rPr>
                <w:rFonts w:ascii="Verdana" w:hAnsi="Verdana"/>
                <w:sz w:val="24"/>
                <w:szCs w:val="24"/>
              </w:rPr>
              <w:t>Enrollment/Eligibility Discrepancy</w:t>
            </w:r>
          </w:p>
          <w:p w14:paraId="04DD5695" w14:textId="78B27531" w:rsidR="00DA7457" w:rsidRPr="00007A82" w:rsidRDefault="00DA7457" w:rsidP="00007A82">
            <w:pPr>
              <w:pStyle w:val="ListParagraph"/>
              <w:numPr>
                <w:ilvl w:val="1"/>
                <w:numId w:val="49"/>
              </w:numPr>
              <w:spacing w:before="240" w:after="240"/>
              <w:rPr>
                <w:rFonts w:ascii="Verdana" w:hAnsi="Verdana"/>
                <w:sz w:val="24"/>
                <w:szCs w:val="24"/>
              </w:rPr>
            </w:pPr>
            <w:r w:rsidRPr="00007A82">
              <w:rPr>
                <w:rFonts w:ascii="Verdana" w:hAnsi="Verdana"/>
                <w:b/>
                <w:bCs/>
                <w:sz w:val="24"/>
                <w:szCs w:val="24"/>
              </w:rPr>
              <w:t xml:space="preserve">Notes:  </w:t>
            </w:r>
            <w:r w:rsidRPr="00007A82">
              <w:rPr>
                <w:rFonts w:ascii="Verdana" w:hAnsi="Verdana"/>
                <w:sz w:val="24"/>
                <w:szCs w:val="24"/>
              </w:rPr>
              <w:t>Indicate the discrepancy in the profile</w:t>
            </w:r>
            <w:r w:rsidRPr="00007A82">
              <w:rPr>
                <w:rFonts w:ascii="Verdana" w:hAnsi="Verdana"/>
                <w:b/>
                <w:bCs/>
                <w:sz w:val="24"/>
                <w:szCs w:val="24"/>
              </w:rPr>
              <w:t xml:space="preserve"> </w:t>
            </w:r>
          </w:p>
          <w:p w14:paraId="3013C998" w14:textId="13320590" w:rsidR="00AB0B96" w:rsidRPr="00007A82" w:rsidRDefault="00AB0B96" w:rsidP="00007A82">
            <w:pPr>
              <w:pStyle w:val="ListParagraph"/>
              <w:numPr>
                <w:ilvl w:val="0"/>
                <w:numId w:val="49"/>
              </w:numPr>
              <w:spacing w:before="240" w:after="240"/>
              <w:rPr>
                <w:rFonts w:ascii="Verdana" w:hAnsi="Verdana"/>
                <w:sz w:val="24"/>
                <w:szCs w:val="24"/>
              </w:rPr>
            </w:pPr>
            <w:r w:rsidRPr="00007A82">
              <w:rPr>
                <w:rFonts w:ascii="Verdana" w:hAnsi="Verdana"/>
                <w:sz w:val="24"/>
                <w:szCs w:val="24"/>
              </w:rPr>
              <w:t xml:space="preserve">Submit </w:t>
            </w:r>
            <w:r w:rsidR="00007A82" w:rsidRPr="00007A82">
              <w:rPr>
                <w:rFonts w:ascii="Verdana" w:hAnsi="Verdana"/>
                <w:sz w:val="24"/>
                <w:szCs w:val="24"/>
              </w:rPr>
              <w:t>the</w:t>
            </w:r>
            <w:r w:rsidRPr="00007A82">
              <w:rPr>
                <w:rFonts w:ascii="Verdana" w:hAnsi="Verdana"/>
                <w:sz w:val="24"/>
                <w:szCs w:val="24"/>
              </w:rPr>
              <w:t xml:space="preserve"> Med D - Enrollment - Enrollment/Eligibility Discrepancy Support Task, then resolve any outstanding issues. </w:t>
            </w:r>
          </w:p>
          <w:p w14:paraId="06585312" w14:textId="77777777" w:rsidR="00AB0B96" w:rsidRDefault="00AB0B96" w:rsidP="00874437">
            <w:pPr>
              <w:spacing w:before="240" w:after="240"/>
              <w:rPr>
                <w:rFonts w:ascii="Verdana" w:hAnsi="Verdana"/>
              </w:rPr>
            </w:pPr>
          </w:p>
          <w:p w14:paraId="7A821E71" w14:textId="08915977" w:rsidR="00AB0B96" w:rsidRDefault="00AB0B96" w:rsidP="00AB0B96">
            <w:pPr>
              <w:spacing w:before="240" w:after="240"/>
              <w:jc w:val="center"/>
              <w:rPr>
                <w:rFonts w:ascii="Verdana" w:hAnsi="Verdana"/>
              </w:rPr>
            </w:pPr>
            <w:r w:rsidRPr="00FE712C">
              <w:rPr>
                <w:rFonts w:ascii="Verdana" w:hAnsi="Verdana"/>
                <w:noProof/>
              </w:rPr>
              <w:drawing>
                <wp:inline distT="0" distB="0" distL="0" distR="0" wp14:anchorId="4B21D829" wp14:editId="6C6E83FE">
                  <wp:extent cx="7362803" cy="3761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79269" cy="3769508"/>
                          </a:xfrm>
                          <a:prstGeom prst="rect">
                            <a:avLst/>
                          </a:prstGeom>
                        </pic:spPr>
                      </pic:pic>
                    </a:graphicData>
                  </a:graphic>
                </wp:inline>
              </w:drawing>
            </w:r>
          </w:p>
          <w:p w14:paraId="639DC3E4" w14:textId="77777777" w:rsidR="00AB0B96" w:rsidRDefault="00AB0B96" w:rsidP="00874437">
            <w:pPr>
              <w:spacing w:before="240" w:after="240"/>
              <w:rPr>
                <w:rFonts w:ascii="Verdana" w:hAnsi="Verdana"/>
              </w:rPr>
            </w:pPr>
          </w:p>
          <w:p w14:paraId="51F40B65" w14:textId="4E0100DB" w:rsidR="00BE664A" w:rsidRDefault="001A5E0F" w:rsidP="00874437">
            <w:pPr>
              <w:spacing w:before="240" w:after="240"/>
              <w:rPr>
                <w:rFonts w:ascii="Verdana" w:hAnsi="Verdana"/>
              </w:rPr>
            </w:pPr>
            <w:r>
              <w:rPr>
                <w:noProof/>
              </w:rPr>
              <w:drawing>
                <wp:inline distT="0" distB="0" distL="0" distR="0" wp14:anchorId="0CE20C8F" wp14:editId="009C0DDF">
                  <wp:extent cx="245745" cy="204470"/>
                  <wp:effectExtent l="0" t="0" r="0" b="0"/>
                  <wp:docPr id="4" name="Picture 3"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_-_Important_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 cy="204470"/>
                          </a:xfrm>
                          <a:prstGeom prst="rect">
                            <a:avLst/>
                          </a:prstGeom>
                          <a:noFill/>
                          <a:ln>
                            <a:noFill/>
                          </a:ln>
                        </pic:spPr>
                      </pic:pic>
                    </a:graphicData>
                  </a:graphic>
                </wp:inline>
              </w:drawing>
            </w:r>
            <w:r w:rsidR="00AB0B96">
              <w:t xml:space="preserve"> </w:t>
            </w:r>
            <w:r w:rsidR="00AB0B96">
              <w:rPr>
                <w:rFonts w:ascii="Verdana" w:hAnsi="Verdana"/>
              </w:rPr>
              <w:t xml:space="preserve">If the caller insists that the waiting time interferes with their drug therapy, </w:t>
            </w:r>
            <w:r w:rsidR="00BE664A">
              <w:rPr>
                <w:rFonts w:ascii="Verdana" w:hAnsi="Verdana"/>
              </w:rPr>
              <w:t xml:space="preserve">warm transfer to SRT </w:t>
            </w:r>
            <w:r w:rsidR="00A055A4">
              <w:rPr>
                <w:rFonts w:ascii="Verdana" w:hAnsi="Verdana"/>
              </w:rPr>
              <w:t>(</w:t>
            </w:r>
            <w:r w:rsidR="00BE664A">
              <w:rPr>
                <w:rFonts w:ascii="Verdana" w:hAnsi="Verdana"/>
              </w:rPr>
              <w:t xml:space="preserve">refer to </w:t>
            </w:r>
            <w:hyperlink r:id="rId14" w:anchor="!/view?docid=0990aac5-274f-424d-9400-546d74b3fed7" w:history="1">
              <w:r w:rsidR="00BE664A" w:rsidRPr="0064618B">
                <w:rPr>
                  <w:rStyle w:val="Hyperlink"/>
                  <w:rFonts w:ascii="Verdana" w:hAnsi="Verdana"/>
                </w:rPr>
                <w:t>Compass MED D - When to Transfer Calls to the Senior Team</w:t>
              </w:r>
            </w:hyperlink>
            <w:r w:rsidR="00A055A4">
              <w:rPr>
                <w:rStyle w:val="Hyperlink"/>
                <w:rFonts w:ascii="Verdana" w:hAnsi="Verdana"/>
              </w:rPr>
              <w:t>)</w:t>
            </w:r>
            <w:r w:rsidR="00BE664A">
              <w:rPr>
                <w:rFonts w:ascii="Verdana" w:hAnsi="Verdana"/>
              </w:rPr>
              <w:t>. SRT will resolve the eligibility issue.</w:t>
            </w:r>
          </w:p>
        </w:tc>
      </w:tr>
      <w:tr w:rsidR="00BE664A" w14:paraId="0EE0862D" w14:textId="77777777" w:rsidTr="006D00ED">
        <w:trPr>
          <w:trHeight w:val="1633"/>
        </w:trPr>
        <w:tc>
          <w:tcPr>
            <w:tcW w:w="226" w:type="pct"/>
            <w:vMerge/>
            <w:vAlign w:val="center"/>
            <w:hideMark/>
          </w:tcPr>
          <w:p w14:paraId="568075CB" w14:textId="77777777" w:rsidR="00BE664A" w:rsidRDefault="00BE664A" w:rsidP="00874437">
            <w:pPr>
              <w:rPr>
                <w:rFonts w:ascii="Verdana" w:hAnsi="Verdana"/>
                <w:b/>
              </w:rPr>
            </w:pPr>
          </w:p>
        </w:tc>
        <w:tc>
          <w:tcPr>
            <w:tcW w:w="1084" w:type="pct"/>
            <w:hideMark/>
          </w:tcPr>
          <w:p w14:paraId="1933BE45" w14:textId="3D4DF538" w:rsidR="00BE664A" w:rsidRDefault="00FD284C" w:rsidP="00874437">
            <w:pPr>
              <w:spacing w:before="240" w:after="240"/>
              <w:rPr>
                <w:rFonts w:ascii="Verdana" w:hAnsi="Verdana"/>
              </w:rPr>
            </w:pPr>
            <w:r>
              <w:rPr>
                <w:rFonts w:ascii="Verdana" w:hAnsi="Verdana"/>
              </w:rPr>
              <w:t>Is not f</w:t>
            </w:r>
            <w:r w:rsidR="00BE664A">
              <w:rPr>
                <w:rFonts w:ascii="Verdana" w:hAnsi="Verdana"/>
              </w:rPr>
              <w:t xml:space="preserve">ound after </w:t>
            </w:r>
            <w:r w:rsidR="00575AA5">
              <w:rPr>
                <w:rFonts w:ascii="Verdana" w:hAnsi="Verdana"/>
              </w:rPr>
              <w:t xml:space="preserve">using </w:t>
            </w:r>
            <w:r w:rsidR="00BE664A" w:rsidRPr="001B78CE">
              <w:rPr>
                <w:rFonts w:ascii="Verdana" w:hAnsi="Verdana"/>
                <w:b/>
                <w:bCs/>
              </w:rPr>
              <w:t xml:space="preserve">Medicare D </w:t>
            </w:r>
            <w:r w:rsidR="0053342A">
              <w:rPr>
                <w:rFonts w:ascii="Verdana" w:hAnsi="Verdana"/>
                <w:b/>
                <w:bCs/>
              </w:rPr>
              <w:t>S</w:t>
            </w:r>
            <w:r w:rsidR="00BE664A" w:rsidRPr="001B78CE">
              <w:rPr>
                <w:rFonts w:ascii="Verdana" w:hAnsi="Verdana"/>
                <w:b/>
                <w:bCs/>
              </w:rPr>
              <w:t>ystem</w:t>
            </w:r>
            <w:r w:rsidR="00575AA5">
              <w:rPr>
                <w:rFonts w:ascii="Verdana" w:hAnsi="Verdana"/>
                <w:b/>
                <w:bCs/>
              </w:rPr>
              <w:t xml:space="preserve"> Member Search</w:t>
            </w:r>
            <w:r w:rsidR="00C06494">
              <w:rPr>
                <w:rFonts w:ascii="Verdana" w:hAnsi="Verdana"/>
              </w:rPr>
              <w:t>;</w:t>
            </w:r>
            <w:r w:rsidR="00BE664A" w:rsidRPr="001B78CE">
              <w:rPr>
                <w:rFonts w:ascii="Verdana" w:hAnsi="Verdana"/>
              </w:rPr>
              <w:t xml:space="preserve"> missing</w:t>
            </w:r>
            <w:r w:rsidR="00BE664A">
              <w:rPr>
                <w:rFonts w:ascii="Verdana" w:hAnsi="Verdana"/>
              </w:rPr>
              <w:t xml:space="preserve"> pre-enrollment information</w:t>
            </w:r>
            <w:r w:rsidR="009E308A">
              <w:rPr>
                <w:rFonts w:ascii="Verdana" w:hAnsi="Verdana"/>
              </w:rPr>
              <w:t xml:space="preserve"> is found in FAZAL</w:t>
            </w:r>
            <w:r w:rsidR="00BE664A">
              <w:rPr>
                <w:rFonts w:ascii="Verdana" w:hAnsi="Verdana"/>
              </w:rPr>
              <w:t xml:space="preserve"> </w:t>
            </w:r>
          </w:p>
        </w:tc>
        <w:tc>
          <w:tcPr>
            <w:tcW w:w="3690" w:type="pct"/>
            <w:hideMark/>
          </w:tcPr>
          <w:p w14:paraId="71172884" w14:textId="1B8C6EAE" w:rsidR="00BE664A" w:rsidRDefault="00BE664A" w:rsidP="0064618B">
            <w:pPr>
              <w:spacing w:before="240" w:after="240"/>
              <w:rPr>
                <w:rStyle w:val="Hyperlink"/>
                <w:rFonts w:ascii="Verdana" w:hAnsi="Verdana"/>
              </w:rPr>
            </w:pPr>
            <w:r w:rsidRPr="0064618B">
              <w:rPr>
                <w:rFonts w:ascii="Verdana" w:hAnsi="Verdana"/>
              </w:rPr>
              <w:t xml:space="preserve">Search for future lines of eligibility using </w:t>
            </w:r>
            <w:r>
              <w:rPr>
                <w:rFonts w:ascii="Verdana" w:hAnsi="Verdana"/>
              </w:rPr>
              <w:t xml:space="preserve">a </w:t>
            </w:r>
            <w:r w:rsidRPr="0064618B">
              <w:rPr>
                <w:rFonts w:ascii="Verdana" w:hAnsi="Verdana"/>
              </w:rPr>
              <w:t xml:space="preserve">Name and </w:t>
            </w:r>
            <w:r>
              <w:rPr>
                <w:rFonts w:ascii="Verdana" w:hAnsi="Verdana"/>
              </w:rPr>
              <w:t>date of birth (DOB)</w:t>
            </w:r>
            <w:r w:rsidRPr="0064618B">
              <w:rPr>
                <w:rFonts w:ascii="Verdana" w:hAnsi="Verdana"/>
              </w:rPr>
              <w:t xml:space="preserve"> search in Compass and populating the </w:t>
            </w:r>
            <w:r w:rsidRPr="0064618B">
              <w:rPr>
                <w:rFonts w:ascii="Verdana" w:hAnsi="Verdana"/>
                <w:b/>
              </w:rPr>
              <w:t xml:space="preserve">Both </w:t>
            </w:r>
            <w:r w:rsidRPr="0064618B">
              <w:rPr>
                <w:rFonts w:ascii="Verdana" w:hAnsi="Verdana"/>
                <w:bCs/>
              </w:rPr>
              <w:t>radio button</w:t>
            </w:r>
            <w:r w:rsidRPr="0064618B">
              <w:rPr>
                <w:rFonts w:ascii="Verdana" w:hAnsi="Verdana"/>
              </w:rPr>
              <w:t xml:space="preserve"> on the </w:t>
            </w:r>
            <w:r w:rsidRPr="0064618B">
              <w:rPr>
                <w:rFonts w:ascii="Verdana" w:hAnsi="Verdana"/>
                <w:b/>
                <w:bCs/>
              </w:rPr>
              <w:t>Search Results</w:t>
            </w:r>
            <w:r w:rsidRPr="0064618B">
              <w:rPr>
                <w:rFonts w:ascii="Verdana" w:hAnsi="Verdana"/>
              </w:rPr>
              <w:t xml:space="preserve"> screen to display both active and inactive members. Refer to </w:t>
            </w:r>
            <w:hyperlink r:id="rId15" w:anchor="!/view?docid=b25b4ad4-2d16-4961-8251-43dfab7e46f3" w:history="1">
              <w:hyperlink r:id="rId16" w:anchor="!/view?docid=44e71d7a-1b1c-4931-9089-d4161a72d114" w:history="1">
                <w:r w:rsidRPr="0064618B">
                  <w:rPr>
                    <w:rStyle w:val="Hyperlink"/>
                    <w:rFonts w:ascii="Verdana" w:hAnsi="Verdana"/>
                  </w:rPr>
                  <w:t>Compass - Member Search</w:t>
                </w:r>
              </w:hyperlink>
              <w:r w:rsidRPr="0064618B">
                <w:rPr>
                  <w:rStyle w:val="Hyperlink"/>
                  <w:rFonts w:ascii="Verdana" w:hAnsi="Verdana"/>
                </w:rPr>
                <w:t>.</w:t>
              </w:r>
            </w:hyperlink>
          </w:p>
          <w:p w14:paraId="60CB5FD1" w14:textId="77777777" w:rsidR="00E171A6" w:rsidRPr="0064618B" w:rsidRDefault="00E171A6" w:rsidP="0064618B">
            <w:pPr>
              <w:spacing w:before="240" w:after="240"/>
              <w:rPr>
                <w:rFonts w:ascii="Verdana" w:hAnsi="Verdana"/>
              </w:rPr>
            </w:pPr>
          </w:p>
          <w:p w14:paraId="642C93CF" w14:textId="68CFCBE2" w:rsidR="00BE664A" w:rsidRDefault="00BE664A" w:rsidP="00874437">
            <w:pPr>
              <w:spacing w:before="240" w:after="240"/>
              <w:jc w:val="center"/>
              <w:rPr>
                <w:rFonts w:ascii="Verdana" w:hAnsi="Verdana"/>
              </w:rPr>
            </w:pPr>
            <w:r>
              <w:rPr>
                <w:noProof/>
              </w:rPr>
              <w:drawing>
                <wp:inline distT="0" distB="0" distL="0" distR="0" wp14:anchorId="06CD9836" wp14:editId="0B33BC59">
                  <wp:extent cx="8451760" cy="16884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459224" cy="1689956"/>
                          </a:xfrm>
                          <a:prstGeom prst="rect">
                            <a:avLst/>
                          </a:prstGeom>
                        </pic:spPr>
                      </pic:pic>
                    </a:graphicData>
                  </a:graphic>
                </wp:inline>
              </w:drawing>
            </w:r>
          </w:p>
          <w:p w14:paraId="70C52FBC" w14:textId="77777777" w:rsidR="00E171A6" w:rsidRDefault="00E171A6" w:rsidP="00D2217F">
            <w:pPr>
              <w:spacing w:before="240" w:after="240"/>
              <w:rPr>
                <w:rFonts w:ascii="Verdana" w:hAnsi="Verdana"/>
              </w:rPr>
            </w:pPr>
          </w:p>
          <w:p w14:paraId="6722DCA8" w14:textId="08D3F873" w:rsidR="00D2217F" w:rsidRDefault="006D00ED" w:rsidP="00D2217F">
            <w:pPr>
              <w:spacing w:before="240" w:after="240"/>
              <w:rPr>
                <w:rFonts w:ascii="Verdana" w:hAnsi="Verdana"/>
              </w:rPr>
            </w:pPr>
            <w:r>
              <w:rPr>
                <w:noProof/>
              </w:rPr>
              <w:drawing>
                <wp:inline distT="0" distB="0" distL="0" distR="0" wp14:anchorId="1CA4052B" wp14:editId="7343BDC4">
                  <wp:extent cx="304800" cy="304800"/>
                  <wp:effectExtent l="0" t="0" r="0" b="0"/>
                  <wp:docPr id="27496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D284C">
              <w:rPr>
                <w:rFonts w:ascii="Verdana" w:hAnsi="Verdana"/>
              </w:rPr>
              <w:t>For information regarding missing pre-enrollment, refer to</w:t>
            </w:r>
            <w:r w:rsidR="00FD284C">
              <w:t xml:space="preserve"> </w:t>
            </w:r>
            <w:hyperlink r:id="rId19" w:anchor="!/view?docid=c31eec52-fb25-4867-9693-4b5129d67190" w:history="1">
              <w:r w:rsidR="00FD284C" w:rsidRPr="00E171A6">
                <w:rPr>
                  <w:rStyle w:val="Hyperlink"/>
                  <w:rFonts w:ascii="Verdana" w:hAnsi="Verdana"/>
                </w:rPr>
                <w:t>Compass MED D - Incomplete Enrollments (ICE) or Enrollments with Missing Information</w:t>
              </w:r>
            </w:hyperlink>
            <w:r w:rsidR="00FD284C">
              <w:rPr>
                <w:rFonts w:ascii="Verdana" w:hAnsi="Verdana"/>
              </w:rPr>
              <w:t>. If you are unable to document in F</w:t>
            </w:r>
            <w:r w:rsidR="00E171A6">
              <w:rPr>
                <w:rFonts w:ascii="Verdana" w:hAnsi="Verdana"/>
              </w:rPr>
              <w:t>AZAL</w:t>
            </w:r>
            <w:r w:rsidR="00D2217F">
              <w:rPr>
                <w:rFonts w:ascii="Verdana" w:hAnsi="Verdana"/>
              </w:rPr>
              <w:t>,</w:t>
            </w:r>
            <w:r w:rsidR="00E452DA">
              <w:rPr>
                <w:rFonts w:ascii="Verdana" w:hAnsi="Verdana"/>
              </w:rPr>
              <w:t xml:space="preserve"> navigate to the </w:t>
            </w:r>
            <w:r w:rsidR="00E452DA" w:rsidRPr="00E452DA">
              <w:rPr>
                <w:rFonts w:ascii="Verdana" w:hAnsi="Verdana"/>
                <w:b/>
                <w:bCs/>
              </w:rPr>
              <w:t>Search by Medicare D</w:t>
            </w:r>
            <w:r w:rsidR="00E452DA">
              <w:rPr>
                <w:rFonts w:ascii="Verdana" w:hAnsi="Verdana"/>
              </w:rPr>
              <w:t xml:space="preserve"> tab and</w:t>
            </w:r>
            <w:r w:rsidR="00D2217F">
              <w:rPr>
                <w:rFonts w:ascii="Verdana" w:hAnsi="Verdana"/>
              </w:rPr>
              <w:t xml:space="preserve"> c</w:t>
            </w:r>
            <w:r w:rsidR="00D2217F" w:rsidRPr="00FE712C">
              <w:rPr>
                <w:rFonts w:ascii="Verdana" w:hAnsi="Verdana"/>
              </w:rPr>
              <w:t xml:space="preserve">lick </w:t>
            </w:r>
            <w:r w:rsidR="00D2217F">
              <w:rPr>
                <w:rFonts w:ascii="Verdana" w:hAnsi="Verdana"/>
              </w:rPr>
              <w:t>the drop-</w:t>
            </w:r>
            <w:r w:rsidR="00D2217F" w:rsidRPr="00FE712C">
              <w:rPr>
                <w:rFonts w:ascii="Verdana" w:hAnsi="Verdana"/>
              </w:rPr>
              <w:t>down arrow in</w:t>
            </w:r>
            <w:r w:rsidR="00D2217F">
              <w:rPr>
                <w:rFonts w:ascii="Verdana" w:hAnsi="Verdana"/>
              </w:rPr>
              <w:t xml:space="preserve"> the</w:t>
            </w:r>
            <w:r w:rsidR="00D2217F" w:rsidRPr="00FE712C">
              <w:rPr>
                <w:rFonts w:ascii="Verdana" w:hAnsi="Verdana"/>
              </w:rPr>
              <w:t xml:space="preserve"> </w:t>
            </w:r>
            <w:r w:rsidR="00D2217F" w:rsidRPr="008F5C08">
              <w:rPr>
                <w:rFonts w:ascii="Verdana" w:hAnsi="Verdana"/>
                <w:b/>
                <w:bCs/>
              </w:rPr>
              <w:t>Support Task Actions</w:t>
            </w:r>
            <w:r w:rsidR="00D2217F" w:rsidRPr="00FE712C">
              <w:rPr>
                <w:rFonts w:ascii="Verdana" w:hAnsi="Verdana"/>
              </w:rPr>
              <w:t xml:space="preserve"> button to see </w:t>
            </w:r>
            <w:r w:rsidR="00D2217F" w:rsidRPr="00982E00">
              <w:rPr>
                <w:rFonts w:ascii="Verdana" w:hAnsi="Verdana"/>
              </w:rPr>
              <w:t xml:space="preserve">Support Task options. </w:t>
            </w:r>
            <w:r w:rsidR="00D2217F">
              <w:rPr>
                <w:rFonts w:ascii="Verdana" w:hAnsi="Verdana"/>
              </w:rPr>
              <w:t>Then s</w:t>
            </w:r>
            <w:r w:rsidR="00D2217F" w:rsidRPr="00982E00">
              <w:rPr>
                <w:rFonts w:ascii="Verdana" w:hAnsi="Verdana"/>
              </w:rPr>
              <w:t xml:space="preserve">elect </w:t>
            </w:r>
            <w:r w:rsidR="00D2217F" w:rsidRPr="00BE664A">
              <w:rPr>
                <w:rFonts w:ascii="Verdana" w:hAnsi="Verdana"/>
                <w:b/>
                <w:bCs/>
              </w:rPr>
              <w:t>Create Med D Enrollment Support Task</w:t>
            </w:r>
            <w:r w:rsidR="00D2217F" w:rsidRPr="00BE664A">
              <w:rPr>
                <w:rFonts w:ascii="Verdana" w:hAnsi="Verdana"/>
              </w:rPr>
              <w:t xml:space="preserve"> and create the following task:</w:t>
            </w:r>
          </w:p>
          <w:p w14:paraId="3F781111" w14:textId="77777777" w:rsidR="00D2217F" w:rsidRPr="00FE712C" w:rsidRDefault="00D2217F" w:rsidP="00D2217F">
            <w:pPr>
              <w:rPr>
                <w:rFonts w:ascii="Verdana" w:hAnsi="Verdana"/>
              </w:rPr>
            </w:pPr>
            <w:r w:rsidRPr="00FE712C">
              <w:rPr>
                <w:rFonts w:ascii="Verdana" w:hAnsi="Verdana"/>
                <w:b/>
                <w:bCs/>
              </w:rPr>
              <w:t xml:space="preserve">Task Type: </w:t>
            </w:r>
            <w:r>
              <w:rPr>
                <w:rFonts w:ascii="Verdana" w:hAnsi="Verdana"/>
                <w:b/>
                <w:bCs/>
              </w:rPr>
              <w:t xml:space="preserve"> </w:t>
            </w:r>
            <w:r w:rsidRPr="00DA7457">
              <w:rPr>
                <w:rFonts w:ascii="Verdana" w:hAnsi="Verdana"/>
              </w:rPr>
              <w:t>Enrollment -Missing Pre-enrollment Information - RFI</w:t>
            </w:r>
          </w:p>
          <w:p w14:paraId="7C339290" w14:textId="77777777" w:rsidR="00D2217F" w:rsidRDefault="00D2217F" w:rsidP="00D2217F">
            <w:pPr>
              <w:spacing w:before="240" w:after="240"/>
              <w:rPr>
                <w:rFonts w:ascii="Verdana" w:hAnsi="Verdana"/>
                <w:color w:val="000000"/>
              </w:rPr>
            </w:pPr>
            <w:r w:rsidRPr="00FE712C">
              <w:rPr>
                <w:rFonts w:ascii="Verdana" w:hAnsi="Verdana"/>
                <w:b/>
                <w:bCs/>
              </w:rPr>
              <w:t>Notes</w:t>
            </w:r>
            <w:proofErr w:type="gramStart"/>
            <w:r w:rsidRPr="00FE712C">
              <w:rPr>
                <w:rFonts w:ascii="Verdana" w:hAnsi="Verdana"/>
                <w:b/>
                <w:bCs/>
              </w:rPr>
              <w:t>:</w:t>
            </w:r>
            <w:r>
              <w:rPr>
                <w:rFonts w:ascii="Verdana" w:hAnsi="Verdana"/>
                <w:b/>
                <w:bCs/>
              </w:rPr>
              <w:t xml:space="preserve">  </w:t>
            </w:r>
            <w:r>
              <w:rPr>
                <w:rFonts w:ascii="Verdana" w:hAnsi="Verdana"/>
                <w:color w:val="000000"/>
              </w:rPr>
              <w:t>Document</w:t>
            </w:r>
            <w:proofErr w:type="gramEnd"/>
            <w:r>
              <w:rPr>
                <w:rFonts w:ascii="Verdana" w:hAnsi="Verdana"/>
                <w:color w:val="000000"/>
              </w:rPr>
              <w:t xml:space="preserve"> the new or updated information needed to complete the application</w:t>
            </w:r>
          </w:p>
          <w:p w14:paraId="6DD244F3" w14:textId="77777777" w:rsidR="00E452DA" w:rsidRDefault="00E452DA" w:rsidP="00D2217F">
            <w:pPr>
              <w:spacing w:before="240" w:after="240"/>
              <w:rPr>
                <w:rFonts w:ascii="Verdana" w:hAnsi="Verdana"/>
                <w:color w:val="000000"/>
              </w:rPr>
            </w:pPr>
          </w:p>
          <w:p w14:paraId="49D50494" w14:textId="3AFD6E36" w:rsidR="00DA7457" w:rsidRDefault="00E452DA" w:rsidP="00E452DA">
            <w:pPr>
              <w:spacing w:before="240" w:after="240"/>
              <w:jc w:val="center"/>
              <w:rPr>
                <w:rFonts w:ascii="Verdana" w:hAnsi="Verdana"/>
              </w:rPr>
            </w:pPr>
            <w:r>
              <w:rPr>
                <w:noProof/>
              </w:rPr>
              <w:drawing>
                <wp:inline distT="0" distB="0" distL="0" distR="0" wp14:anchorId="07777798" wp14:editId="079C0727">
                  <wp:extent cx="7877175" cy="4097801"/>
                  <wp:effectExtent l="19050" t="19050" r="9525" b="17145"/>
                  <wp:docPr id="197160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07165" name=""/>
                          <pic:cNvPicPr/>
                        </pic:nvPicPr>
                        <pic:blipFill>
                          <a:blip r:embed="rId20"/>
                          <a:stretch>
                            <a:fillRect/>
                          </a:stretch>
                        </pic:blipFill>
                        <pic:spPr>
                          <a:xfrm>
                            <a:off x="0" y="0"/>
                            <a:ext cx="7893732" cy="4106414"/>
                          </a:xfrm>
                          <a:prstGeom prst="rect">
                            <a:avLst/>
                          </a:prstGeom>
                          <a:ln>
                            <a:solidFill>
                              <a:schemeClr val="tx1"/>
                            </a:solidFill>
                          </a:ln>
                        </pic:spPr>
                      </pic:pic>
                    </a:graphicData>
                  </a:graphic>
                </wp:inline>
              </w:drawing>
            </w:r>
          </w:p>
          <w:p w14:paraId="49DA1CCD" w14:textId="77777777" w:rsidR="00DA7457" w:rsidRDefault="00DA7457" w:rsidP="00874437">
            <w:pPr>
              <w:spacing w:before="240" w:after="240"/>
              <w:jc w:val="center"/>
              <w:rPr>
                <w:rFonts w:ascii="Verdana" w:hAnsi="Verdana"/>
              </w:rPr>
            </w:pPr>
          </w:p>
          <w:p w14:paraId="207A4CC9" w14:textId="757ECD65" w:rsidR="00BE664A" w:rsidRDefault="00BE664A" w:rsidP="00874437">
            <w:pPr>
              <w:spacing w:before="240" w:after="240"/>
              <w:rPr>
                <w:rFonts w:ascii="Verdana" w:hAnsi="Verdana"/>
                <w:color w:val="0000FF"/>
                <w:u w:val="single"/>
              </w:rPr>
            </w:pPr>
            <w:r>
              <w:rPr>
                <w:rFonts w:ascii="Verdana" w:hAnsi="Verdana"/>
                <w:noProof/>
              </w:rPr>
              <w:drawing>
                <wp:inline distT="0" distB="0" distL="0" distR="0" wp14:anchorId="6CECBA46" wp14:editId="50B306F1">
                  <wp:extent cx="247650" cy="209550"/>
                  <wp:effectExtent l="0" t="0" r="0" b="0"/>
                  <wp:docPr id="8" name="Picture 8"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_-_Important_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rFonts w:ascii="Verdana" w:hAnsi="Verdana"/>
              </w:rPr>
              <w:t xml:space="preserve"> Under no circumstances should a CCR advise a member that they are or will soon be ineligible unless the Group plan is termed. Warm Transfer the call to SRT for eligibility verification if unable to verify in Compass. Refer to </w:t>
            </w:r>
            <w:hyperlink r:id="rId21" w:anchor="!/view?docid=0990aac5-274f-424d-9400-546d74b3fed7" w:history="1">
              <w:r w:rsidRPr="0064618B">
                <w:rPr>
                  <w:rStyle w:val="Hyperlink"/>
                  <w:rFonts w:ascii="Verdana" w:hAnsi="Verdana"/>
                </w:rPr>
                <w:t>Compass MED D - When to Transfer Calls to the Senior Team</w:t>
              </w:r>
            </w:hyperlink>
            <w:r>
              <w:rPr>
                <w:rFonts w:ascii="Verdana" w:hAnsi="Verdana"/>
              </w:rPr>
              <w:t>.</w:t>
            </w:r>
          </w:p>
        </w:tc>
      </w:tr>
      <w:tr w:rsidR="00BE664A" w14:paraId="36FA013D" w14:textId="77777777" w:rsidTr="006D00ED">
        <w:trPr>
          <w:trHeight w:val="1322"/>
        </w:trPr>
        <w:tc>
          <w:tcPr>
            <w:tcW w:w="226" w:type="pct"/>
            <w:vMerge/>
            <w:vAlign w:val="center"/>
            <w:hideMark/>
          </w:tcPr>
          <w:p w14:paraId="5C552DEB" w14:textId="77777777" w:rsidR="00BE664A" w:rsidRDefault="00BE664A" w:rsidP="00874437">
            <w:pPr>
              <w:rPr>
                <w:rFonts w:ascii="Verdana" w:hAnsi="Verdana"/>
                <w:b/>
              </w:rPr>
            </w:pPr>
          </w:p>
        </w:tc>
        <w:tc>
          <w:tcPr>
            <w:tcW w:w="1084" w:type="pct"/>
            <w:hideMark/>
          </w:tcPr>
          <w:p w14:paraId="4ACF802A" w14:textId="77777777" w:rsidR="00BE664A" w:rsidRDefault="00BE664A" w:rsidP="00874437">
            <w:pPr>
              <w:spacing w:before="240" w:after="240"/>
              <w:rPr>
                <w:rFonts w:ascii="Verdana" w:hAnsi="Verdana"/>
              </w:rPr>
            </w:pPr>
            <w:bookmarkStart w:id="7" w:name="OLE_LINK5"/>
            <w:r>
              <w:rPr>
                <w:rFonts w:ascii="Verdana" w:hAnsi="Verdana"/>
              </w:rPr>
              <w:t>Found, but the caller states the member is deceased.</w:t>
            </w:r>
            <w:bookmarkEnd w:id="7"/>
          </w:p>
        </w:tc>
        <w:tc>
          <w:tcPr>
            <w:tcW w:w="3690" w:type="pct"/>
            <w:hideMark/>
          </w:tcPr>
          <w:p w14:paraId="1574A566" w14:textId="1A474852" w:rsidR="00BE664A" w:rsidRPr="00A55686" w:rsidRDefault="00BE664A" w:rsidP="00972772">
            <w:pPr>
              <w:pStyle w:val="style-scope"/>
              <w:textAlignment w:val="center"/>
              <w:rPr>
                <w:rFonts w:ascii="Verdana" w:hAnsi="Verdana"/>
              </w:rPr>
            </w:pPr>
            <w:r w:rsidRPr="00A55686">
              <w:rPr>
                <w:rFonts w:ascii="Verdana" w:hAnsi="Verdana"/>
              </w:rPr>
              <w:t>Refer to</w:t>
            </w:r>
            <w:r w:rsidRPr="00A9528D">
              <w:rPr>
                <w:rFonts w:ascii="Verdana" w:hAnsi="Verdana" w:cs="Helvetica"/>
                <w:b/>
                <w:bCs/>
                <w:color w:val="000000"/>
              </w:rPr>
              <w:t xml:space="preserve"> </w:t>
            </w:r>
            <w:hyperlink r:id="rId22" w:anchor="!/view?docid=03532634-0441-4503-8b66-d19f9eec0c32" w:history="1">
              <w:r w:rsidRPr="00A9528D">
                <w:rPr>
                  <w:rStyle w:val="Hyperlink"/>
                  <w:rFonts w:ascii="Verdana" w:hAnsi="Verdana"/>
                </w:rPr>
                <w:t>Compass MED D - Deceased Beneficiary</w:t>
              </w:r>
            </w:hyperlink>
            <w:r w:rsidRPr="00A55686">
              <w:rPr>
                <w:rFonts w:ascii="Verdana" w:hAnsi="Verdana"/>
              </w:rPr>
              <w:t>.</w:t>
            </w:r>
          </w:p>
        </w:tc>
      </w:tr>
      <w:tr w:rsidR="00BE664A" w14:paraId="14CB6CE8" w14:textId="77777777" w:rsidTr="006D00ED">
        <w:trPr>
          <w:trHeight w:val="296"/>
        </w:trPr>
        <w:tc>
          <w:tcPr>
            <w:tcW w:w="226" w:type="pct"/>
            <w:vMerge/>
            <w:vAlign w:val="center"/>
          </w:tcPr>
          <w:p w14:paraId="4298C72A" w14:textId="77777777" w:rsidR="00BE664A" w:rsidRDefault="00BE664A" w:rsidP="00874437">
            <w:pPr>
              <w:rPr>
                <w:rFonts w:ascii="Verdana" w:hAnsi="Verdana"/>
                <w:b/>
              </w:rPr>
            </w:pPr>
          </w:p>
        </w:tc>
        <w:tc>
          <w:tcPr>
            <w:tcW w:w="1084" w:type="pct"/>
          </w:tcPr>
          <w:p w14:paraId="7A1D6933" w14:textId="499D2820" w:rsidR="00BE664A" w:rsidRDefault="00BE664A" w:rsidP="00A9528D">
            <w:pPr>
              <w:spacing w:before="240" w:after="240"/>
              <w:rPr>
                <w:rFonts w:ascii="Verdana" w:hAnsi="Verdana"/>
              </w:rPr>
            </w:pPr>
            <w:r>
              <w:rPr>
                <w:rFonts w:ascii="Verdana" w:hAnsi="Verdana"/>
              </w:rPr>
              <w:t xml:space="preserve">Not found </w:t>
            </w:r>
          </w:p>
        </w:tc>
        <w:tc>
          <w:tcPr>
            <w:tcW w:w="3690" w:type="pct"/>
            <w:vAlign w:val="center"/>
          </w:tcPr>
          <w:p w14:paraId="3CFAE7B7" w14:textId="2390A1DF" w:rsidR="00BE664A" w:rsidRDefault="006D00ED" w:rsidP="00262F06">
            <w:pPr>
              <w:spacing w:before="240" w:after="240"/>
              <w:rPr>
                <w:rFonts w:ascii="Verdana" w:hAnsi="Verdana"/>
              </w:rPr>
            </w:pPr>
            <w:r>
              <w:rPr>
                <w:noProof/>
              </w:rPr>
              <w:drawing>
                <wp:inline distT="0" distB="0" distL="0" distR="0" wp14:anchorId="7EC58727" wp14:editId="04E2E37E">
                  <wp:extent cx="304800" cy="304800"/>
                  <wp:effectExtent l="0" t="0" r="0" b="0"/>
                  <wp:docPr id="1447590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452DA">
              <w:rPr>
                <w:rFonts w:ascii="Verdana" w:hAnsi="Verdana"/>
              </w:rPr>
              <w:t xml:space="preserve">Navigate to the </w:t>
            </w:r>
            <w:r w:rsidR="00E452DA" w:rsidRPr="00E452DA">
              <w:rPr>
                <w:rFonts w:ascii="Verdana" w:hAnsi="Verdana"/>
                <w:b/>
                <w:bCs/>
              </w:rPr>
              <w:t>Search by Medicare D</w:t>
            </w:r>
            <w:r w:rsidR="00E452DA">
              <w:rPr>
                <w:rFonts w:ascii="Verdana" w:hAnsi="Verdana"/>
              </w:rPr>
              <w:t xml:space="preserve"> tab and c</w:t>
            </w:r>
            <w:r w:rsidR="00BE664A" w:rsidRPr="00FE712C">
              <w:rPr>
                <w:rFonts w:ascii="Verdana" w:hAnsi="Verdana"/>
              </w:rPr>
              <w:t xml:space="preserve">lick </w:t>
            </w:r>
            <w:r w:rsidR="00BE664A">
              <w:rPr>
                <w:rFonts w:ascii="Verdana" w:hAnsi="Verdana"/>
              </w:rPr>
              <w:t>the drop-</w:t>
            </w:r>
            <w:r w:rsidR="00BE664A" w:rsidRPr="00FE712C">
              <w:rPr>
                <w:rFonts w:ascii="Verdana" w:hAnsi="Verdana"/>
              </w:rPr>
              <w:t>down arrow in</w:t>
            </w:r>
            <w:r w:rsidR="00BE664A">
              <w:rPr>
                <w:rFonts w:ascii="Verdana" w:hAnsi="Verdana"/>
              </w:rPr>
              <w:t xml:space="preserve"> the</w:t>
            </w:r>
            <w:r w:rsidR="00BE664A" w:rsidRPr="00FE712C">
              <w:rPr>
                <w:rFonts w:ascii="Verdana" w:hAnsi="Verdana"/>
              </w:rPr>
              <w:t xml:space="preserve"> </w:t>
            </w:r>
            <w:r w:rsidR="00BE664A" w:rsidRPr="008F5C08">
              <w:rPr>
                <w:rFonts w:ascii="Verdana" w:hAnsi="Verdana"/>
                <w:b/>
                <w:bCs/>
              </w:rPr>
              <w:t>Support Task Actions</w:t>
            </w:r>
            <w:r w:rsidR="00BE664A" w:rsidRPr="00FE712C">
              <w:rPr>
                <w:rFonts w:ascii="Verdana" w:hAnsi="Verdana"/>
              </w:rPr>
              <w:t xml:space="preserve"> button to see </w:t>
            </w:r>
            <w:r w:rsidR="00BE664A" w:rsidRPr="00982E00">
              <w:rPr>
                <w:rFonts w:ascii="Verdana" w:hAnsi="Verdana"/>
              </w:rPr>
              <w:t xml:space="preserve">Support Task options. </w:t>
            </w:r>
            <w:r w:rsidR="00BE664A">
              <w:rPr>
                <w:rFonts w:ascii="Verdana" w:hAnsi="Verdana"/>
              </w:rPr>
              <w:t>Then s</w:t>
            </w:r>
            <w:r w:rsidR="00BE664A" w:rsidRPr="00982E00">
              <w:rPr>
                <w:rFonts w:ascii="Verdana" w:hAnsi="Verdana"/>
              </w:rPr>
              <w:t xml:space="preserve">elect </w:t>
            </w:r>
            <w:r w:rsidR="00BE664A" w:rsidRPr="00BE664A">
              <w:rPr>
                <w:rFonts w:ascii="Verdana" w:hAnsi="Verdana"/>
                <w:b/>
                <w:bCs/>
              </w:rPr>
              <w:t>Create Med D Enrollment Support Task</w:t>
            </w:r>
            <w:r w:rsidR="00BE664A" w:rsidRPr="00BE664A">
              <w:rPr>
                <w:rFonts w:ascii="Verdana" w:hAnsi="Verdana"/>
              </w:rPr>
              <w:t xml:space="preserve"> and create the following task:</w:t>
            </w:r>
          </w:p>
          <w:p w14:paraId="1F9826CF" w14:textId="77777777" w:rsidR="00BE664A" w:rsidRPr="00FE712C" w:rsidRDefault="00BE664A" w:rsidP="00BE664A">
            <w:pPr>
              <w:rPr>
                <w:rFonts w:ascii="Verdana" w:hAnsi="Verdana"/>
              </w:rPr>
            </w:pPr>
            <w:r w:rsidRPr="00FE712C">
              <w:rPr>
                <w:rFonts w:ascii="Verdana" w:hAnsi="Verdana"/>
                <w:b/>
                <w:bCs/>
              </w:rPr>
              <w:t xml:space="preserve">Task Type: </w:t>
            </w:r>
            <w:r>
              <w:rPr>
                <w:rFonts w:ascii="Verdana" w:hAnsi="Verdana"/>
                <w:b/>
                <w:bCs/>
              </w:rPr>
              <w:t xml:space="preserve"> </w:t>
            </w:r>
            <w:r w:rsidRPr="00FE712C">
              <w:rPr>
                <w:rFonts w:ascii="Verdana" w:hAnsi="Verdana"/>
              </w:rPr>
              <w:t>Enrollment- Enrollment Not Found</w:t>
            </w:r>
          </w:p>
          <w:p w14:paraId="6FFE4CB4" w14:textId="39AD7EBD" w:rsidR="00BE664A" w:rsidRPr="00982E00" w:rsidRDefault="00BE664A" w:rsidP="00BE664A">
            <w:pPr>
              <w:rPr>
                <w:rFonts w:ascii="Verdana" w:hAnsi="Verdana"/>
              </w:rPr>
            </w:pPr>
            <w:r w:rsidRPr="00FE712C">
              <w:rPr>
                <w:rFonts w:ascii="Verdana" w:hAnsi="Verdana"/>
                <w:b/>
                <w:bCs/>
              </w:rPr>
              <w:t>Notes:</w:t>
            </w:r>
            <w:r>
              <w:rPr>
                <w:rFonts w:ascii="Verdana" w:hAnsi="Verdana"/>
                <w:b/>
                <w:bCs/>
              </w:rPr>
              <w:t xml:space="preserve">  </w:t>
            </w:r>
            <w:r w:rsidRPr="00FE712C">
              <w:rPr>
                <w:rFonts w:ascii="Verdana" w:hAnsi="Verdana"/>
              </w:rPr>
              <w:t>Document that no enrollment was found in FAZAL and Marx.</w:t>
            </w:r>
          </w:p>
          <w:p w14:paraId="69632EBE" w14:textId="099D6F02" w:rsidR="00BE664A" w:rsidRDefault="00BE664A" w:rsidP="00BE664A">
            <w:pPr>
              <w:spacing w:before="240" w:after="240"/>
              <w:rPr>
                <w:rFonts w:ascii="Verdana" w:hAnsi="Verdana"/>
              </w:rPr>
            </w:pPr>
            <w:r w:rsidRPr="00FE712C">
              <w:rPr>
                <w:rFonts w:ascii="Verdana" w:hAnsi="Verdana"/>
              </w:rPr>
              <w:t>Include any additional information provided by the beneficiary related to their call.</w:t>
            </w:r>
            <w:r>
              <w:rPr>
                <w:rFonts w:ascii="Verdana" w:hAnsi="Verdana"/>
              </w:rPr>
              <w:t xml:space="preserve"> All fields marked with an asterisk (*) are required.</w:t>
            </w:r>
          </w:p>
          <w:p w14:paraId="7FBB9DE6" w14:textId="28DF9C0D" w:rsidR="00BE664A" w:rsidRDefault="00BE664A" w:rsidP="00BE664A">
            <w:pPr>
              <w:spacing w:before="240" w:after="240"/>
              <w:rPr>
                <w:rFonts w:ascii="Verdana" w:hAnsi="Verdana"/>
              </w:rPr>
            </w:pPr>
            <w:r>
              <w:rPr>
                <w:rFonts w:ascii="Verdana" w:hAnsi="Verdana"/>
              </w:rPr>
              <w:t>Provide the turnaround time according to the Support Task.</w:t>
            </w:r>
          </w:p>
          <w:p w14:paraId="0098318C" w14:textId="7E9EA78C" w:rsidR="00BE664A" w:rsidRPr="00C55F7E" w:rsidRDefault="00E452DA" w:rsidP="00262F06">
            <w:pPr>
              <w:spacing w:before="240" w:after="240"/>
              <w:jc w:val="center"/>
              <w:rPr>
                <w:rFonts w:ascii="Verdana" w:hAnsi="Verdana"/>
              </w:rPr>
            </w:pPr>
            <w:r>
              <w:rPr>
                <w:noProof/>
              </w:rPr>
              <w:drawing>
                <wp:inline distT="0" distB="0" distL="0" distR="0" wp14:anchorId="1E2FD33D" wp14:editId="2BC783F5">
                  <wp:extent cx="7877175" cy="4097801"/>
                  <wp:effectExtent l="19050" t="19050" r="9525" b="17145"/>
                  <wp:docPr id="68712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07165" name=""/>
                          <pic:cNvPicPr/>
                        </pic:nvPicPr>
                        <pic:blipFill>
                          <a:blip r:embed="rId20"/>
                          <a:stretch>
                            <a:fillRect/>
                          </a:stretch>
                        </pic:blipFill>
                        <pic:spPr>
                          <a:xfrm>
                            <a:off x="0" y="0"/>
                            <a:ext cx="7893732" cy="4106414"/>
                          </a:xfrm>
                          <a:prstGeom prst="rect">
                            <a:avLst/>
                          </a:prstGeom>
                          <a:ln>
                            <a:solidFill>
                              <a:schemeClr val="tx1"/>
                            </a:solidFill>
                          </a:ln>
                        </pic:spPr>
                      </pic:pic>
                    </a:graphicData>
                  </a:graphic>
                </wp:inline>
              </w:drawing>
            </w:r>
          </w:p>
          <w:p w14:paraId="0CD65018" w14:textId="5203E125" w:rsidR="00BE664A" w:rsidRDefault="00BE664A" w:rsidP="00262F06">
            <w:pPr>
              <w:pStyle w:val="NormalWeb"/>
              <w:spacing w:before="240" w:beforeAutospacing="0" w:after="240" w:afterAutospacing="0"/>
              <w:rPr>
                <w:rFonts w:ascii="Verdana" w:hAnsi="Verdana"/>
              </w:rPr>
            </w:pPr>
          </w:p>
        </w:tc>
      </w:tr>
    </w:tbl>
    <w:p w14:paraId="22DD8967" w14:textId="13D96733" w:rsidR="00A821F2" w:rsidRDefault="000E0A57" w:rsidP="00C57BBF">
      <w:pPr>
        <w:spacing w:before="120" w:after="120"/>
        <w:rPr>
          <w:rFonts w:ascii="Verdana" w:hAnsi="Verdana"/>
        </w:rPr>
      </w:pPr>
      <w:r>
        <w:rPr>
          <w:rFonts w:ascii="Verdana" w:hAnsi="Verdana"/>
        </w:rPr>
        <w:tab/>
      </w:r>
      <w:r>
        <w:rPr>
          <w:rFonts w:ascii="Verdana" w:hAnsi="Verdana"/>
        </w:rPr>
        <w:tab/>
      </w:r>
      <w:r>
        <w:rPr>
          <w:rFonts w:ascii="Verdana" w:hAnsi="Verdana"/>
        </w:rPr>
        <w:tab/>
      </w:r>
    </w:p>
    <w:p w14:paraId="5C264F8A" w14:textId="644431DF" w:rsidR="00C57BBF" w:rsidRPr="005D7976" w:rsidRDefault="000E0A57" w:rsidP="00C57BBF">
      <w:pPr>
        <w:spacing w:before="120" w:after="120"/>
        <w:jc w:val="right"/>
        <w:rPr>
          <w:rFonts w:ascii="Verdana" w:hAnsi="Verdana"/>
        </w:rPr>
      </w:pPr>
      <w:hyperlink w:anchor="_top" w:history="1">
        <w:r w:rsidRPr="000E0A57">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821F2" w:rsidRPr="005D7976" w14:paraId="476C23A5" w14:textId="77777777" w:rsidTr="000E0A57">
        <w:tc>
          <w:tcPr>
            <w:tcW w:w="5000" w:type="pct"/>
            <w:shd w:val="clear" w:color="auto" w:fill="C0C0C0"/>
          </w:tcPr>
          <w:p w14:paraId="27ECEDD1" w14:textId="77777777" w:rsidR="00A821F2" w:rsidRPr="005D7976" w:rsidRDefault="00A821F2" w:rsidP="00730359">
            <w:pPr>
              <w:pStyle w:val="Heading2"/>
              <w:spacing w:before="120" w:after="120"/>
              <w:rPr>
                <w:rFonts w:ascii="Verdana" w:hAnsi="Verdana"/>
                <w:i w:val="0"/>
                <w:iCs w:val="0"/>
              </w:rPr>
            </w:pPr>
            <w:bookmarkStart w:id="8" w:name="_Toc9940889"/>
            <w:bookmarkStart w:id="9" w:name="_Toc162960756"/>
            <w:r w:rsidRPr="005D7976">
              <w:rPr>
                <w:rFonts w:ascii="Verdana" w:hAnsi="Verdana"/>
                <w:i w:val="0"/>
                <w:iCs w:val="0"/>
              </w:rPr>
              <w:t>Related Documents</w:t>
            </w:r>
            <w:bookmarkEnd w:id="8"/>
            <w:bookmarkEnd w:id="9"/>
          </w:p>
        </w:tc>
      </w:tr>
    </w:tbl>
    <w:p w14:paraId="1AA05E0A" w14:textId="77777777" w:rsidR="00A821F2" w:rsidRDefault="00A821F2" w:rsidP="00730359">
      <w:pPr>
        <w:spacing w:before="120" w:after="120"/>
        <w:rPr>
          <w:rFonts w:ascii="Verdana" w:hAnsi="Verdana"/>
          <w:b/>
        </w:rPr>
      </w:pPr>
      <w:r>
        <w:rPr>
          <w:rFonts w:ascii="Verdana" w:hAnsi="Verdana"/>
          <w:b/>
        </w:rPr>
        <w:t xml:space="preserve">Parent SOP: </w:t>
      </w:r>
      <w:hyperlink r:id="rId23" w:history="1">
        <w:r w:rsidRPr="00FD1F06">
          <w:rPr>
            <w:rStyle w:val="Hyperlink"/>
            <w:rFonts w:ascii="Verdana" w:hAnsi="Verdana"/>
          </w:rPr>
          <w:t>CALL-0011</w:t>
        </w:r>
      </w:hyperlink>
    </w:p>
    <w:p w14:paraId="15446B18" w14:textId="4FFE5DA2" w:rsidR="000D3474" w:rsidRDefault="00A821F2" w:rsidP="00730359">
      <w:pPr>
        <w:spacing w:before="120" w:after="120"/>
        <w:rPr>
          <w:rFonts w:ascii="Verdana" w:hAnsi="Verdana"/>
        </w:rPr>
      </w:pPr>
      <w:r>
        <w:rPr>
          <w:rFonts w:ascii="Verdana" w:hAnsi="Verdana"/>
          <w:b/>
        </w:rPr>
        <w:t xml:space="preserve">Abbreviations/Definitions: </w:t>
      </w:r>
      <w:hyperlink r:id="rId24" w:history="1">
        <w:r w:rsidR="00FC4C3A">
          <w:rPr>
            <w:rStyle w:val="Hyperlink"/>
            <w:rFonts w:ascii="Verdana" w:hAnsi="Verdana"/>
          </w:rPr>
          <w:t>Customer Care Abbreviations, Definitions and Terms</w:t>
        </w:r>
      </w:hyperlink>
    </w:p>
    <w:p w14:paraId="07711BF1" w14:textId="77777777" w:rsidR="00A575B0" w:rsidRDefault="00A575B0" w:rsidP="00730359">
      <w:pPr>
        <w:spacing w:before="120" w:after="120"/>
        <w:jc w:val="right"/>
        <w:rPr>
          <w:rFonts w:ascii="Verdana" w:hAnsi="Verdana"/>
        </w:rPr>
      </w:pPr>
    </w:p>
    <w:p w14:paraId="7CCD39CD" w14:textId="7EC93131" w:rsidR="007A403E" w:rsidRDefault="00A575B0" w:rsidP="00730359">
      <w:pPr>
        <w:spacing w:before="120" w:after="120"/>
        <w:jc w:val="right"/>
        <w:rPr>
          <w:rFonts w:ascii="Verdana" w:hAnsi="Verdana"/>
        </w:rPr>
      </w:pPr>
      <w:hyperlink w:anchor="_top" w:history="1">
        <w:r w:rsidRPr="00A575B0">
          <w:rPr>
            <w:rStyle w:val="Hyperlink"/>
            <w:rFonts w:ascii="Verdana" w:hAnsi="Verdana"/>
          </w:rPr>
          <w:t>Top of the Document</w:t>
        </w:r>
      </w:hyperlink>
    </w:p>
    <w:p w14:paraId="682F759E"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To Be Reproduced </w:t>
      </w:r>
      <w:proofErr w:type="gramStart"/>
      <w:r w:rsidRPr="00C247CB">
        <w:rPr>
          <w:rFonts w:ascii="Verdana" w:hAnsi="Verdana"/>
          <w:sz w:val="16"/>
          <w:szCs w:val="16"/>
        </w:rPr>
        <w:t>Or</w:t>
      </w:r>
      <w:proofErr w:type="gramEnd"/>
      <w:r w:rsidRPr="00C247CB">
        <w:rPr>
          <w:rFonts w:ascii="Verdana" w:hAnsi="Verdana"/>
          <w:sz w:val="16"/>
          <w:szCs w:val="16"/>
        </w:rPr>
        <w:t xml:space="preserve"> Disclosed to Others Without Prior Written Approval</w:t>
      </w:r>
    </w:p>
    <w:p w14:paraId="7FC009E2" w14:textId="23D2989F"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A575B0">
        <w:rPr>
          <w:rFonts w:ascii="Verdana" w:hAnsi="Verdana"/>
          <w:b/>
          <w:color w:val="000000"/>
          <w:sz w:val="16"/>
          <w:szCs w:val="16"/>
        </w:rPr>
        <w:t>/</w:t>
      </w:r>
      <w:r w:rsidRPr="00C247CB">
        <w:rPr>
          <w:rFonts w:ascii="Verdana" w:hAnsi="Verdana"/>
          <w:b/>
          <w:color w:val="000000"/>
          <w:sz w:val="16"/>
          <w:szCs w:val="16"/>
        </w:rPr>
        <w:t xml:space="preserve"> PAPER COPY – INFORMATIONAL ONLY</w:t>
      </w:r>
    </w:p>
    <w:p w14:paraId="05481AFE" w14:textId="56E2834E" w:rsidR="005A64DA" w:rsidRPr="00C247CB" w:rsidRDefault="005A64DA" w:rsidP="00C247CB">
      <w:pPr>
        <w:jc w:val="center"/>
        <w:rPr>
          <w:rFonts w:ascii="Verdana" w:hAnsi="Verdana"/>
          <w:sz w:val="16"/>
          <w:szCs w:val="16"/>
        </w:rPr>
      </w:pPr>
    </w:p>
    <w:sectPr w:rsidR="005A64DA" w:rsidRPr="00C247CB" w:rsidSect="00EB1F94">
      <w:footerReference w:type="default" r:id="rId25"/>
      <w:headerReference w:type="first" r:id="rId26"/>
      <w:footerReference w:type="first" r:id="rId2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D845E" w14:textId="77777777" w:rsidR="00C81570" w:rsidRDefault="00C81570">
      <w:r>
        <w:separator/>
      </w:r>
    </w:p>
  </w:endnote>
  <w:endnote w:type="continuationSeparator" w:id="0">
    <w:p w14:paraId="18B2B0FA" w14:textId="77777777" w:rsidR="00C81570" w:rsidRDefault="00C81570">
      <w:r>
        <w:continuationSeparator/>
      </w:r>
    </w:p>
  </w:endnote>
  <w:endnote w:type="continuationNotice" w:id="1">
    <w:p w14:paraId="101FB7E5" w14:textId="77777777" w:rsidR="00C81570" w:rsidRDefault="00C815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0DFF2" w14:textId="77777777" w:rsidR="006D04A6" w:rsidRPr="00C32D18" w:rsidRDefault="00F96EBC" w:rsidP="00C32D18">
    <w:pPr>
      <w:pStyle w:val="Footer"/>
      <w:jc w:val="right"/>
      <w:rPr>
        <w:szCs w:val="18"/>
      </w:rPr>
    </w:pPr>
    <w:r>
      <w:rPr>
        <w:rStyle w:val="PageNumber"/>
      </w:rPr>
      <w:fldChar w:fldCharType="begin"/>
    </w:r>
    <w:r w:rsidR="006D04A6">
      <w:rPr>
        <w:rStyle w:val="PageNumber"/>
      </w:rPr>
      <w:instrText xml:space="preserve"> PAGE </w:instrText>
    </w:r>
    <w:r>
      <w:rPr>
        <w:rStyle w:val="PageNumber"/>
      </w:rPr>
      <w:fldChar w:fldCharType="separate"/>
    </w:r>
    <w:r w:rsidR="002E1588">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FFFD8" w14:textId="77777777" w:rsidR="006D04A6" w:rsidRPr="00CD2229" w:rsidRDefault="006D04A6">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CA012" w14:textId="77777777" w:rsidR="00C81570" w:rsidRDefault="00C81570">
      <w:r>
        <w:separator/>
      </w:r>
    </w:p>
  </w:footnote>
  <w:footnote w:type="continuationSeparator" w:id="0">
    <w:p w14:paraId="7EA60DCC" w14:textId="77777777" w:rsidR="00C81570" w:rsidRDefault="00C81570">
      <w:r>
        <w:continuationSeparator/>
      </w:r>
    </w:p>
  </w:footnote>
  <w:footnote w:type="continuationNotice" w:id="1">
    <w:p w14:paraId="2C94ED9B" w14:textId="77777777" w:rsidR="00C81570" w:rsidRDefault="00C815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2D740" w14:textId="77777777" w:rsidR="006D04A6" w:rsidRDefault="006D04A6">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8pt;height:15.75pt" o:bullet="t">
        <v:imagedata r:id="rId1" o:title="Icon - Important"/>
      </v:shape>
    </w:pict>
  </w:numPicBullet>
  <w:abstractNum w:abstractNumId="0" w15:restartNumberingAfterBreak="0">
    <w:nsid w:val="00B70C23"/>
    <w:multiLevelType w:val="hybridMultilevel"/>
    <w:tmpl w:val="9FB6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746CE"/>
    <w:multiLevelType w:val="hybridMultilevel"/>
    <w:tmpl w:val="DE86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0EC427FD"/>
    <w:multiLevelType w:val="hybridMultilevel"/>
    <w:tmpl w:val="4AAE6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C12ED"/>
    <w:multiLevelType w:val="hybridMultilevel"/>
    <w:tmpl w:val="381CE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D216B"/>
    <w:multiLevelType w:val="hybridMultilevel"/>
    <w:tmpl w:val="9728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C679A"/>
    <w:multiLevelType w:val="hybridMultilevel"/>
    <w:tmpl w:val="6D12DE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54961"/>
    <w:multiLevelType w:val="hybridMultilevel"/>
    <w:tmpl w:val="A18CE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2E45DF"/>
    <w:multiLevelType w:val="hybridMultilevel"/>
    <w:tmpl w:val="86D2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32408"/>
    <w:multiLevelType w:val="hybridMultilevel"/>
    <w:tmpl w:val="21FAD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D91155"/>
    <w:multiLevelType w:val="hybridMultilevel"/>
    <w:tmpl w:val="8A52F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EA116E4"/>
    <w:multiLevelType w:val="hybridMultilevel"/>
    <w:tmpl w:val="91B098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1746EF"/>
    <w:multiLevelType w:val="hybridMultilevel"/>
    <w:tmpl w:val="F86610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3F3020"/>
    <w:multiLevelType w:val="hybridMultilevel"/>
    <w:tmpl w:val="00D6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561F00"/>
    <w:multiLevelType w:val="hybridMultilevel"/>
    <w:tmpl w:val="4E8CC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DB1CB7"/>
    <w:multiLevelType w:val="hybridMultilevel"/>
    <w:tmpl w:val="91BC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10428"/>
    <w:multiLevelType w:val="hybridMultilevel"/>
    <w:tmpl w:val="4CC2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9D0797"/>
    <w:multiLevelType w:val="hybridMultilevel"/>
    <w:tmpl w:val="17488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0C4C0E"/>
    <w:multiLevelType w:val="hybridMultilevel"/>
    <w:tmpl w:val="F3EA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3F056703"/>
    <w:multiLevelType w:val="hybridMultilevel"/>
    <w:tmpl w:val="59903C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F2F2678"/>
    <w:multiLevelType w:val="hybridMultilevel"/>
    <w:tmpl w:val="166EE24C"/>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46F45525"/>
    <w:multiLevelType w:val="hybridMultilevel"/>
    <w:tmpl w:val="6C06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992694"/>
    <w:multiLevelType w:val="hybridMultilevel"/>
    <w:tmpl w:val="C5561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E2143D"/>
    <w:multiLevelType w:val="hybridMultilevel"/>
    <w:tmpl w:val="569ADF9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D07161"/>
    <w:multiLevelType w:val="hybridMultilevel"/>
    <w:tmpl w:val="E2E8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39171A6"/>
    <w:multiLevelType w:val="hybridMultilevel"/>
    <w:tmpl w:val="C428F002"/>
    <w:lvl w:ilvl="0" w:tplc="144E63D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94570"/>
    <w:multiLevelType w:val="hybridMultilevel"/>
    <w:tmpl w:val="24B468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841804"/>
    <w:multiLevelType w:val="hybridMultilevel"/>
    <w:tmpl w:val="33DC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0401F59"/>
    <w:multiLevelType w:val="hybridMultilevel"/>
    <w:tmpl w:val="BA54CB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C039C8"/>
    <w:multiLevelType w:val="hybridMultilevel"/>
    <w:tmpl w:val="F754FE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4C785D"/>
    <w:multiLevelType w:val="hybridMultilevel"/>
    <w:tmpl w:val="61881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EE27F3C"/>
    <w:multiLevelType w:val="multilevel"/>
    <w:tmpl w:val="D70A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56658769">
    <w:abstractNumId w:val="30"/>
  </w:num>
  <w:num w:numId="2" w16cid:durableId="1973637773">
    <w:abstractNumId w:val="12"/>
  </w:num>
  <w:num w:numId="3" w16cid:durableId="1850371654">
    <w:abstractNumId w:val="35"/>
  </w:num>
  <w:num w:numId="4" w16cid:durableId="1413889717">
    <w:abstractNumId w:val="39"/>
  </w:num>
  <w:num w:numId="5" w16cid:durableId="1037659549">
    <w:abstractNumId w:val="3"/>
  </w:num>
  <w:num w:numId="6" w16cid:durableId="1405881663">
    <w:abstractNumId w:val="41"/>
  </w:num>
  <w:num w:numId="7" w16cid:durableId="544415232">
    <w:abstractNumId w:val="26"/>
  </w:num>
  <w:num w:numId="8" w16cid:durableId="10357342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1637174">
    <w:abstractNumId w:val="15"/>
  </w:num>
  <w:num w:numId="10" w16cid:durableId="300234195">
    <w:abstractNumId w:val="2"/>
  </w:num>
  <w:num w:numId="11" w16cid:durableId="845444573">
    <w:abstractNumId w:val="13"/>
  </w:num>
  <w:num w:numId="12" w16cid:durableId="681665139">
    <w:abstractNumId w:val="7"/>
  </w:num>
  <w:num w:numId="13" w16cid:durableId="1578200977">
    <w:abstractNumId w:val="17"/>
  </w:num>
  <w:num w:numId="14" w16cid:durableId="1445881965">
    <w:abstractNumId w:val="16"/>
  </w:num>
  <w:num w:numId="15" w16cid:durableId="611283872">
    <w:abstractNumId w:val="34"/>
  </w:num>
  <w:num w:numId="16" w16cid:durableId="994382514">
    <w:abstractNumId w:val="18"/>
  </w:num>
  <w:num w:numId="17" w16cid:durableId="357396920">
    <w:abstractNumId w:val="27"/>
  </w:num>
  <w:num w:numId="18" w16cid:durableId="1037240098">
    <w:abstractNumId w:val="32"/>
  </w:num>
  <w:num w:numId="19" w16cid:durableId="1445271449">
    <w:abstractNumId w:val="8"/>
  </w:num>
  <w:num w:numId="20" w16cid:durableId="926575280">
    <w:abstractNumId w:val="42"/>
  </w:num>
  <w:num w:numId="21" w16cid:durableId="547643019">
    <w:abstractNumId w:val="19"/>
  </w:num>
  <w:num w:numId="22" w16cid:durableId="41026290">
    <w:abstractNumId w:val="9"/>
  </w:num>
  <w:num w:numId="23" w16cid:durableId="1175804008">
    <w:abstractNumId w:val="25"/>
  </w:num>
  <w:num w:numId="24" w16cid:durableId="646518167">
    <w:abstractNumId w:val="6"/>
  </w:num>
  <w:num w:numId="25" w16cid:durableId="1419596037">
    <w:abstractNumId w:val="11"/>
  </w:num>
  <w:num w:numId="26" w16cid:durableId="874660292">
    <w:abstractNumId w:val="21"/>
  </w:num>
  <w:num w:numId="27" w16cid:durableId="396441507">
    <w:abstractNumId w:val="4"/>
  </w:num>
  <w:num w:numId="28" w16cid:durableId="1021588186">
    <w:abstractNumId w:val="31"/>
  </w:num>
  <w:num w:numId="29" w16cid:durableId="1650133520">
    <w:abstractNumId w:val="1"/>
  </w:num>
  <w:num w:numId="30" w16cid:durableId="1363558077">
    <w:abstractNumId w:val="0"/>
  </w:num>
  <w:num w:numId="31" w16cid:durableId="268006956">
    <w:abstractNumId w:val="5"/>
  </w:num>
  <w:num w:numId="32" w16cid:durableId="778186463">
    <w:abstractNumId w:val="40"/>
  </w:num>
  <w:num w:numId="33" w16cid:durableId="2021656132">
    <w:abstractNumId w:val="44"/>
  </w:num>
  <w:num w:numId="34" w16cid:durableId="14836166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9718499">
    <w:abstractNumId w:val="23"/>
  </w:num>
  <w:num w:numId="36" w16cid:durableId="1472403800">
    <w:abstractNumId w:val="43"/>
  </w:num>
  <w:num w:numId="37" w16cid:durableId="64646139">
    <w:abstractNumId w:val="33"/>
  </w:num>
  <w:num w:numId="38" w16cid:durableId="806778269">
    <w:abstractNumId w:val="28"/>
  </w:num>
  <w:num w:numId="39" w16cid:durableId="1976374434">
    <w:abstractNumId w:val="14"/>
  </w:num>
  <w:num w:numId="40" w16cid:durableId="968129385">
    <w:abstractNumId w:val="24"/>
  </w:num>
  <w:num w:numId="41" w16cid:durableId="534806173">
    <w:abstractNumId w:val="38"/>
  </w:num>
  <w:num w:numId="42" w16cid:durableId="681468157">
    <w:abstractNumId w:val="20"/>
  </w:num>
  <w:num w:numId="43" w16cid:durableId="435515461">
    <w:abstractNumId w:val="10"/>
  </w:num>
  <w:num w:numId="44" w16cid:durableId="1518349072">
    <w:abstractNumId w:val="22"/>
  </w:num>
  <w:num w:numId="45" w16cid:durableId="70349312">
    <w:abstractNumId w:val="36"/>
  </w:num>
  <w:num w:numId="46" w16cid:durableId="1720934297">
    <w:abstractNumId w:val="22"/>
  </w:num>
  <w:num w:numId="47" w16cid:durableId="2113085952">
    <w:abstractNumId w:val="36"/>
  </w:num>
  <w:num w:numId="48" w16cid:durableId="873545059">
    <w:abstractNumId w:val="29"/>
  </w:num>
  <w:num w:numId="49" w16cid:durableId="24480618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3EC3"/>
    <w:rsid w:val="00007A82"/>
    <w:rsid w:val="00010197"/>
    <w:rsid w:val="00011C53"/>
    <w:rsid w:val="00015A2E"/>
    <w:rsid w:val="00023CE8"/>
    <w:rsid w:val="00027D1D"/>
    <w:rsid w:val="00031189"/>
    <w:rsid w:val="00032EA2"/>
    <w:rsid w:val="00035BED"/>
    <w:rsid w:val="00046D9D"/>
    <w:rsid w:val="000472AA"/>
    <w:rsid w:val="00060D17"/>
    <w:rsid w:val="00061AD2"/>
    <w:rsid w:val="00070CB6"/>
    <w:rsid w:val="000863D4"/>
    <w:rsid w:val="0008665F"/>
    <w:rsid w:val="00094DFD"/>
    <w:rsid w:val="00095AB5"/>
    <w:rsid w:val="000A59CA"/>
    <w:rsid w:val="000A6B88"/>
    <w:rsid w:val="000B1A70"/>
    <w:rsid w:val="000B3C4C"/>
    <w:rsid w:val="000B5B96"/>
    <w:rsid w:val="000B656F"/>
    <w:rsid w:val="000B6FCC"/>
    <w:rsid w:val="000B72DF"/>
    <w:rsid w:val="000C1358"/>
    <w:rsid w:val="000C3A2D"/>
    <w:rsid w:val="000D1870"/>
    <w:rsid w:val="000D1EF0"/>
    <w:rsid w:val="000D2A19"/>
    <w:rsid w:val="000D3386"/>
    <w:rsid w:val="000D3474"/>
    <w:rsid w:val="000D4BA2"/>
    <w:rsid w:val="000D6714"/>
    <w:rsid w:val="000D7274"/>
    <w:rsid w:val="000E0A57"/>
    <w:rsid w:val="000F0D1B"/>
    <w:rsid w:val="000F3D03"/>
    <w:rsid w:val="000F54AF"/>
    <w:rsid w:val="00104CDE"/>
    <w:rsid w:val="00106BDC"/>
    <w:rsid w:val="00110C6D"/>
    <w:rsid w:val="00115944"/>
    <w:rsid w:val="00120F30"/>
    <w:rsid w:val="0012373E"/>
    <w:rsid w:val="00123A77"/>
    <w:rsid w:val="00124624"/>
    <w:rsid w:val="00135E15"/>
    <w:rsid w:val="001360A5"/>
    <w:rsid w:val="00143C83"/>
    <w:rsid w:val="00145848"/>
    <w:rsid w:val="00151872"/>
    <w:rsid w:val="0016273A"/>
    <w:rsid w:val="001649C7"/>
    <w:rsid w:val="00181B1A"/>
    <w:rsid w:val="00183263"/>
    <w:rsid w:val="00190AC2"/>
    <w:rsid w:val="0019130B"/>
    <w:rsid w:val="0019335C"/>
    <w:rsid w:val="00195254"/>
    <w:rsid w:val="00197ACD"/>
    <w:rsid w:val="001A25CE"/>
    <w:rsid w:val="001A2A99"/>
    <w:rsid w:val="001A4E09"/>
    <w:rsid w:val="001A5256"/>
    <w:rsid w:val="001A5E0F"/>
    <w:rsid w:val="001B1AC7"/>
    <w:rsid w:val="001B2A36"/>
    <w:rsid w:val="001B3310"/>
    <w:rsid w:val="001B3879"/>
    <w:rsid w:val="001B38A1"/>
    <w:rsid w:val="001B78CE"/>
    <w:rsid w:val="001C047B"/>
    <w:rsid w:val="001C2D7F"/>
    <w:rsid w:val="001C3F6D"/>
    <w:rsid w:val="001D5C46"/>
    <w:rsid w:val="001D6225"/>
    <w:rsid w:val="001E1141"/>
    <w:rsid w:val="001E7746"/>
    <w:rsid w:val="001F0774"/>
    <w:rsid w:val="001F1218"/>
    <w:rsid w:val="001F38D6"/>
    <w:rsid w:val="001F4E4A"/>
    <w:rsid w:val="001F5947"/>
    <w:rsid w:val="002016B4"/>
    <w:rsid w:val="00202EEB"/>
    <w:rsid w:val="002033F1"/>
    <w:rsid w:val="002055CF"/>
    <w:rsid w:val="00205962"/>
    <w:rsid w:val="002062B2"/>
    <w:rsid w:val="00224D90"/>
    <w:rsid w:val="0022630D"/>
    <w:rsid w:val="00243EBB"/>
    <w:rsid w:val="00245BBB"/>
    <w:rsid w:val="00255C6B"/>
    <w:rsid w:val="0026190C"/>
    <w:rsid w:val="00262F06"/>
    <w:rsid w:val="00265D86"/>
    <w:rsid w:val="002750DC"/>
    <w:rsid w:val="0029154A"/>
    <w:rsid w:val="00291CE8"/>
    <w:rsid w:val="0029213D"/>
    <w:rsid w:val="00296127"/>
    <w:rsid w:val="00296765"/>
    <w:rsid w:val="002A1645"/>
    <w:rsid w:val="002A3A63"/>
    <w:rsid w:val="002A47AD"/>
    <w:rsid w:val="002B1D9E"/>
    <w:rsid w:val="002B593E"/>
    <w:rsid w:val="002C17DE"/>
    <w:rsid w:val="002C681B"/>
    <w:rsid w:val="002E1588"/>
    <w:rsid w:val="002E6E58"/>
    <w:rsid w:val="002F1F92"/>
    <w:rsid w:val="002F3D4E"/>
    <w:rsid w:val="002F4590"/>
    <w:rsid w:val="002F6F9E"/>
    <w:rsid w:val="00315530"/>
    <w:rsid w:val="00325A18"/>
    <w:rsid w:val="0033143E"/>
    <w:rsid w:val="003368C4"/>
    <w:rsid w:val="00336F54"/>
    <w:rsid w:val="0034318F"/>
    <w:rsid w:val="0034552B"/>
    <w:rsid w:val="00346C57"/>
    <w:rsid w:val="003545F0"/>
    <w:rsid w:val="003546E0"/>
    <w:rsid w:val="00355739"/>
    <w:rsid w:val="00361A8B"/>
    <w:rsid w:val="00370791"/>
    <w:rsid w:val="003725A1"/>
    <w:rsid w:val="00377466"/>
    <w:rsid w:val="003868A2"/>
    <w:rsid w:val="00392A5B"/>
    <w:rsid w:val="003948EB"/>
    <w:rsid w:val="003A6D70"/>
    <w:rsid w:val="003B1001"/>
    <w:rsid w:val="003B1F86"/>
    <w:rsid w:val="003B2986"/>
    <w:rsid w:val="003B2C1B"/>
    <w:rsid w:val="003B3A4A"/>
    <w:rsid w:val="003C4627"/>
    <w:rsid w:val="003D00F1"/>
    <w:rsid w:val="003D5CC1"/>
    <w:rsid w:val="003D70A3"/>
    <w:rsid w:val="003E6C1A"/>
    <w:rsid w:val="003F2762"/>
    <w:rsid w:val="003F3168"/>
    <w:rsid w:val="003F778E"/>
    <w:rsid w:val="00402E35"/>
    <w:rsid w:val="0040640A"/>
    <w:rsid w:val="00406DB5"/>
    <w:rsid w:val="00421C6F"/>
    <w:rsid w:val="0042336D"/>
    <w:rsid w:val="0042490D"/>
    <w:rsid w:val="004250C4"/>
    <w:rsid w:val="00426113"/>
    <w:rsid w:val="00430385"/>
    <w:rsid w:val="0044178C"/>
    <w:rsid w:val="0044520B"/>
    <w:rsid w:val="00447906"/>
    <w:rsid w:val="00457EAE"/>
    <w:rsid w:val="004768BE"/>
    <w:rsid w:val="00477F73"/>
    <w:rsid w:val="00481E41"/>
    <w:rsid w:val="00481F45"/>
    <w:rsid w:val="00482611"/>
    <w:rsid w:val="0048355A"/>
    <w:rsid w:val="004842FC"/>
    <w:rsid w:val="00484781"/>
    <w:rsid w:val="00486108"/>
    <w:rsid w:val="00494CE8"/>
    <w:rsid w:val="004A7F57"/>
    <w:rsid w:val="004B412A"/>
    <w:rsid w:val="004D0AF2"/>
    <w:rsid w:val="004D19A5"/>
    <w:rsid w:val="004D3C53"/>
    <w:rsid w:val="004D7C66"/>
    <w:rsid w:val="004E1D60"/>
    <w:rsid w:val="004E3332"/>
    <w:rsid w:val="004F1E33"/>
    <w:rsid w:val="004F7F34"/>
    <w:rsid w:val="00501968"/>
    <w:rsid w:val="00505588"/>
    <w:rsid w:val="00505AE4"/>
    <w:rsid w:val="00505C8F"/>
    <w:rsid w:val="005072DB"/>
    <w:rsid w:val="005107C9"/>
    <w:rsid w:val="00512486"/>
    <w:rsid w:val="00513127"/>
    <w:rsid w:val="00513746"/>
    <w:rsid w:val="005148A3"/>
    <w:rsid w:val="00515614"/>
    <w:rsid w:val="00521366"/>
    <w:rsid w:val="0052465B"/>
    <w:rsid w:val="00524CDD"/>
    <w:rsid w:val="0053126B"/>
    <w:rsid w:val="0053203D"/>
    <w:rsid w:val="0053342A"/>
    <w:rsid w:val="00533BA1"/>
    <w:rsid w:val="00534799"/>
    <w:rsid w:val="00545620"/>
    <w:rsid w:val="00545A5A"/>
    <w:rsid w:val="00547C68"/>
    <w:rsid w:val="00550E75"/>
    <w:rsid w:val="00556F60"/>
    <w:rsid w:val="00565102"/>
    <w:rsid w:val="00565A58"/>
    <w:rsid w:val="005722CA"/>
    <w:rsid w:val="00575AA5"/>
    <w:rsid w:val="00577909"/>
    <w:rsid w:val="00582E85"/>
    <w:rsid w:val="00587EE4"/>
    <w:rsid w:val="005910B5"/>
    <w:rsid w:val="005A6118"/>
    <w:rsid w:val="005A64DA"/>
    <w:rsid w:val="005A788E"/>
    <w:rsid w:val="005B0329"/>
    <w:rsid w:val="005B31FA"/>
    <w:rsid w:val="005B446E"/>
    <w:rsid w:val="005B449F"/>
    <w:rsid w:val="005C1D83"/>
    <w:rsid w:val="005C48FA"/>
    <w:rsid w:val="005C5942"/>
    <w:rsid w:val="005C75FC"/>
    <w:rsid w:val="005D4037"/>
    <w:rsid w:val="005D739A"/>
    <w:rsid w:val="005E2277"/>
    <w:rsid w:val="005E650E"/>
    <w:rsid w:val="005F046E"/>
    <w:rsid w:val="005F19DB"/>
    <w:rsid w:val="005F2C97"/>
    <w:rsid w:val="005F427E"/>
    <w:rsid w:val="005F6E56"/>
    <w:rsid w:val="00600AFA"/>
    <w:rsid w:val="00603653"/>
    <w:rsid w:val="00616546"/>
    <w:rsid w:val="00616D35"/>
    <w:rsid w:val="00622D77"/>
    <w:rsid w:val="00625B66"/>
    <w:rsid w:val="00627F34"/>
    <w:rsid w:val="006328E0"/>
    <w:rsid w:val="00633473"/>
    <w:rsid w:val="00635175"/>
    <w:rsid w:val="00636ACA"/>
    <w:rsid w:val="00636B18"/>
    <w:rsid w:val="00637CA1"/>
    <w:rsid w:val="00640A26"/>
    <w:rsid w:val="0064618B"/>
    <w:rsid w:val="00647CDD"/>
    <w:rsid w:val="00652901"/>
    <w:rsid w:val="0065462B"/>
    <w:rsid w:val="006613F0"/>
    <w:rsid w:val="00662334"/>
    <w:rsid w:val="0066617F"/>
    <w:rsid w:val="00671202"/>
    <w:rsid w:val="00672ED9"/>
    <w:rsid w:val="00674A16"/>
    <w:rsid w:val="00681707"/>
    <w:rsid w:val="00684D8B"/>
    <w:rsid w:val="00690D70"/>
    <w:rsid w:val="00691E10"/>
    <w:rsid w:val="006A0481"/>
    <w:rsid w:val="006A1C60"/>
    <w:rsid w:val="006B226F"/>
    <w:rsid w:val="006C43D3"/>
    <w:rsid w:val="006C653F"/>
    <w:rsid w:val="006D00ED"/>
    <w:rsid w:val="006D04A6"/>
    <w:rsid w:val="006D4B6C"/>
    <w:rsid w:val="006F1E09"/>
    <w:rsid w:val="006F3CD2"/>
    <w:rsid w:val="006F7DFC"/>
    <w:rsid w:val="00704AF2"/>
    <w:rsid w:val="0070776C"/>
    <w:rsid w:val="00710E68"/>
    <w:rsid w:val="00714BA0"/>
    <w:rsid w:val="00725723"/>
    <w:rsid w:val="00725B82"/>
    <w:rsid w:val="007269B6"/>
    <w:rsid w:val="00726E7A"/>
    <w:rsid w:val="00730359"/>
    <w:rsid w:val="0073294A"/>
    <w:rsid w:val="00732E52"/>
    <w:rsid w:val="00734BC2"/>
    <w:rsid w:val="00736607"/>
    <w:rsid w:val="00737368"/>
    <w:rsid w:val="00743967"/>
    <w:rsid w:val="007439B9"/>
    <w:rsid w:val="00744804"/>
    <w:rsid w:val="007516C8"/>
    <w:rsid w:val="00752801"/>
    <w:rsid w:val="00766B5A"/>
    <w:rsid w:val="00780F5C"/>
    <w:rsid w:val="00784D80"/>
    <w:rsid w:val="00785118"/>
    <w:rsid w:val="00785C47"/>
    <w:rsid w:val="00786BEB"/>
    <w:rsid w:val="007A403E"/>
    <w:rsid w:val="007A75EA"/>
    <w:rsid w:val="007C77DD"/>
    <w:rsid w:val="007D3F4E"/>
    <w:rsid w:val="007E1732"/>
    <w:rsid w:val="007E2304"/>
    <w:rsid w:val="007E32EC"/>
    <w:rsid w:val="007E3D3C"/>
    <w:rsid w:val="007E3EA6"/>
    <w:rsid w:val="007F04AB"/>
    <w:rsid w:val="007F713E"/>
    <w:rsid w:val="00803AE3"/>
    <w:rsid w:val="008042E1"/>
    <w:rsid w:val="00804D63"/>
    <w:rsid w:val="00806B9D"/>
    <w:rsid w:val="0081246C"/>
    <w:rsid w:val="00812777"/>
    <w:rsid w:val="008151B2"/>
    <w:rsid w:val="008230FA"/>
    <w:rsid w:val="00833ACC"/>
    <w:rsid w:val="008351F9"/>
    <w:rsid w:val="008367DA"/>
    <w:rsid w:val="00836E0C"/>
    <w:rsid w:val="0084129E"/>
    <w:rsid w:val="008420F3"/>
    <w:rsid w:val="00843390"/>
    <w:rsid w:val="00844D48"/>
    <w:rsid w:val="00846373"/>
    <w:rsid w:val="00846ECB"/>
    <w:rsid w:val="008568AE"/>
    <w:rsid w:val="008576AE"/>
    <w:rsid w:val="00857DE6"/>
    <w:rsid w:val="00860590"/>
    <w:rsid w:val="00861316"/>
    <w:rsid w:val="008614E8"/>
    <w:rsid w:val="00863154"/>
    <w:rsid w:val="00867EDF"/>
    <w:rsid w:val="008734D7"/>
    <w:rsid w:val="00874437"/>
    <w:rsid w:val="00875599"/>
    <w:rsid w:val="00875F0D"/>
    <w:rsid w:val="00877414"/>
    <w:rsid w:val="008825E7"/>
    <w:rsid w:val="00883D5B"/>
    <w:rsid w:val="0089258B"/>
    <w:rsid w:val="00892B14"/>
    <w:rsid w:val="00895A8E"/>
    <w:rsid w:val="00896877"/>
    <w:rsid w:val="008A03B7"/>
    <w:rsid w:val="008A3660"/>
    <w:rsid w:val="008B117C"/>
    <w:rsid w:val="008B67B6"/>
    <w:rsid w:val="008B750F"/>
    <w:rsid w:val="008C139C"/>
    <w:rsid w:val="008C2197"/>
    <w:rsid w:val="008C3195"/>
    <w:rsid w:val="008C3493"/>
    <w:rsid w:val="008C6FAA"/>
    <w:rsid w:val="008D0E84"/>
    <w:rsid w:val="008D11A6"/>
    <w:rsid w:val="008D1F7B"/>
    <w:rsid w:val="008D2D64"/>
    <w:rsid w:val="008D4DA7"/>
    <w:rsid w:val="008E21BE"/>
    <w:rsid w:val="008E507F"/>
    <w:rsid w:val="008E5B56"/>
    <w:rsid w:val="008F3B6D"/>
    <w:rsid w:val="008F5C08"/>
    <w:rsid w:val="00900936"/>
    <w:rsid w:val="00902E07"/>
    <w:rsid w:val="00904ABF"/>
    <w:rsid w:val="009135F8"/>
    <w:rsid w:val="00913B1B"/>
    <w:rsid w:val="00915335"/>
    <w:rsid w:val="00922F5C"/>
    <w:rsid w:val="00927644"/>
    <w:rsid w:val="00927861"/>
    <w:rsid w:val="0093353F"/>
    <w:rsid w:val="0094148C"/>
    <w:rsid w:val="00947783"/>
    <w:rsid w:val="00947CAB"/>
    <w:rsid w:val="0095077B"/>
    <w:rsid w:val="00951E56"/>
    <w:rsid w:val="00953FB0"/>
    <w:rsid w:val="00954FE8"/>
    <w:rsid w:val="009563BA"/>
    <w:rsid w:val="00956F74"/>
    <w:rsid w:val="00964481"/>
    <w:rsid w:val="00964ACB"/>
    <w:rsid w:val="009726E0"/>
    <w:rsid w:val="00972772"/>
    <w:rsid w:val="0097328B"/>
    <w:rsid w:val="00976C27"/>
    <w:rsid w:val="00982E00"/>
    <w:rsid w:val="009857AA"/>
    <w:rsid w:val="00986E38"/>
    <w:rsid w:val="00990822"/>
    <w:rsid w:val="00993797"/>
    <w:rsid w:val="00996F4E"/>
    <w:rsid w:val="009A261E"/>
    <w:rsid w:val="009A3A9B"/>
    <w:rsid w:val="009B59AD"/>
    <w:rsid w:val="009B6415"/>
    <w:rsid w:val="009C4A31"/>
    <w:rsid w:val="009E00C2"/>
    <w:rsid w:val="009E308A"/>
    <w:rsid w:val="009F6FD2"/>
    <w:rsid w:val="009F7259"/>
    <w:rsid w:val="009F78D3"/>
    <w:rsid w:val="00A021AD"/>
    <w:rsid w:val="00A055A4"/>
    <w:rsid w:val="00A13625"/>
    <w:rsid w:val="00A15037"/>
    <w:rsid w:val="00A3016C"/>
    <w:rsid w:val="00A36ADD"/>
    <w:rsid w:val="00A42461"/>
    <w:rsid w:val="00A4732A"/>
    <w:rsid w:val="00A47FFC"/>
    <w:rsid w:val="00A551E0"/>
    <w:rsid w:val="00A55686"/>
    <w:rsid w:val="00A55E07"/>
    <w:rsid w:val="00A575B0"/>
    <w:rsid w:val="00A57D26"/>
    <w:rsid w:val="00A64567"/>
    <w:rsid w:val="00A662A9"/>
    <w:rsid w:val="00A7166B"/>
    <w:rsid w:val="00A71AD3"/>
    <w:rsid w:val="00A72DEB"/>
    <w:rsid w:val="00A816B8"/>
    <w:rsid w:val="00A821F2"/>
    <w:rsid w:val="00A83BA0"/>
    <w:rsid w:val="00A84F18"/>
    <w:rsid w:val="00A85045"/>
    <w:rsid w:val="00A91449"/>
    <w:rsid w:val="00A9528D"/>
    <w:rsid w:val="00A95738"/>
    <w:rsid w:val="00A97B7D"/>
    <w:rsid w:val="00AA0885"/>
    <w:rsid w:val="00AA18A6"/>
    <w:rsid w:val="00AA2252"/>
    <w:rsid w:val="00AA4825"/>
    <w:rsid w:val="00AA591D"/>
    <w:rsid w:val="00AB0B96"/>
    <w:rsid w:val="00AB33E1"/>
    <w:rsid w:val="00AB5BD3"/>
    <w:rsid w:val="00AB6B09"/>
    <w:rsid w:val="00AC2712"/>
    <w:rsid w:val="00AC4214"/>
    <w:rsid w:val="00AC6E70"/>
    <w:rsid w:val="00AC7DA1"/>
    <w:rsid w:val="00AD1626"/>
    <w:rsid w:val="00AD1646"/>
    <w:rsid w:val="00AD41A8"/>
    <w:rsid w:val="00AD7AB4"/>
    <w:rsid w:val="00AE3A17"/>
    <w:rsid w:val="00AE40C2"/>
    <w:rsid w:val="00AE4614"/>
    <w:rsid w:val="00AE709C"/>
    <w:rsid w:val="00AF038B"/>
    <w:rsid w:val="00AF1B92"/>
    <w:rsid w:val="00AF2A34"/>
    <w:rsid w:val="00AF78FA"/>
    <w:rsid w:val="00B01539"/>
    <w:rsid w:val="00B03201"/>
    <w:rsid w:val="00B078F6"/>
    <w:rsid w:val="00B12952"/>
    <w:rsid w:val="00B21CE6"/>
    <w:rsid w:val="00B25D4B"/>
    <w:rsid w:val="00B26045"/>
    <w:rsid w:val="00B331E7"/>
    <w:rsid w:val="00B37253"/>
    <w:rsid w:val="00B419BE"/>
    <w:rsid w:val="00B44C55"/>
    <w:rsid w:val="00B46A95"/>
    <w:rsid w:val="00B47EC7"/>
    <w:rsid w:val="00B5114C"/>
    <w:rsid w:val="00B5123C"/>
    <w:rsid w:val="00B521CC"/>
    <w:rsid w:val="00B544C2"/>
    <w:rsid w:val="00B5566F"/>
    <w:rsid w:val="00B57F85"/>
    <w:rsid w:val="00B630A6"/>
    <w:rsid w:val="00B65FA8"/>
    <w:rsid w:val="00B70CC4"/>
    <w:rsid w:val="00B71703"/>
    <w:rsid w:val="00B73A84"/>
    <w:rsid w:val="00B77A4A"/>
    <w:rsid w:val="00BA0932"/>
    <w:rsid w:val="00BB02DE"/>
    <w:rsid w:val="00BB2EFE"/>
    <w:rsid w:val="00BB36E1"/>
    <w:rsid w:val="00BB371A"/>
    <w:rsid w:val="00BB3A93"/>
    <w:rsid w:val="00BC098E"/>
    <w:rsid w:val="00BC56E1"/>
    <w:rsid w:val="00BC67EF"/>
    <w:rsid w:val="00BD0655"/>
    <w:rsid w:val="00BD15BD"/>
    <w:rsid w:val="00BD5E06"/>
    <w:rsid w:val="00BD7B25"/>
    <w:rsid w:val="00BE1AFF"/>
    <w:rsid w:val="00BE3C9A"/>
    <w:rsid w:val="00BE5FEE"/>
    <w:rsid w:val="00BE664A"/>
    <w:rsid w:val="00BF7482"/>
    <w:rsid w:val="00BF74E9"/>
    <w:rsid w:val="00C013F7"/>
    <w:rsid w:val="00C06494"/>
    <w:rsid w:val="00C14249"/>
    <w:rsid w:val="00C15989"/>
    <w:rsid w:val="00C15D56"/>
    <w:rsid w:val="00C20974"/>
    <w:rsid w:val="00C2216E"/>
    <w:rsid w:val="00C2382A"/>
    <w:rsid w:val="00C247CB"/>
    <w:rsid w:val="00C30D90"/>
    <w:rsid w:val="00C32D18"/>
    <w:rsid w:val="00C35804"/>
    <w:rsid w:val="00C360BD"/>
    <w:rsid w:val="00C436C6"/>
    <w:rsid w:val="00C476E1"/>
    <w:rsid w:val="00C51ADA"/>
    <w:rsid w:val="00C52E77"/>
    <w:rsid w:val="00C55F7E"/>
    <w:rsid w:val="00C566B3"/>
    <w:rsid w:val="00C57BBF"/>
    <w:rsid w:val="00C65249"/>
    <w:rsid w:val="00C661A3"/>
    <w:rsid w:val="00C67B32"/>
    <w:rsid w:val="00C72007"/>
    <w:rsid w:val="00C75C83"/>
    <w:rsid w:val="00C81570"/>
    <w:rsid w:val="00C837BA"/>
    <w:rsid w:val="00C84F14"/>
    <w:rsid w:val="00C87AD1"/>
    <w:rsid w:val="00C934C2"/>
    <w:rsid w:val="00C9523A"/>
    <w:rsid w:val="00C95346"/>
    <w:rsid w:val="00C956CB"/>
    <w:rsid w:val="00CA15B6"/>
    <w:rsid w:val="00CA3B23"/>
    <w:rsid w:val="00CA62F6"/>
    <w:rsid w:val="00CB0C1D"/>
    <w:rsid w:val="00CC5AA2"/>
    <w:rsid w:val="00CC60C2"/>
    <w:rsid w:val="00CC721A"/>
    <w:rsid w:val="00CD0963"/>
    <w:rsid w:val="00CD2BAA"/>
    <w:rsid w:val="00CD31F9"/>
    <w:rsid w:val="00CD5C71"/>
    <w:rsid w:val="00CD5D29"/>
    <w:rsid w:val="00CE06BD"/>
    <w:rsid w:val="00CE3D42"/>
    <w:rsid w:val="00CE53E6"/>
    <w:rsid w:val="00CE66B6"/>
    <w:rsid w:val="00CE7D0B"/>
    <w:rsid w:val="00CF073F"/>
    <w:rsid w:val="00CF1691"/>
    <w:rsid w:val="00CF539A"/>
    <w:rsid w:val="00CF6131"/>
    <w:rsid w:val="00D03245"/>
    <w:rsid w:val="00D0651B"/>
    <w:rsid w:val="00D06EAA"/>
    <w:rsid w:val="00D11BC3"/>
    <w:rsid w:val="00D13E04"/>
    <w:rsid w:val="00D141E7"/>
    <w:rsid w:val="00D15722"/>
    <w:rsid w:val="00D2217F"/>
    <w:rsid w:val="00D26888"/>
    <w:rsid w:val="00D3651C"/>
    <w:rsid w:val="00D36733"/>
    <w:rsid w:val="00D471B5"/>
    <w:rsid w:val="00D52C34"/>
    <w:rsid w:val="00D571DB"/>
    <w:rsid w:val="00D6651C"/>
    <w:rsid w:val="00D673BE"/>
    <w:rsid w:val="00D6774D"/>
    <w:rsid w:val="00D75191"/>
    <w:rsid w:val="00D80929"/>
    <w:rsid w:val="00D85254"/>
    <w:rsid w:val="00D92FCF"/>
    <w:rsid w:val="00D937A0"/>
    <w:rsid w:val="00DA7457"/>
    <w:rsid w:val="00DB7AB0"/>
    <w:rsid w:val="00DC1736"/>
    <w:rsid w:val="00DC4FFC"/>
    <w:rsid w:val="00DD3529"/>
    <w:rsid w:val="00DE35AB"/>
    <w:rsid w:val="00DE79F7"/>
    <w:rsid w:val="00DF6BE4"/>
    <w:rsid w:val="00DF71FA"/>
    <w:rsid w:val="00E04EAC"/>
    <w:rsid w:val="00E157BC"/>
    <w:rsid w:val="00E171A6"/>
    <w:rsid w:val="00E17B24"/>
    <w:rsid w:val="00E21C7D"/>
    <w:rsid w:val="00E220C5"/>
    <w:rsid w:val="00E22613"/>
    <w:rsid w:val="00E30589"/>
    <w:rsid w:val="00E32BF5"/>
    <w:rsid w:val="00E379A2"/>
    <w:rsid w:val="00E414EC"/>
    <w:rsid w:val="00E452A8"/>
    <w:rsid w:val="00E452DA"/>
    <w:rsid w:val="00E50E4A"/>
    <w:rsid w:val="00E650D0"/>
    <w:rsid w:val="00E71BE3"/>
    <w:rsid w:val="00E81951"/>
    <w:rsid w:val="00E81FB8"/>
    <w:rsid w:val="00E85260"/>
    <w:rsid w:val="00E9052A"/>
    <w:rsid w:val="00E91F5F"/>
    <w:rsid w:val="00E96135"/>
    <w:rsid w:val="00EA5223"/>
    <w:rsid w:val="00EB050B"/>
    <w:rsid w:val="00EB12DD"/>
    <w:rsid w:val="00EB153E"/>
    <w:rsid w:val="00EB1F94"/>
    <w:rsid w:val="00EB4D06"/>
    <w:rsid w:val="00EB5286"/>
    <w:rsid w:val="00EB57EB"/>
    <w:rsid w:val="00EB61C6"/>
    <w:rsid w:val="00EC1D7A"/>
    <w:rsid w:val="00EC7E09"/>
    <w:rsid w:val="00ED43E3"/>
    <w:rsid w:val="00ED50CF"/>
    <w:rsid w:val="00ED7162"/>
    <w:rsid w:val="00ED79D0"/>
    <w:rsid w:val="00EE65F0"/>
    <w:rsid w:val="00EF7B70"/>
    <w:rsid w:val="00F014E2"/>
    <w:rsid w:val="00F0300E"/>
    <w:rsid w:val="00F1152F"/>
    <w:rsid w:val="00F12166"/>
    <w:rsid w:val="00F15CDD"/>
    <w:rsid w:val="00F207B3"/>
    <w:rsid w:val="00F265CB"/>
    <w:rsid w:val="00F33D6A"/>
    <w:rsid w:val="00F45940"/>
    <w:rsid w:val="00F468B2"/>
    <w:rsid w:val="00F51DF3"/>
    <w:rsid w:val="00F52DDE"/>
    <w:rsid w:val="00F545D6"/>
    <w:rsid w:val="00F5486B"/>
    <w:rsid w:val="00F62BC4"/>
    <w:rsid w:val="00F658E0"/>
    <w:rsid w:val="00F74862"/>
    <w:rsid w:val="00F75218"/>
    <w:rsid w:val="00F75356"/>
    <w:rsid w:val="00F77817"/>
    <w:rsid w:val="00F77825"/>
    <w:rsid w:val="00F81783"/>
    <w:rsid w:val="00F84DBA"/>
    <w:rsid w:val="00F859B7"/>
    <w:rsid w:val="00F877B4"/>
    <w:rsid w:val="00F90204"/>
    <w:rsid w:val="00F93D96"/>
    <w:rsid w:val="00F94ECB"/>
    <w:rsid w:val="00F96EBC"/>
    <w:rsid w:val="00FA4C14"/>
    <w:rsid w:val="00FA508B"/>
    <w:rsid w:val="00FA6C39"/>
    <w:rsid w:val="00FB0437"/>
    <w:rsid w:val="00FB0924"/>
    <w:rsid w:val="00FB2D67"/>
    <w:rsid w:val="00FB3DBC"/>
    <w:rsid w:val="00FB5FA7"/>
    <w:rsid w:val="00FC1C44"/>
    <w:rsid w:val="00FC2783"/>
    <w:rsid w:val="00FC4B94"/>
    <w:rsid w:val="00FC4C3A"/>
    <w:rsid w:val="00FC4D5A"/>
    <w:rsid w:val="00FC592D"/>
    <w:rsid w:val="00FC7B63"/>
    <w:rsid w:val="00FD2781"/>
    <w:rsid w:val="00FD284C"/>
    <w:rsid w:val="00FD2B26"/>
    <w:rsid w:val="00FE3234"/>
    <w:rsid w:val="00FE3726"/>
    <w:rsid w:val="00FE5717"/>
    <w:rsid w:val="00FE5764"/>
    <w:rsid w:val="00FE7F97"/>
    <w:rsid w:val="00FF20BE"/>
    <w:rsid w:val="00FF3624"/>
    <w:rsid w:val="00FF636B"/>
    <w:rsid w:val="2E4A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43F4F"/>
  <w15:docId w15:val="{0D454B44-9EFE-4554-9AFB-34006A22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7457"/>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ListParagraph">
    <w:name w:val="List Paragraph"/>
    <w:basedOn w:val="Normal"/>
    <w:uiPriority w:val="34"/>
    <w:qFormat/>
    <w:rsid w:val="00EF7B70"/>
    <w:pPr>
      <w:spacing w:after="200" w:line="276" w:lineRule="auto"/>
      <w:ind w:left="720"/>
      <w:contextualSpacing/>
    </w:pPr>
    <w:rPr>
      <w:rFonts w:ascii="Calibri" w:eastAsia="Calibri" w:hAnsi="Calibri"/>
      <w:sz w:val="22"/>
      <w:szCs w:val="22"/>
    </w:rPr>
  </w:style>
  <w:style w:type="paragraph" w:styleId="TOC1">
    <w:name w:val="toc 1"/>
    <w:basedOn w:val="Normal"/>
    <w:next w:val="Normal"/>
    <w:autoRedefine/>
    <w:uiPriority w:val="39"/>
    <w:rsid w:val="004D7C66"/>
  </w:style>
  <w:style w:type="paragraph" w:styleId="TOC2">
    <w:name w:val="toc 2"/>
    <w:basedOn w:val="Normal"/>
    <w:next w:val="Normal"/>
    <w:autoRedefine/>
    <w:uiPriority w:val="39"/>
    <w:rsid w:val="00A9528D"/>
    <w:pPr>
      <w:tabs>
        <w:tab w:val="right" w:leader="dot" w:pos="12950"/>
      </w:tabs>
    </w:pPr>
    <w:rPr>
      <w:rFonts w:ascii="Verdana" w:hAnsi="Verdana"/>
      <w:color w:val="0000FF"/>
      <w:u w:val="single"/>
    </w:rPr>
  </w:style>
  <w:style w:type="paragraph" w:styleId="BalloonText">
    <w:name w:val="Balloon Text"/>
    <w:basedOn w:val="Normal"/>
    <w:link w:val="BalloonTextChar"/>
    <w:rsid w:val="004F1E33"/>
    <w:rPr>
      <w:rFonts w:ascii="Tahoma" w:hAnsi="Tahoma" w:cs="Tahoma"/>
      <w:sz w:val="16"/>
      <w:szCs w:val="16"/>
    </w:rPr>
  </w:style>
  <w:style w:type="paragraph" w:styleId="TOC3">
    <w:name w:val="toc 3"/>
    <w:basedOn w:val="Normal"/>
    <w:next w:val="Normal"/>
    <w:autoRedefine/>
    <w:rsid w:val="007E3D3C"/>
    <w:pPr>
      <w:ind w:left="288"/>
    </w:pPr>
    <w:rPr>
      <w:rFonts w:ascii="Verdana" w:hAnsi="Verdana"/>
      <w:color w:val="0000FF"/>
      <w:u w:val="single"/>
    </w:rPr>
  </w:style>
  <w:style w:type="character" w:customStyle="1" w:styleId="BalloonTextChar">
    <w:name w:val="Balloon Text Char"/>
    <w:link w:val="BalloonText"/>
    <w:rsid w:val="004F1E33"/>
    <w:rPr>
      <w:rFonts w:ascii="Tahoma" w:hAnsi="Tahoma" w:cs="Tahoma"/>
      <w:sz w:val="16"/>
      <w:szCs w:val="16"/>
    </w:rPr>
  </w:style>
  <w:style w:type="character" w:styleId="CommentReference">
    <w:name w:val="annotation reference"/>
    <w:rsid w:val="00FA6C39"/>
    <w:rPr>
      <w:sz w:val="16"/>
      <w:szCs w:val="16"/>
    </w:rPr>
  </w:style>
  <w:style w:type="paragraph" w:styleId="CommentText">
    <w:name w:val="annotation text"/>
    <w:basedOn w:val="Normal"/>
    <w:link w:val="CommentTextChar"/>
    <w:rsid w:val="00FA6C39"/>
    <w:rPr>
      <w:sz w:val="20"/>
      <w:szCs w:val="20"/>
    </w:rPr>
  </w:style>
  <w:style w:type="character" w:customStyle="1" w:styleId="CommentTextChar">
    <w:name w:val="Comment Text Char"/>
    <w:basedOn w:val="DefaultParagraphFont"/>
    <w:link w:val="CommentText"/>
    <w:rsid w:val="00FA6C39"/>
  </w:style>
  <w:style w:type="paragraph" w:styleId="CommentSubject">
    <w:name w:val="annotation subject"/>
    <w:basedOn w:val="CommentText"/>
    <w:next w:val="CommentText"/>
    <w:link w:val="CommentSubjectChar"/>
    <w:rsid w:val="00FA6C39"/>
    <w:rPr>
      <w:b/>
      <w:bCs/>
    </w:rPr>
  </w:style>
  <w:style w:type="character" w:customStyle="1" w:styleId="CommentSubjectChar">
    <w:name w:val="Comment Subject Char"/>
    <w:link w:val="CommentSubject"/>
    <w:rsid w:val="00FA6C39"/>
    <w:rPr>
      <w:b/>
      <w:bCs/>
    </w:rPr>
  </w:style>
  <w:style w:type="paragraph" w:styleId="Revision">
    <w:name w:val="Revision"/>
    <w:hidden/>
    <w:uiPriority w:val="99"/>
    <w:semiHidden/>
    <w:rsid w:val="0095077B"/>
    <w:rPr>
      <w:sz w:val="24"/>
      <w:szCs w:val="24"/>
    </w:rPr>
  </w:style>
  <w:style w:type="character" w:styleId="UnresolvedMention">
    <w:name w:val="Unresolved Mention"/>
    <w:basedOn w:val="DefaultParagraphFont"/>
    <w:uiPriority w:val="99"/>
    <w:semiHidden/>
    <w:unhideWhenUsed/>
    <w:rsid w:val="008151B2"/>
    <w:rPr>
      <w:color w:val="605E5C"/>
      <w:shd w:val="clear" w:color="auto" w:fill="E1DFDD"/>
    </w:rPr>
  </w:style>
  <w:style w:type="character" w:customStyle="1" w:styleId="content-id">
    <w:name w:val="content-id"/>
    <w:basedOn w:val="DefaultParagraphFont"/>
    <w:rsid w:val="00120F30"/>
  </w:style>
  <w:style w:type="paragraph" w:customStyle="1" w:styleId="style-scope">
    <w:name w:val="style-scope"/>
    <w:basedOn w:val="Normal"/>
    <w:rsid w:val="00120F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26317233">
      <w:bodyDiv w:val="1"/>
      <w:marLeft w:val="0"/>
      <w:marRight w:val="0"/>
      <w:marTop w:val="0"/>
      <w:marBottom w:val="0"/>
      <w:divBdr>
        <w:top w:val="none" w:sz="0" w:space="0" w:color="auto"/>
        <w:left w:val="none" w:sz="0" w:space="0" w:color="auto"/>
        <w:bottom w:val="none" w:sz="0" w:space="0" w:color="auto"/>
        <w:right w:val="none" w:sz="0" w:space="0" w:color="auto"/>
      </w:divBdr>
    </w:div>
    <w:div w:id="496266406">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6800890">
      <w:bodyDiv w:val="1"/>
      <w:marLeft w:val="0"/>
      <w:marRight w:val="0"/>
      <w:marTop w:val="0"/>
      <w:marBottom w:val="0"/>
      <w:divBdr>
        <w:top w:val="none" w:sz="0" w:space="0" w:color="auto"/>
        <w:left w:val="none" w:sz="0" w:space="0" w:color="auto"/>
        <w:bottom w:val="none" w:sz="0" w:space="0" w:color="auto"/>
        <w:right w:val="none" w:sz="0" w:space="0" w:color="auto"/>
      </w:divBdr>
      <w:divsChild>
        <w:div w:id="522979216">
          <w:marLeft w:val="0"/>
          <w:marRight w:val="0"/>
          <w:marTop w:val="0"/>
          <w:marBottom w:val="0"/>
          <w:divBdr>
            <w:top w:val="none" w:sz="0" w:space="0" w:color="auto"/>
            <w:left w:val="none" w:sz="0" w:space="0" w:color="auto"/>
            <w:bottom w:val="none" w:sz="0" w:space="0" w:color="auto"/>
            <w:right w:val="none" w:sz="0" w:space="0" w:color="auto"/>
          </w:divBdr>
          <w:divsChild>
            <w:div w:id="1760176892">
              <w:marLeft w:val="0"/>
              <w:marRight w:val="0"/>
              <w:marTop w:val="0"/>
              <w:marBottom w:val="0"/>
              <w:divBdr>
                <w:top w:val="none" w:sz="0" w:space="0" w:color="auto"/>
                <w:left w:val="none" w:sz="0" w:space="0" w:color="auto"/>
                <w:bottom w:val="none" w:sz="0" w:space="0" w:color="auto"/>
                <w:right w:val="none" w:sz="0" w:space="0" w:color="auto"/>
              </w:divBdr>
              <w:divsChild>
                <w:div w:id="164587862">
                  <w:marLeft w:val="0"/>
                  <w:marRight w:val="0"/>
                  <w:marTop w:val="0"/>
                  <w:marBottom w:val="0"/>
                  <w:divBdr>
                    <w:top w:val="none" w:sz="0" w:space="0" w:color="auto"/>
                    <w:left w:val="none" w:sz="0" w:space="0" w:color="auto"/>
                    <w:bottom w:val="none" w:sz="0" w:space="0" w:color="auto"/>
                    <w:right w:val="none" w:sz="0" w:space="0" w:color="auto"/>
                  </w:divBdr>
                </w:div>
                <w:div w:id="8773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6483">
          <w:marLeft w:val="0"/>
          <w:marRight w:val="0"/>
          <w:marTop w:val="0"/>
          <w:marBottom w:val="0"/>
          <w:divBdr>
            <w:top w:val="none" w:sz="0" w:space="0" w:color="auto"/>
            <w:left w:val="none" w:sz="0" w:space="0" w:color="auto"/>
            <w:bottom w:val="none" w:sz="0" w:space="0" w:color="auto"/>
            <w:right w:val="none" w:sz="0" w:space="0" w:color="auto"/>
          </w:divBdr>
          <w:divsChild>
            <w:div w:id="62652933">
              <w:marLeft w:val="0"/>
              <w:marRight w:val="0"/>
              <w:marTop w:val="0"/>
              <w:marBottom w:val="0"/>
              <w:divBdr>
                <w:top w:val="none" w:sz="0" w:space="0" w:color="auto"/>
                <w:left w:val="none" w:sz="0" w:space="0" w:color="auto"/>
                <w:bottom w:val="none" w:sz="0" w:space="0" w:color="auto"/>
                <w:right w:val="none" w:sz="0" w:space="0" w:color="auto"/>
              </w:divBdr>
              <w:divsChild>
                <w:div w:id="1097556071">
                  <w:marLeft w:val="3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35148">
      <w:bodyDiv w:val="1"/>
      <w:marLeft w:val="0"/>
      <w:marRight w:val="0"/>
      <w:marTop w:val="0"/>
      <w:marBottom w:val="0"/>
      <w:divBdr>
        <w:top w:val="none" w:sz="0" w:space="0" w:color="auto"/>
        <w:left w:val="none" w:sz="0" w:space="0" w:color="auto"/>
        <w:bottom w:val="none" w:sz="0" w:space="0" w:color="auto"/>
        <w:right w:val="none" w:sz="0" w:space="0" w:color="auto"/>
      </w:divBdr>
    </w:div>
    <w:div w:id="1173840186">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2006662702">
      <w:bodyDiv w:val="1"/>
      <w:marLeft w:val="0"/>
      <w:marRight w:val="0"/>
      <w:marTop w:val="0"/>
      <w:marBottom w:val="0"/>
      <w:divBdr>
        <w:top w:val="none" w:sz="0" w:space="0" w:color="auto"/>
        <w:left w:val="none" w:sz="0" w:space="0" w:color="auto"/>
        <w:bottom w:val="none" w:sz="0" w:space="0" w:color="auto"/>
        <w:right w:val="none" w:sz="0" w:space="0" w:color="auto"/>
      </w:divBdr>
      <w:divsChild>
        <w:div w:id="1211769718">
          <w:marLeft w:val="0"/>
          <w:marRight w:val="0"/>
          <w:marTop w:val="0"/>
          <w:marBottom w:val="0"/>
          <w:divBdr>
            <w:top w:val="none" w:sz="0" w:space="0" w:color="auto"/>
            <w:left w:val="none" w:sz="0" w:space="0" w:color="auto"/>
            <w:bottom w:val="none" w:sz="0" w:space="0" w:color="auto"/>
            <w:right w:val="none" w:sz="0" w:space="0" w:color="auto"/>
          </w:divBdr>
          <w:divsChild>
            <w:div w:id="257912787">
              <w:marLeft w:val="0"/>
              <w:marRight w:val="0"/>
              <w:marTop w:val="0"/>
              <w:marBottom w:val="0"/>
              <w:divBdr>
                <w:top w:val="none" w:sz="0" w:space="0" w:color="auto"/>
                <w:left w:val="none" w:sz="0" w:space="0" w:color="auto"/>
                <w:bottom w:val="none" w:sz="0" w:space="0" w:color="auto"/>
                <w:right w:val="none" w:sz="0" w:space="0" w:color="auto"/>
              </w:divBdr>
            </w:div>
            <w:div w:id="297878071">
              <w:marLeft w:val="0"/>
              <w:marRight w:val="0"/>
              <w:marTop w:val="0"/>
              <w:marBottom w:val="0"/>
              <w:divBdr>
                <w:top w:val="none" w:sz="0" w:space="0" w:color="auto"/>
                <w:left w:val="none" w:sz="0" w:space="0" w:color="auto"/>
                <w:bottom w:val="none" w:sz="0" w:space="0" w:color="auto"/>
                <w:right w:val="none" w:sz="0" w:space="0" w:color="auto"/>
              </w:divBdr>
            </w:div>
            <w:div w:id="14855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3170">
      <w:bodyDiv w:val="1"/>
      <w:marLeft w:val="0"/>
      <w:marRight w:val="0"/>
      <w:marTop w:val="0"/>
      <w:marBottom w:val="0"/>
      <w:divBdr>
        <w:top w:val="none" w:sz="0" w:space="0" w:color="auto"/>
        <w:left w:val="none" w:sz="0" w:space="0" w:color="auto"/>
        <w:bottom w:val="none" w:sz="0" w:space="0" w:color="auto"/>
        <w:right w:val="none" w:sz="0" w:space="0" w:color="auto"/>
      </w:divBdr>
      <w:divsChild>
        <w:div w:id="882718627">
          <w:marLeft w:val="0"/>
          <w:marRight w:val="0"/>
          <w:marTop w:val="0"/>
          <w:marBottom w:val="0"/>
          <w:divBdr>
            <w:top w:val="none" w:sz="0" w:space="0" w:color="auto"/>
            <w:left w:val="none" w:sz="0" w:space="0" w:color="auto"/>
            <w:bottom w:val="none" w:sz="0" w:space="0" w:color="auto"/>
            <w:right w:val="none" w:sz="0" w:space="0" w:color="auto"/>
          </w:divBdr>
          <w:divsChild>
            <w:div w:id="244458263">
              <w:marLeft w:val="243"/>
              <w:marRight w:val="0"/>
              <w:marTop w:val="0"/>
              <w:marBottom w:val="0"/>
              <w:divBdr>
                <w:top w:val="none" w:sz="0" w:space="0" w:color="auto"/>
                <w:left w:val="none" w:sz="0" w:space="0" w:color="auto"/>
                <w:bottom w:val="none" w:sz="0" w:space="0" w:color="auto"/>
                <w:right w:val="none" w:sz="0" w:space="0" w:color="auto"/>
              </w:divBdr>
            </w:div>
          </w:divsChild>
        </w:div>
        <w:div w:id="1857189503">
          <w:marLeft w:val="0"/>
          <w:marRight w:val="0"/>
          <w:marTop w:val="0"/>
          <w:marBottom w:val="0"/>
          <w:divBdr>
            <w:top w:val="none" w:sz="0" w:space="0" w:color="auto"/>
            <w:left w:val="none" w:sz="0" w:space="0" w:color="auto"/>
            <w:bottom w:val="none" w:sz="0" w:space="0" w:color="auto"/>
            <w:right w:val="none" w:sz="0" w:space="0" w:color="auto"/>
          </w:divBdr>
          <w:divsChild>
            <w:div w:id="803163478">
              <w:marLeft w:val="0"/>
              <w:marRight w:val="0"/>
              <w:marTop w:val="0"/>
              <w:marBottom w:val="0"/>
              <w:divBdr>
                <w:top w:val="none" w:sz="0" w:space="0" w:color="auto"/>
                <w:left w:val="none" w:sz="0" w:space="0" w:color="auto"/>
                <w:bottom w:val="none" w:sz="0" w:space="0" w:color="auto"/>
                <w:right w:val="none" w:sz="0" w:space="0" w:color="auto"/>
              </w:divBdr>
              <w:divsChild>
                <w:div w:id="1349986211">
                  <w:marLeft w:val="2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file:///C:\Users\c506325\AppData\Local\Microsoft\Windows\INetCache\Content.Outlook\4HIV4GD7\CMS-2-017428"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policy.corp.cvscaremark.com/pnp/faces/DocRenderer?documentId=CALL-001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US482509</Note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7D6C8-0FC0-4C94-AEB6-2EBF31643271}">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9246BB9B-3EE7-46DD-A6BC-89584F8D8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4.xml><?xml version="1.0" encoding="utf-8"?>
<ds:datastoreItem xmlns:ds="http://schemas.openxmlformats.org/officeDocument/2006/customXml" ds:itemID="{F61BDF76-FF19-4880-ACBF-7F2BC607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TotalTime>
  <Pages>1</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4681</CharactersWithSpaces>
  <SharedDoc>false</SharedDoc>
  <HLinks>
    <vt:vector size="78" baseType="variant">
      <vt:variant>
        <vt:i4>262192</vt:i4>
      </vt:variant>
      <vt:variant>
        <vt:i4>39</vt:i4>
      </vt:variant>
      <vt:variant>
        <vt:i4>0</vt:i4>
      </vt:variant>
      <vt:variant>
        <vt:i4>5</vt:i4>
      </vt:variant>
      <vt:variant>
        <vt:lpwstr/>
      </vt:variant>
      <vt:variant>
        <vt:lpwstr>_top</vt:lpwstr>
      </vt:variant>
      <vt:variant>
        <vt:i4>6946930</vt:i4>
      </vt:variant>
      <vt:variant>
        <vt:i4>36</vt:i4>
      </vt:variant>
      <vt:variant>
        <vt:i4>0</vt:i4>
      </vt:variant>
      <vt:variant>
        <vt:i4>5</vt:i4>
      </vt:variant>
      <vt:variant>
        <vt:lpwstr>C:\Users\c506325\AppData\Local\Microsoft\Windows\INetCache\Content.Outlook\4HIV4GD7\CMS-2-017428</vt:lpwstr>
      </vt:variant>
      <vt:variant>
        <vt:lpwstr/>
      </vt:variant>
      <vt:variant>
        <vt:i4>2949170</vt:i4>
      </vt:variant>
      <vt:variant>
        <vt:i4>33</vt:i4>
      </vt:variant>
      <vt:variant>
        <vt:i4>0</vt:i4>
      </vt:variant>
      <vt:variant>
        <vt:i4>5</vt:i4>
      </vt:variant>
      <vt:variant>
        <vt:lpwstr>https://policy.corp.cvscaremark.com/pnp/faces/DocRenderer?documentId=CALL-0011</vt:lpwstr>
      </vt:variant>
      <vt:variant>
        <vt:lpwstr/>
      </vt:variant>
      <vt:variant>
        <vt:i4>262192</vt:i4>
      </vt:variant>
      <vt:variant>
        <vt:i4>30</vt:i4>
      </vt:variant>
      <vt:variant>
        <vt:i4>0</vt:i4>
      </vt:variant>
      <vt:variant>
        <vt:i4>5</vt:i4>
      </vt:variant>
      <vt:variant>
        <vt:lpwstr/>
      </vt:variant>
      <vt:variant>
        <vt:lpwstr>_top</vt:lpwstr>
      </vt:variant>
      <vt:variant>
        <vt:i4>4915276</vt:i4>
      </vt:variant>
      <vt:variant>
        <vt:i4>27</vt:i4>
      </vt:variant>
      <vt:variant>
        <vt:i4>0</vt:i4>
      </vt:variant>
      <vt:variant>
        <vt:i4>5</vt:i4>
      </vt:variant>
      <vt:variant>
        <vt:lpwstr>https://thesource.cvshealth.com/nuxeo/thesource/</vt:lpwstr>
      </vt:variant>
      <vt:variant>
        <vt:lpwstr>!/view?docid=03532634-0441-4503-8b66-d19f9eec0c32</vt:lpwstr>
      </vt:variant>
      <vt:variant>
        <vt:i4>1179718</vt:i4>
      </vt:variant>
      <vt:variant>
        <vt:i4>24</vt:i4>
      </vt:variant>
      <vt:variant>
        <vt:i4>0</vt:i4>
      </vt:variant>
      <vt:variant>
        <vt:i4>5</vt:i4>
      </vt:variant>
      <vt:variant>
        <vt:lpwstr>https://thesource.cvshealth.com/nuxeo/thesource/</vt:lpwstr>
      </vt:variant>
      <vt:variant>
        <vt:lpwstr>!/view?docid=0990aac5-274f-424d-9400-546d74b3fed7</vt:lpwstr>
      </vt:variant>
      <vt:variant>
        <vt:i4>1245249</vt:i4>
      </vt:variant>
      <vt:variant>
        <vt:i4>21</vt:i4>
      </vt:variant>
      <vt:variant>
        <vt:i4>0</vt:i4>
      </vt:variant>
      <vt:variant>
        <vt:i4>5</vt:i4>
      </vt:variant>
      <vt:variant>
        <vt:lpwstr>https://thesource.cvshealth.com/nuxeo/thesource/</vt:lpwstr>
      </vt:variant>
      <vt:variant>
        <vt:lpwstr>!/view?docid=c31eec52-fb25-4867-9693-4b5129d67190</vt:lpwstr>
      </vt:variant>
      <vt:variant>
        <vt:i4>4587551</vt:i4>
      </vt:variant>
      <vt:variant>
        <vt:i4>17</vt:i4>
      </vt:variant>
      <vt:variant>
        <vt:i4>0</vt:i4>
      </vt:variant>
      <vt:variant>
        <vt:i4>5</vt:i4>
      </vt:variant>
      <vt:variant>
        <vt:lpwstr>https://thesource.cvshealth.com/nuxeo/thesource/</vt:lpwstr>
      </vt:variant>
      <vt:variant>
        <vt:lpwstr>!/view?docid=44e71d7a-1b1c-4931-9089-d4161a72d114</vt:lpwstr>
      </vt:variant>
      <vt:variant>
        <vt:i4>1572887</vt:i4>
      </vt:variant>
      <vt:variant>
        <vt:i4>15</vt:i4>
      </vt:variant>
      <vt:variant>
        <vt:i4>0</vt:i4>
      </vt:variant>
      <vt:variant>
        <vt:i4>5</vt:i4>
      </vt:variant>
      <vt:variant>
        <vt:lpwstr>https://thesource.cvshealth.com/nuxeo/thesource/</vt:lpwstr>
      </vt:variant>
      <vt:variant>
        <vt:lpwstr>!/view?docid=b25b4ad4-2d16-4961-8251-43dfab7e46f3</vt:lpwstr>
      </vt:variant>
      <vt:variant>
        <vt:i4>1179718</vt:i4>
      </vt:variant>
      <vt:variant>
        <vt:i4>12</vt:i4>
      </vt:variant>
      <vt:variant>
        <vt:i4>0</vt:i4>
      </vt:variant>
      <vt:variant>
        <vt:i4>5</vt:i4>
      </vt:variant>
      <vt:variant>
        <vt:lpwstr>https://thesource.cvshealth.com/nuxeo/thesource/</vt:lpwstr>
      </vt:variant>
      <vt:variant>
        <vt:lpwstr>!/view?docid=0990aac5-274f-424d-9400-546d74b3fed7</vt:lpwstr>
      </vt:variant>
      <vt:variant>
        <vt:i4>4587551</vt:i4>
      </vt:variant>
      <vt:variant>
        <vt:i4>9</vt:i4>
      </vt:variant>
      <vt:variant>
        <vt:i4>0</vt:i4>
      </vt:variant>
      <vt:variant>
        <vt:i4>5</vt:i4>
      </vt:variant>
      <vt:variant>
        <vt:lpwstr>https://thesource.cvshealth.com/nuxeo/thesource/</vt:lpwstr>
      </vt:variant>
      <vt:variant>
        <vt:lpwstr>!/view?docid=44e71d7a-1b1c-4931-9089-d4161a72d114</vt:lpwstr>
      </vt:variant>
      <vt:variant>
        <vt:i4>1900594</vt:i4>
      </vt:variant>
      <vt:variant>
        <vt:i4>5</vt:i4>
      </vt:variant>
      <vt:variant>
        <vt:i4>0</vt:i4>
      </vt:variant>
      <vt:variant>
        <vt:i4>5</vt:i4>
      </vt:variant>
      <vt:variant>
        <vt:lpwstr/>
      </vt:variant>
      <vt:variant>
        <vt:lpwstr>_Toc162960756</vt:lpwstr>
      </vt:variant>
      <vt:variant>
        <vt:i4>1900594</vt:i4>
      </vt:variant>
      <vt:variant>
        <vt:i4>2</vt:i4>
      </vt:variant>
      <vt:variant>
        <vt:i4>0</vt:i4>
      </vt:variant>
      <vt:variant>
        <vt:i4>5</vt:i4>
      </vt:variant>
      <vt:variant>
        <vt:lpwstr/>
      </vt:variant>
      <vt:variant>
        <vt:lpwstr>_Toc162960755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dc:description/>
  <cp:lastModifiedBy>Kristoff, Angel T</cp:lastModifiedBy>
  <cp:revision>3</cp:revision>
  <cp:lastPrinted>2007-01-03T18:56:00Z</cp:lastPrinted>
  <dcterms:created xsi:type="dcterms:W3CDTF">2025-08-21T19:03:00Z</dcterms:created>
  <dcterms:modified xsi:type="dcterms:W3CDTF">2025-08-21T19:07:00Z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2021-09-08T19:24:24Z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84a01142-f618-43ee-9dc9-f20aa1aa970b</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