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391B" w14:textId="198EF0D7" w:rsidR="00255C6B" w:rsidRDefault="008972B6" w:rsidP="00900EC1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bookmarkStart w:id="2" w:name="OLE_LINK76"/>
      <w:r w:rsidR="0039680C">
        <w:rPr>
          <w:rFonts w:ascii="Verdana" w:hAnsi="Verdana"/>
          <w:color w:val="000000"/>
          <w:sz w:val="36"/>
          <w:szCs w:val="36"/>
        </w:rPr>
        <w:t>M</w:t>
      </w:r>
      <w:r w:rsidR="002B2947">
        <w:rPr>
          <w:rFonts w:ascii="Verdana" w:hAnsi="Verdana"/>
          <w:color w:val="000000"/>
          <w:sz w:val="36"/>
          <w:szCs w:val="36"/>
        </w:rPr>
        <w:t>ED</w:t>
      </w:r>
      <w:r w:rsidR="00D771E5">
        <w:rPr>
          <w:rFonts w:ascii="Verdana" w:hAnsi="Verdana"/>
          <w:color w:val="000000"/>
          <w:sz w:val="36"/>
          <w:szCs w:val="36"/>
        </w:rPr>
        <w:t xml:space="preserve"> D </w:t>
      </w:r>
      <w:r w:rsidR="0039680C">
        <w:rPr>
          <w:rFonts w:ascii="Verdana" w:hAnsi="Verdana"/>
          <w:color w:val="000000"/>
          <w:sz w:val="36"/>
          <w:szCs w:val="36"/>
        </w:rPr>
        <w:t xml:space="preserve">- </w:t>
      </w:r>
      <w:r w:rsidR="00147B3F">
        <w:rPr>
          <w:rFonts w:ascii="Verdana" w:hAnsi="Verdana"/>
          <w:color w:val="000000"/>
          <w:sz w:val="36"/>
          <w:szCs w:val="36"/>
        </w:rPr>
        <w:t>Delayed Prescriber Response</w:t>
      </w:r>
      <w:r w:rsidR="00D91C4B">
        <w:rPr>
          <w:rFonts w:ascii="Verdana" w:hAnsi="Verdana"/>
          <w:color w:val="000000"/>
          <w:sz w:val="36"/>
          <w:szCs w:val="36"/>
        </w:rPr>
        <w:t>/Prescriber Hold</w:t>
      </w:r>
      <w:r w:rsidR="00291395">
        <w:rPr>
          <w:rFonts w:ascii="Verdana" w:hAnsi="Verdana"/>
          <w:color w:val="000000"/>
          <w:sz w:val="36"/>
          <w:szCs w:val="36"/>
        </w:rPr>
        <w:t xml:space="preserve"> Process</w:t>
      </w:r>
    </w:p>
    <w:bookmarkEnd w:id="1"/>
    <w:bookmarkEnd w:id="2"/>
    <w:p w14:paraId="4D56AFC7" w14:textId="77777777" w:rsidR="00630BFB" w:rsidRPr="00630BFB" w:rsidRDefault="00630BFB" w:rsidP="00630BFB">
      <w:pPr>
        <w:pStyle w:val="Heading4"/>
      </w:pPr>
    </w:p>
    <w:p w14:paraId="2AD5B468" w14:textId="323BCEDB" w:rsidR="006B0897" w:rsidRDefault="006755E5" w:rsidP="004062C2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r>
        <w:fldChar w:fldCharType="begin"/>
      </w:r>
      <w:r w:rsidR="00D91C4B">
        <w:instrText xml:space="preserve"> TOC \o "2-2" \n \h \z \u </w:instrText>
      </w:r>
      <w:r>
        <w:fldChar w:fldCharType="separate"/>
      </w:r>
      <w:hyperlink w:anchor="_Toc151049980" w:history="1">
        <w:r w:rsidR="006B0897" w:rsidRPr="00633946">
          <w:rPr>
            <w:rStyle w:val="Hyperlink"/>
            <w:noProof/>
          </w:rPr>
          <w:t>Overview</w:t>
        </w:r>
      </w:hyperlink>
    </w:p>
    <w:p w14:paraId="6376BD84" w14:textId="08BBDEC9" w:rsidR="006B0897" w:rsidRDefault="006B0897" w:rsidP="004062C2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1049981" w:history="1">
        <w:r w:rsidRPr="00633946">
          <w:rPr>
            <w:rStyle w:val="Hyperlink"/>
            <w:noProof/>
          </w:rPr>
          <w:t>Prescriber Holds</w:t>
        </w:r>
      </w:hyperlink>
    </w:p>
    <w:p w14:paraId="5D515295" w14:textId="07B9D55C" w:rsidR="006B0897" w:rsidRDefault="006B0897" w:rsidP="004062C2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1049983" w:history="1">
        <w:r w:rsidRPr="00633946">
          <w:rPr>
            <w:rStyle w:val="Hyperlink"/>
            <w:noProof/>
          </w:rPr>
          <w:t>Inbound Call from Prescriber</w:t>
        </w:r>
      </w:hyperlink>
    </w:p>
    <w:p w14:paraId="13DA11F9" w14:textId="126ABAB1" w:rsidR="006B0897" w:rsidRDefault="006B0897" w:rsidP="004062C2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1049984" w:history="1">
        <w:r w:rsidRPr="00633946">
          <w:rPr>
            <w:rStyle w:val="Hyperlink"/>
            <w:noProof/>
          </w:rPr>
          <w:t>Resolution Time</w:t>
        </w:r>
      </w:hyperlink>
    </w:p>
    <w:p w14:paraId="2FF029E4" w14:textId="548245FF" w:rsidR="006B0897" w:rsidRDefault="006B0897" w:rsidP="004062C2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1049985" w:history="1">
        <w:r w:rsidRPr="00633946">
          <w:rPr>
            <w:rStyle w:val="Hyperlink"/>
            <w:noProof/>
          </w:rPr>
          <w:t>Related Documents</w:t>
        </w:r>
      </w:hyperlink>
    </w:p>
    <w:p w14:paraId="74FBA5CB" w14:textId="28CA49F1" w:rsidR="004D321B" w:rsidRDefault="006755E5" w:rsidP="004062C2">
      <w:pPr>
        <w:pStyle w:val="TOC2"/>
      </w:pPr>
      <w:r>
        <w:fldChar w:fldCharType="end"/>
      </w:r>
    </w:p>
    <w:p w14:paraId="7383738C" w14:textId="77777777" w:rsidR="00823226" w:rsidRPr="00823226" w:rsidRDefault="00823226" w:rsidP="00823226"/>
    <w:p w14:paraId="751456A7" w14:textId="77777777" w:rsidR="00514237" w:rsidRDefault="00514237" w:rsidP="00514237">
      <w:pPr>
        <w:rPr>
          <w:rFonts w:ascii="Verdana" w:hAnsi="Verdana"/>
        </w:rPr>
      </w:pPr>
      <w:r w:rsidRPr="00514237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3" w:name="OLE_LINK3"/>
      <w:r w:rsidRPr="00514237">
        <w:rPr>
          <w:rFonts w:ascii="Verdana" w:hAnsi="Verdana"/>
        </w:rPr>
        <w:t xml:space="preserve">This document provides information regarding the Delayed Prescriber Response process. </w:t>
      </w:r>
      <w:bookmarkEnd w:id="3"/>
    </w:p>
    <w:p w14:paraId="284D32E4" w14:textId="77777777" w:rsidR="008B1FD9" w:rsidRPr="00514237" w:rsidRDefault="008B1FD9" w:rsidP="00514237">
      <w:pPr>
        <w:rPr>
          <w:rFonts w:ascii="Verdana" w:hAnsi="Verdana"/>
        </w:rPr>
      </w:pPr>
    </w:p>
    <w:p w14:paraId="34A60FCC" w14:textId="77777777" w:rsidR="00FA14AE" w:rsidRPr="00FA14AE" w:rsidRDefault="00FA14AE" w:rsidP="00FA14A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A64DA" w:rsidRPr="002F4BEC" w14:paraId="0C060530" w14:textId="77777777" w:rsidTr="002F4BEC">
        <w:tc>
          <w:tcPr>
            <w:tcW w:w="5000" w:type="pct"/>
            <w:shd w:val="clear" w:color="auto" w:fill="C0C0C0"/>
          </w:tcPr>
          <w:p w14:paraId="61B8DD13" w14:textId="77777777" w:rsidR="005A64DA" w:rsidRPr="008F4EF6" w:rsidRDefault="005A64DA" w:rsidP="008F4EF6">
            <w:pPr>
              <w:pStyle w:val="Heading2"/>
              <w:rPr>
                <w:rFonts w:ascii="Verdana" w:hAnsi="Verdana"/>
                <w:i w:val="0"/>
              </w:rPr>
            </w:pPr>
            <w:bookmarkStart w:id="4" w:name="_Overview"/>
            <w:bookmarkStart w:id="5" w:name="_Toc151049980"/>
            <w:bookmarkEnd w:id="4"/>
            <w:r w:rsidRPr="008F4EF6">
              <w:rPr>
                <w:rFonts w:ascii="Verdana" w:hAnsi="Verdana"/>
                <w:i w:val="0"/>
              </w:rPr>
              <w:t>Overview</w:t>
            </w:r>
            <w:bookmarkEnd w:id="5"/>
            <w:r w:rsidRPr="008F4EF6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5E01A966" w14:textId="77777777" w:rsidR="003D64B7" w:rsidRDefault="00147B3F" w:rsidP="009166F3">
      <w:pPr>
        <w:pStyle w:val="NormalWeb"/>
        <w:spacing w:before="0" w:beforeAutospacing="0" w:after="0" w:afterAutospacing="0"/>
        <w:rPr>
          <w:rFonts w:ascii="Verdana" w:hAnsi="Verdana"/>
        </w:rPr>
      </w:pPr>
      <w:r w:rsidRPr="00147B3F">
        <w:rPr>
          <w:rFonts w:ascii="Verdana" w:hAnsi="Verdana"/>
        </w:rPr>
        <w:t xml:space="preserve">The Delayed Prescriber Response </w:t>
      </w:r>
      <w:r w:rsidR="00291395">
        <w:rPr>
          <w:rFonts w:ascii="Verdana" w:hAnsi="Verdana"/>
        </w:rPr>
        <w:t>process</w:t>
      </w:r>
      <w:r w:rsidR="00291395" w:rsidRPr="00147B3F">
        <w:rPr>
          <w:rFonts w:ascii="Verdana" w:hAnsi="Verdana"/>
        </w:rPr>
        <w:t xml:space="preserve"> </w:t>
      </w:r>
      <w:r w:rsidRPr="00147B3F">
        <w:rPr>
          <w:rFonts w:ascii="Verdana" w:hAnsi="Verdana"/>
        </w:rPr>
        <w:t xml:space="preserve">involves the handling of incomplete prescriptions that require clarification from the prescriber. </w:t>
      </w:r>
    </w:p>
    <w:p w14:paraId="00CC9948" w14:textId="77777777" w:rsidR="003D64B7" w:rsidRDefault="003D64B7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44210FDC" w14:textId="77777777" w:rsidR="003D64B7" w:rsidRDefault="003D64B7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6" w:name="OLE_LINK36"/>
      <w:r>
        <w:rPr>
          <w:rFonts w:ascii="Verdana" w:hAnsi="Verdana"/>
          <w:b/>
        </w:rPr>
        <w:t xml:space="preserve">Note:  </w:t>
      </w:r>
      <w:bookmarkEnd w:id="6"/>
      <w:r>
        <w:rPr>
          <w:rFonts w:ascii="Verdana" w:hAnsi="Verdana"/>
        </w:rPr>
        <w:t>It may also be used if the beneficiary contacts us indicating the prescriber provided a response, but ther</w:t>
      </w:r>
      <w:r w:rsidR="00EA71A5">
        <w:rPr>
          <w:rFonts w:ascii="Verdana" w:hAnsi="Verdana"/>
        </w:rPr>
        <w:t>e is no record of the contact.</w:t>
      </w:r>
    </w:p>
    <w:p w14:paraId="436A474F" w14:textId="77777777" w:rsidR="003D64B7" w:rsidRDefault="003D64B7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5F3E8594" w14:textId="77777777" w:rsidR="00F52BE6" w:rsidRDefault="00147B3F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147B3F">
        <w:rPr>
          <w:rFonts w:ascii="Verdana" w:hAnsi="Verdana"/>
        </w:rPr>
        <w:t>There are two types of Delayed Prescriber Response Hold</w:t>
      </w:r>
      <w:r w:rsidR="00F52BE6">
        <w:rPr>
          <w:rFonts w:ascii="Verdana" w:hAnsi="Verdana"/>
        </w:rPr>
        <w:t>:</w:t>
      </w:r>
    </w:p>
    <w:p w14:paraId="7C975D79" w14:textId="77777777" w:rsidR="00147B3F" w:rsidRDefault="00147B3F" w:rsidP="00900EC1">
      <w:pPr>
        <w:pStyle w:val="BodyTextIndent2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147B3F">
        <w:rPr>
          <w:rFonts w:ascii="Verdana" w:hAnsi="Verdana"/>
          <w:b/>
        </w:rPr>
        <w:t>Prescriber Hold Until</w:t>
      </w:r>
      <w:r w:rsidR="00895915">
        <w:rPr>
          <w:rFonts w:ascii="Verdana" w:hAnsi="Verdana"/>
          <w:b/>
        </w:rPr>
        <w:t xml:space="preserve"> - </w:t>
      </w:r>
      <w:r w:rsidR="00895915">
        <w:rPr>
          <w:rFonts w:ascii="Verdana" w:hAnsi="Verdana"/>
          <w:color w:val="000000"/>
        </w:rPr>
        <w:t>The prescriber is expected</w:t>
      </w:r>
      <w:r w:rsidR="00EA71A5">
        <w:rPr>
          <w:rFonts w:ascii="Verdana" w:hAnsi="Verdana"/>
          <w:color w:val="000000"/>
        </w:rPr>
        <w:t xml:space="preserve"> to respond by a certain date. </w:t>
      </w:r>
      <w:r w:rsidR="00895915">
        <w:rPr>
          <w:rFonts w:ascii="Verdana" w:hAnsi="Verdana"/>
          <w:color w:val="000000"/>
        </w:rPr>
        <w:t>For example, the prescriber is on vacation, but will respond within one week</w:t>
      </w:r>
      <w:r w:rsidR="0081260E">
        <w:rPr>
          <w:rFonts w:ascii="Verdana" w:hAnsi="Verdana"/>
          <w:color w:val="000000"/>
        </w:rPr>
        <w:t>.</w:t>
      </w:r>
    </w:p>
    <w:p w14:paraId="55E9DB93" w14:textId="77777777" w:rsidR="00147B3F" w:rsidRPr="003D64B7" w:rsidRDefault="00147B3F" w:rsidP="00900EC1">
      <w:pPr>
        <w:pStyle w:val="BodyTextIndent2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147B3F">
        <w:rPr>
          <w:rFonts w:ascii="Verdana" w:hAnsi="Verdana"/>
          <w:b/>
        </w:rPr>
        <w:t>Prescriber Indefinite Hold</w:t>
      </w:r>
      <w:r w:rsidR="00895915">
        <w:rPr>
          <w:rFonts w:ascii="Verdana" w:hAnsi="Verdana"/>
        </w:rPr>
        <w:t xml:space="preserve"> -</w:t>
      </w:r>
      <w:r w:rsidR="00594F24">
        <w:rPr>
          <w:rFonts w:ascii="Verdana" w:hAnsi="Verdana"/>
        </w:rPr>
        <w:t xml:space="preserve"> </w:t>
      </w:r>
      <w:r w:rsidR="00895915">
        <w:rPr>
          <w:rFonts w:ascii="Verdana" w:hAnsi="Verdana"/>
          <w:color w:val="000000"/>
        </w:rPr>
        <w:t>The fu</w:t>
      </w:r>
      <w:r w:rsidR="00EA71A5">
        <w:rPr>
          <w:rFonts w:ascii="Verdana" w:hAnsi="Verdana"/>
          <w:color w:val="000000"/>
        </w:rPr>
        <w:t xml:space="preserve">ture response date is unknown. </w:t>
      </w:r>
      <w:r w:rsidR="00895915">
        <w:rPr>
          <w:rFonts w:ascii="Verdana" w:hAnsi="Verdana"/>
          <w:color w:val="000000"/>
        </w:rPr>
        <w:t>For example, we may hear back from the prescriber several days after the prescription is placed on hold, or it might be weeks until a response is received. </w:t>
      </w:r>
    </w:p>
    <w:p w14:paraId="0799708B" w14:textId="77777777" w:rsidR="003D64B7" w:rsidRDefault="003D64B7" w:rsidP="003D64B7">
      <w:pPr>
        <w:pStyle w:val="BodyTextIndent2"/>
        <w:spacing w:after="0" w:line="240" w:lineRule="auto"/>
        <w:rPr>
          <w:rFonts w:ascii="Verdana" w:hAnsi="Verdana"/>
        </w:rPr>
      </w:pPr>
    </w:p>
    <w:p w14:paraId="247F4BAE" w14:textId="77777777" w:rsidR="00147B3F" w:rsidRPr="00147B3F" w:rsidRDefault="00147B3F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147B3F">
        <w:rPr>
          <w:rFonts w:ascii="Verdana" w:hAnsi="Verdana"/>
          <w:b/>
        </w:rPr>
        <w:t>Prescriptions are placed on Prescriber Hold due to</w:t>
      </w:r>
      <w:r w:rsidRPr="00147B3F">
        <w:rPr>
          <w:rFonts w:ascii="Verdana" w:hAnsi="Verdana"/>
        </w:rPr>
        <w:t xml:space="preserve"> </w:t>
      </w:r>
      <w:r w:rsidRPr="00147B3F">
        <w:rPr>
          <w:rFonts w:ascii="Verdana" w:hAnsi="Verdana"/>
          <w:b/>
        </w:rPr>
        <w:t xml:space="preserve">delay </w:t>
      </w:r>
      <w:r w:rsidR="00635938" w:rsidRPr="00635938">
        <w:rPr>
          <w:rFonts w:ascii="Verdana" w:hAnsi="Verdana"/>
          <w:b/>
        </w:rPr>
        <w:t xml:space="preserve">in response </w:t>
      </w:r>
      <w:r w:rsidRPr="00147B3F">
        <w:rPr>
          <w:rFonts w:ascii="Verdana" w:hAnsi="Verdana"/>
          <w:b/>
        </w:rPr>
        <w:t>by the prescriber</w:t>
      </w:r>
      <w:r w:rsidRPr="00147B3F">
        <w:rPr>
          <w:rFonts w:ascii="Verdana" w:hAnsi="Verdana"/>
        </w:rPr>
        <w:t>, not due to a</w:t>
      </w:r>
      <w:r w:rsidR="00EA71A5">
        <w:rPr>
          <w:rFonts w:ascii="Verdana" w:hAnsi="Verdana"/>
        </w:rPr>
        <w:t xml:space="preserve">ny error made by CVS Caremark. </w:t>
      </w:r>
      <w:r w:rsidRPr="00147B3F">
        <w:rPr>
          <w:rFonts w:ascii="Verdana" w:hAnsi="Verdana"/>
        </w:rPr>
        <w:t>Also</w:t>
      </w:r>
      <w:r w:rsidR="00291395">
        <w:rPr>
          <w:rFonts w:ascii="Verdana" w:hAnsi="Verdana"/>
        </w:rPr>
        <w:t>,</w:t>
      </w:r>
      <w:r w:rsidRPr="00147B3F">
        <w:rPr>
          <w:rFonts w:ascii="Verdana" w:hAnsi="Verdana"/>
        </w:rPr>
        <w:t xml:space="preserve"> note that these prescriptions are</w:t>
      </w:r>
      <w:r w:rsidR="00EA71A5">
        <w:rPr>
          <w:rFonts w:ascii="Verdana" w:hAnsi="Verdana"/>
        </w:rPr>
        <w:t xml:space="preserve"> incomplete and not yet valid. </w:t>
      </w:r>
      <w:r w:rsidRPr="00147B3F">
        <w:rPr>
          <w:rFonts w:ascii="Verdana" w:hAnsi="Verdana"/>
        </w:rPr>
        <w:t xml:space="preserve">As a result, they will not be eligible for:  </w:t>
      </w:r>
    </w:p>
    <w:p w14:paraId="42871B1E" w14:textId="77777777" w:rsidR="00147B3F" w:rsidRPr="00147B3F" w:rsidRDefault="00751390" w:rsidP="00900EC1">
      <w:pPr>
        <w:pStyle w:val="BodyTextIndent2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Bridge Supply</w:t>
      </w:r>
    </w:p>
    <w:p w14:paraId="54281D9F" w14:textId="77777777" w:rsidR="00147B3F" w:rsidRPr="00D43370" w:rsidRDefault="00147B3F" w:rsidP="00900EC1">
      <w:pPr>
        <w:pStyle w:val="BodyTextIndent2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147B3F">
        <w:rPr>
          <w:rFonts w:ascii="Verdana" w:hAnsi="Verdana"/>
        </w:rPr>
        <w:t>Transfers to other pharmac</w:t>
      </w:r>
      <w:r w:rsidR="00751390">
        <w:rPr>
          <w:rFonts w:ascii="Verdana" w:hAnsi="Verdana"/>
        </w:rPr>
        <w:t>ies</w:t>
      </w:r>
      <w:r w:rsidRPr="00D43370">
        <w:rPr>
          <w:rFonts w:ascii="Verdana" w:hAnsi="Verdana"/>
        </w:rPr>
        <w:t xml:space="preserve"> </w:t>
      </w:r>
    </w:p>
    <w:p w14:paraId="220540CB" w14:textId="77777777" w:rsidR="00D43370" w:rsidRDefault="00D43370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3E937207" w14:textId="6EB2AEA7" w:rsidR="009E13FA" w:rsidRPr="008972B6" w:rsidRDefault="009E13FA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8972B6">
        <w:rPr>
          <w:rFonts w:ascii="Verdana" w:hAnsi="Verdana"/>
        </w:rPr>
        <w:t>For more information about how we contact prescribers for new prescriptions, refer to</w:t>
      </w:r>
      <w:r w:rsidR="009466C0">
        <w:rPr>
          <w:rFonts w:ascii="Verdana" w:hAnsi="Verdana"/>
        </w:rPr>
        <w:t xml:space="preserve"> </w:t>
      </w:r>
      <w:hyperlink r:id="rId11" w:anchor="!/view?docid=a7684ce9-c2bc-4cbc-ab37-c1ffb7789706" w:tgtFrame="_blank" w:history="1">
        <w:r w:rsidR="009466C0">
          <w:rPr>
            <w:rStyle w:val="Hyperlink"/>
            <w:rFonts w:ascii="Verdana" w:hAnsi="Verdana"/>
          </w:rPr>
          <w:t>Compass - Obtaining a New Prescription (Rx) for the Member (New Rx Request)</w:t>
        </w:r>
      </w:hyperlink>
      <w:r w:rsidR="009466C0">
        <w:rPr>
          <w:rFonts w:ascii="Verdana" w:hAnsi="Verdana"/>
          <w:color w:val="000000"/>
        </w:rPr>
        <w:t> and </w:t>
      </w:r>
      <w:hyperlink r:id="rId12" w:anchor="!/view?docid=02642d70-f4cf-4582-b72c-cb85c3a11776" w:tgtFrame="_blank" w:history="1">
        <w:r w:rsidR="009466C0">
          <w:rPr>
            <w:rStyle w:val="Hyperlink"/>
            <w:rFonts w:ascii="Verdana" w:hAnsi="Verdana"/>
          </w:rPr>
          <w:t>Being a Power House: Talking to Members About Doctor (MD) Outreach</w:t>
        </w:r>
      </w:hyperlink>
      <w:r w:rsidR="009466C0">
        <w:rPr>
          <w:rFonts w:ascii="Verdana" w:hAnsi="Verdana"/>
          <w:color w:val="000000"/>
        </w:rPr>
        <w:t> as needed.</w:t>
      </w:r>
    </w:p>
    <w:p w14:paraId="398A5EEB" w14:textId="77777777" w:rsidR="009E13FA" w:rsidRDefault="009E13FA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0C683830" w14:textId="2963C4F0" w:rsidR="00EA71A5" w:rsidRDefault="00147B3F" w:rsidP="009166F3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A6045E">
        <w:rPr>
          <w:rFonts w:ascii="Verdana" w:hAnsi="Verdana"/>
          <w:b/>
        </w:rPr>
        <w:t>Note:</w:t>
      </w:r>
      <w:r w:rsidRPr="00A6045E">
        <w:rPr>
          <w:rFonts w:ascii="Verdana" w:hAnsi="Verdana"/>
        </w:rPr>
        <w:t xml:space="preserve">  </w:t>
      </w:r>
      <w:r w:rsidR="00190DF3" w:rsidRPr="00A6045E">
        <w:rPr>
          <w:rFonts w:ascii="Verdana" w:hAnsi="Verdana"/>
        </w:rPr>
        <w:t xml:space="preserve">Although similar to </w:t>
      </w:r>
      <w:hyperlink r:id="rId13" w:anchor="!/view?docid=46478c4b-48ae-4502-b66c-222e1ca37ce3" w:history="1">
        <w:r w:rsidR="00190DF3" w:rsidRPr="00A6045E">
          <w:rPr>
            <w:rStyle w:val="Hyperlink"/>
            <w:rFonts w:ascii="Verdana" w:hAnsi="Verdana"/>
          </w:rPr>
          <w:t>Participant Hold</w:t>
        </w:r>
      </w:hyperlink>
      <w:r w:rsidR="00190DF3" w:rsidRPr="00A6045E">
        <w:rPr>
          <w:rFonts w:ascii="Verdana" w:hAnsi="Verdana"/>
        </w:rPr>
        <w:t xml:space="preserve"> </w:t>
      </w:r>
      <w:r w:rsidRPr="00A6045E">
        <w:rPr>
          <w:rFonts w:ascii="Verdana" w:hAnsi="Verdana"/>
        </w:rPr>
        <w:t xml:space="preserve">functionality, CCRs </w:t>
      </w:r>
      <w:r w:rsidR="00635938" w:rsidRPr="00A6045E">
        <w:rPr>
          <w:rFonts w:ascii="Verdana" w:hAnsi="Verdana"/>
        </w:rPr>
        <w:t xml:space="preserve">are </w:t>
      </w:r>
      <w:r w:rsidRPr="00A6045E">
        <w:rPr>
          <w:rFonts w:ascii="Verdana" w:hAnsi="Verdana"/>
        </w:rPr>
        <w:t xml:space="preserve">unable to release </w:t>
      </w:r>
      <w:r w:rsidR="00DB070A">
        <w:rPr>
          <w:rFonts w:ascii="Verdana" w:hAnsi="Verdana"/>
        </w:rPr>
        <w:t xml:space="preserve">most </w:t>
      </w:r>
      <w:r w:rsidRPr="00A6045E">
        <w:rPr>
          <w:rFonts w:ascii="Verdana" w:hAnsi="Verdana"/>
        </w:rPr>
        <w:t>prescriptions held due to delayed presc</w:t>
      </w:r>
      <w:r w:rsidR="00EA71A5" w:rsidRPr="00A6045E">
        <w:rPr>
          <w:rFonts w:ascii="Verdana" w:hAnsi="Verdana"/>
        </w:rPr>
        <w:t xml:space="preserve">riber response. </w:t>
      </w:r>
      <w:r w:rsidRPr="00A6045E">
        <w:rPr>
          <w:rFonts w:ascii="Verdana" w:hAnsi="Verdana"/>
        </w:rPr>
        <w:t xml:space="preserve">Only the pharmacy </w:t>
      </w:r>
      <w:r w:rsidR="00635938" w:rsidRPr="00A6045E">
        <w:rPr>
          <w:rFonts w:ascii="Verdana" w:hAnsi="Verdana"/>
        </w:rPr>
        <w:t>has</w:t>
      </w:r>
      <w:r w:rsidR="00693236" w:rsidRPr="00A6045E">
        <w:rPr>
          <w:rFonts w:ascii="Verdana" w:hAnsi="Verdana"/>
        </w:rPr>
        <w:t xml:space="preserve"> </w:t>
      </w:r>
      <w:r w:rsidRPr="00A6045E">
        <w:rPr>
          <w:rFonts w:ascii="Verdana" w:hAnsi="Verdana"/>
        </w:rPr>
        <w:t>this capability.</w:t>
      </w:r>
      <w:r w:rsidRPr="00147B3F">
        <w:rPr>
          <w:rFonts w:ascii="Verdana" w:hAnsi="Verdana"/>
        </w:rPr>
        <w:t xml:space="preserve"> </w:t>
      </w:r>
    </w:p>
    <w:p w14:paraId="739750CA" w14:textId="3673E5A1" w:rsidR="006B0897" w:rsidRDefault="00EA71A5" w:rsidP="006B0897">
      <w:pPr>
        <w:pStyle w:val="BodyTextIndent2"/>
        <w:numPr>
          <w:ilvl w:val="0"/>
          <w:numId w:val="27"/>
        </w:numPr>
        <w:spacing w:after="0" w:line="240" w:lineRule="auto"/>
        <w:rPr>
          <w:rFonts w:ascii="Verdana" w:hAnsi="Verdana"/>
          <w:color w:val="000000"/>
        </w:rPr>
      </w:pPr>
      <w:hyperlink r:id="rId14" w:history="1">
        <w:r w:rsidRPr="00A6045E">
          <w:rPr>
            <w:rStyle w:val="Hyperlink"/>
            <w:rFonts w:ascii="Verdana" w:hAnsi="Verdana"/>
          </w:rPr>
          <w:t>Participant Hold</w:t>
        </w:r>
      </w:hyperlink>
      <w:r w:rsidRPr="00A6045E">
        <w:rPr>
          <w:rFonts w:ascii="Verdana" w:hAnsi="Verdana"/>
        </w:rPr>
        <w:t xml:space="preserve"> </w:t>
      </w:r>
      <w:r w:rsidRPr="00A6045E">
        <w:rPr>
          <w:rFonts w:ascii="Verdana" w:hAnsi="Verdana"/>
          <w:color w:val="000000"/>
        </w:rPr>
        <w:t>offers the ability to place a prescription on hold until the beneficiary requires it</w:t>
      </w:r>
      <w:r w:rsidR="006B0897">
        <w:rPr>
          <w:rFonts w:ascii="Verdana" w:hAnsi="Verdana"/>
          <w:color w:val="000000"/>
        </w:rPr>
        <w:t>.</w:t>
      </w:r>
      <w:r w:rsidR="00EC5D9B" w:rsidRPr="00A6045E">
        <w:rPr>
          <w:rFonts w:ascii="Verdana" w:hAnsi="Verdana"/>
          <w:color w:val="000000"/>
        </w:rPr>
        <w:t xml:space="preserve"> </w:t>
      </w:r>
    </w:p>
    <w:p w14:paraId="1540429C" w14:textId="09AE0235" w:rsidR="00EA71A5" w:rsidRPr="0014494E" w:rsidRDefault="00EA71A5" w:rsidP="006B0897">
      <w:pPr>
        <w:pStyle w:val="BodyTextIndent2"/>
        <w:numPr>
          <w:ilvl w:val="0"/>
          <w:numId w:val="27"/>
        </w:numPr>
        <w:spacing w:after="0" w:line="240" w:lineRule="auto"/>
        <w:rPr>
          <w:rFonts w:ascii="Verdana" w:hAnsi="Verdana"/>
        </w:rPr>
      </w:pPr>
      <w:hyperlink r:id="rId15" w:history="1">
        <w:r w:rsidRPr="00A6045E">
          <w:rPr>
            <w:rStyle w:val="Hyperlink"/>
            <w:rFonts w:ascii="Verdana" w:hAnsi="Verdana"/>
          </w:rPr>
          <w:t>PBM Hold</w:t>
        </w:r>
      </w:hyperlink>
      <w:r w:rsidRPr="00A6045E">
        <w:rPr>
          <w:rFonts w:ascii="Verdana" w:hAnsi="Verdana"/>
        </w:rPr>
        <w:t xml:space="preserve"> offers the ability to</w:t>
      </w:r>
      <w:r w:rsidRPr="00A6045E">
        <w:rPr>
          <w:rFonts w:ascii="Verdana" w:hAnsi="Verdana"/>
          <w:color w:val="000000"/>
        </w:rPr>
        <w:t xml:space="preserve"> place a prescription on hold when circumstances prevent it from being filled.</w:t>
      </w:r>
    </w:p>
    <w:p w14:paraId="59D66CE5" w14:textId="77777777" w:rsidR="0014494E" w:rsidRDefault="0014494E" w:rsidP="0014494E">
      <w:pPr>
        <w:pStyle w:val="BodyTextIndent2"/>
        <w:spacing w:after="0" w:line="240" w:lineRule="auto"/>
        <w:rPr>
          <w:rFonts w:ascii="Verdana" w:hAnsi="Verdana"/>
          <w:color w:val="000000"/>
        </w:rPr>
      </w:pPr>
    </w:p>
    <w:p w14:paraId="17626600" w14:textId="040117BE" w:rsidR="0014494E" w:rsidRPr="005C43B1" w:rsidRDefault="00000000" w:rsidP="0014494E">
      <w:pPr>
        <w:pStyle w:val="BodyTextIndent2"/>
        <w:spacing w:after="0" w:line="240" w:lineRule="auto"/>
        <w:rPr>
          <w:rFonts w:ascii="Verdana" w:hAnsi="Verdana"/>
        </w:rPr>
      </w:pPr>
      <w:r w:rsidRPr="008A2642">
        <w:rPr>
          <w:rFonts w:ascii="Verdana" w:hAnsi="Verdana"/>
        </w:rPr>
        <w:pict w14:anchorId="2A5AE16A">
          <v:shape id="_x0000_i1026" type="#_x0000_t75" alt="Picture 918120309, Picture" style="width:18.75pt;height:16.5pt">
            <v:imagedata r:id="rId16" o:title="EDA2D59F"/>
          </v:shape>
        </w:pict>
      </w:r>
      <w:r w:rsidR="008A2642" w:rsidRPr="008A2845">
        <w:rPr>
          <w:rFonts w:ascii="Verdana" w:hAnsi="Verdana"/>
          <w:b/>
          <w:bCs/>
        </w:rPr>
        <w:t xml:space="preserve"> </w:t>
      </w:r>
      <w:r w:rsidR="0014494E" w:rsidRPr="008A2642">
        <w:rPr>
          <w:rFonts w:ascii="Verdana" w:hAnsi="Verdana"/>
        </w:rPr>
        <w:t>CCR</w:t>
      </w:r>
      <w:r w:rsidR="008A2642" w:rsidRPr="008A2642">
        <w:rPr>
          <w:rFonts w:ascii="Verdana" w:hAnsi="Verdana"/>
        </w:rPr>
        <w:t>s</w:t>
      </w:r>
      <w:r w:rsidR="0014494E" w:rsidRPr="008A2845">
        <w:rPr>
          <w:rFonts w:ascii="Verdana" w:hAnsi="Verdana"/>
        </w:rPr>
        <w:t xml:space="preserve"> may release prescriptions on hold for </w:t>
      </w:r>
      <w:r w:rsidR="0014494E" w:rsidRPr="008A2845">
        <w:rPr>
          <w:rFonts w:ascii="Verdana" w:hAnsi="Verdana"/>
          <w:b/>
          <w:bCs/>
        </w:rPr>
        <w:t>Delayed Prescriber Response</w:t>
      </w:r>
      <w:r w:rsidR="0014494E" w:rsidRPr="008A2845">
        <w:rPr>
          <w:rFonts w:ascii="Verdana" w:hAnsi="Verdana"/>
        </w:rPr>
        <w:t xml:space="preserve"> if the medication was not in stock (NIS) but is now in stock through mail order</w:t>
      </w:r>
      <w:r w:rsidR="008A2642">
        <w:rPr>
          <w:rFonts w:ascii="Verdana" w:hAnsi="Verdana"/>
        </w:rPr>
        <w:t>.</w:t>
      </w:r>
      <w:r w:rsidR="0014494E" w:rsidRPr="008A2845">
        <w:rPr>
          <w:rFonts w:ascii="Verdana" w:hAnsi="Verdana"/>
        </w:rPr>
        <w:t xml:space="preserve"> </w:t>
      </w:r>
      <w:r w:rsidR="008A2642">
        <w:rPr>
          <w:rFonts w:ascii="Verdana" w:hAnsi="Verdana"/>
        </w:rPr>
        <w:t>R</w:t>
      </w:r>
      <w:r w:rsidR="0014494E" w:rsidRPr="008A2845">
        <w:rPr>
          <w:rFonts w:ascii="Verdana" w:hAnsi="Verdana"/>
        </w:rPr>
        <w:t xml:space="preserve">efer to </w:t>
      </w:r>
      <w:hyperlink r:id="rId17" w:anchor="!/view?docid=d4ef5860-ef38-4ae9-afd8-a4cb0d1f12e6" w:history="1">
        <w:r w:rsidR="0014494E" w:rsidRPr="008A2642">
          <w:rPr>
            <w:rStyle w:val="Hyperlink"/>
            <w:rFonts w:ascii="Verdana" w:hAnsi="Verdana"/>
          </w:rPr>
          <w:t>Compass - Manage Diverts / Conflicts (Release Order)</w:t>
        </w:r>
      </w:hyperlink>
      <w:r w:rsidR="0014494E" w:rsidRPr="008A2845">
        <w:rPr>
          <w:rFonts w:ascii="Verdana" w:hAnsi="Verdana"/>
        </w:rPr>
        <w:t xml:space="preserve"> section </w:t>
      </w:r>
      <w:r w:rsidR="008A2642">
        <w:rPr>
          <w:rFonts w:ascii="Verdana" w:hAnsi="Verdana"/>
        </w:rPr>
        <w:t>“</w:t>
      </w:r>
      <w:r w:rsidR="0014494E" w:rsidRPr="008A2845">
        <w:rPr>
          <w:rFonts w:ascii="Verdana" w:hAnsi="Verdana"/>
        </w:rPr>
        <w:t>Manage Divert Issues Support Task</w:t>
      </w:r>
      <w:r w:rsidR="008A2642">
        <w:rPr>
          <w:rFonts w:ascii="Verdana" w:hAnsi="Verdana"/>
        </w:rPr>
        <w:t>”</w:t>
      </w:r>
      <w:r w:rsidR="0014494E" w:rsidRPr="008A2845">
        <w:rPr>
          <w:rFonts w:ascii="Verdana" w:hAnsi="Verdana"/>
        </w:rPr>
        <w:t xml:space="preserve"> to view steps on how to release </w:t>
      </w:r>
      <w:r w:rsidR="008A2642">
        <w:rPr>
          <w:rFonts w:ascii="Verdana" w:hAnsi="Verdana"/>
        </w:rPr>
        <w:t xml:space="preserve">an </w:t>
      </w:r>
      <w:r w:rsidR="0014494E" w:rsidRPr="008A2845">
        <w:rPr>
          <w:rFonts w:ascii="Verdana" w:hAnsi="Verdana"/>
        </w:rPr>
        <w:t>order.</w:t>
      </w:r>
    </w:p>
    <w:p w14:paraId="5D4824D9" w14:textId="77777777" w:rsidR="00900D9D" w:rsidRDefault="00900D9D" w:rsidP="009166F3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33BA924B" w14:textId="77777777" w:rsidR="00846373" w:rsidRDefault="001F4EED" w:rsidP="00900EC1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1F4EED">
        <w:rPr>
          <w:rFonts w:ascii="Verdana" w:hAnsi="Verdana"/>
        </w:rPr>
        <w:t>Prescriptions placed o</w:t>
      </w:r>
      <w:r>
        <w:rPr>
          <w:rFonts w:ascii="Verdana" w:hAnsi="Verdana"/>
        </w:rPr>
        <w:t xml:space="preserve">n Prescriber Hold will not </w:t>
      </w:r>
      <w:r w:rsidRPr="001F4EED">
        <w:rPr>
          <w:rFonts w:ascii="Verdana" w:hAnsi="Verdana"/>
        </w:rPr>
        <w:t xml:space="preserve">be RTP’d to the </w:t>
      </w:r>
      <w:r w:rsidR="001C771C">
        <w:rPr>
          <w:rFonts w:ascii="Verdana" w:hAnsi="Verdana"/>
        </w:rPr>
        <w:t>beneficiary</w:t>
      </w:r>
      <w:r w:rsidRPr="001F4EED">
        <w:rPr>
          <w:rFonts w:ascii="Verdana" w:hAnsi="Verdana"/>
        </w:rPr>
        <w:t xml:space="preserve">. As a result of the order being placed on hold, communication is made to the </w:t>
      </w:r>
      <w:r w:rsidR="001C771C">
        <w:rPr>
          <w:rFonts w:ascii="Verdana" w:hAnsi="Verdana"/>
        </w:rPr>
        <w:t>beneficiary</w:t>
      </w:r>
      <w:r w:rsidRPr="001F4EED">
        <w:rPr>
          <w:rFonts w:ascii="Verdana" w:hAnsi="Verdana"/>
        </w:rPr>
        <w:t xml:space="preserve"> based on their CMP messaging preference (a</w:t>
      </w:r>
      <w:r w:rsidR="00EA71A5">
        <w:rPr>
          <w:rFonts w:ascii="Verdana" w:hAnsi="Verdana"/>
        </w:rPr>
        <w:t xml:space="preserve">utomated call, text or email). </w:t>
      </w:r>
      <w:r w:rsidRPr="001F4EED">
        <w:rPr>
          <w:rFonts w:ascii="Verdana" w:hAnsi="Verdana"/>
        </w:rPr>
        <w:t xml:space="preserve">Via this messaging, the </w:t>
      </w:r>
      <w:r w:rsidR="001C771C">
        <w:rPr>
          <w:rFonts w:ascii="Verdana" w:hAnsi="Verdana"/>
        </w:rPr>
        <w:t>beneficiary</w:t>
      </w:r>
      <w:r w:rsidRPr="001F4EED">
        <w:rPr>
          <w:rFonts w:ascii="Verdana" w:hAnsi="Verdana"/>
        </w:rPr>
        <w:t xml:space="preserve"> is informed of the delay and asks the </w:t>
      </w:r>
      <w:r w:rsidR="001C771C">
        <w:rPr>
          <w:rFonts w:ascii="Verdana" w:hAnsi="Verdana"/>
        </w:rPr>
        <w:t>beneficiary</w:t>
      </w:r>
      <w:r w:rsidRPr="001F4EED">
        <w:rPr>
          <w:rFonts w:ascii="Verdana" w:hAnsi="Verdana"/>
        </w:rPr>
        <w:t xml:space="preserve"> to encourage </w:t>
      </w:r>
      <w:r w:rsidR="00514237">
        <w:rPr>
          <w:rFonts w:ascii="Verdana" w:hAnsi="Verdana"/>
        </w:rPr>
        <w:t>their</w:t>
      </w:r>
      <w:r w:rsidRPr="001F4EED">
        <w:rPr>
          <w:rFonts w:ascii="Verdana" w:hAnsi="Verdana"/>
        </w:rPr>
        <w:t xml:space="preserve"> </w:t>
      </w:r>
      <w:r w:rsidR="00504955">
        <w:rPr>
          <w:rFonts w:ascii="Verdana" w:hAnsi="Verdana"/>
        </w:rPr>
        <w:t>prescriber</w:t>
      </w:r>
      <w:r w:rsidRPr="001F4EED">
        <w:rPr>
          <w:rFonts w:ascii="Verdana" w:hAnsi="Verdana"/>
        </w:rPr>
        <w:t xml:space="preserve"> to reach us by fax or phone with the information needed.</w:t>
      </w:r>
    </w:p>
    <w:p w14:paraId="178B0B95" w14:textId="77777777" w:rsidR="00D563C4" w:rsidRDefault="00D563C4" w:rsidP="00900EC1">
      <w:pPr>
        <w:pStyle w:val="BodyTextIndent2"/>
        <w:spacing w:after="0" w:line="240" w:lineRule="auto"/>
        <w:ind w:left="0"/>
      </w:pPr>
    </w:p>
    <w:bookmarkStart w:id="7" w:name="_Various_Work_Instructions"/>
    <w:bookmarkStart w:id="8" w:name="_PAR_Process_after_a_FRX_/_FRC_confl"/>
    <w:bookmarkStart w:id="9" w:name="_Next_Day_and"/>
    <w:bookmarkStart w:id="10" w:name="_Scanning_the_Targets"/>
    <w:bookmarkStart w:id="11" w:name="_LAN_Log_In"/>
    <w:bookmarkStart w:id="12" w:name="_AMOS_Log_In"/>
    <w:bookmarkStart w:id="13" w:name="_Search_by_Order#"/>
    <w:bookmarkStart w:id="14" w:name="_Check_Look_Up"/>
    <w:bookmarkEnd w:id="7"/>
    <w:bookmarkEnd w:id="8"/>
    <w:bookmarkEnd w:id="9"/>
    <w:bookmarkEnd w:id="10"/>
    <w:bookmarkEnd w:id="11"/>
    <w:bookmarkEnd w:id="12"/>
    <w:bookmarkEnd w:id="13"/>
    <w:bookmarkEnd w:id="14"/>
    <w:p w14:paraId="4C481FC8" w14:textId="77777777" w:rsidR="005A64DA" w:rsidRDefault="0017291C" w:rsidP="00900EC1">
      <w:pPr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="005A64DA" w:rsidRPr="003868A2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A64DA" w:rsidRPr="0067510A" w14:paraId="185226D7" w14:textId="77777777" w:rsidTr="002F4BEC">
        <w:tc>
          <w:tcPr>
            <w:tcW w:w="5000" w:type="pct"/>
            <w:shd w:val="clear" w:color="auto" w:fill="C0C0C0"/>
          </w:tcPr>
          <w:p w14:paraId="05F80E88" w14:textId="12C9F4C9" w:rsidR="005A64DA" w:rsidRPr="0067510A" w:rsidRDefault="0061193A" w:rsidP="0067510A">
            <w:pPr>
              <w:pStyle w:val="Heading2"/>
              <w:rPr>
                <w:rFonts w:ascii="Verdana" w:hAnsi="Verdana"/>
                <w:i w:val="0"/>
              </w:rPr>
            </w:pPr>
            <w:bookmarkStart w:id="15" w:name="_Process_for_Handling"/>
            <w:bookmarkStart w:id="16" w:name="_Prescriber_Indefinite_Hold"/>
            <w:bookmarkStart w:id="17" w:name="_Toc151049981"/>
            <w:bookmarkEnd w:id="15"/>
            <w:bookmarkEnd w:id="16"/>
            <w:r w:rsidRPr="0067510A">
              <w:rPr>
                <w:rFonts w:ascii="Verdana" w:hAnsi="Verdana"/>
                <w:i w:val="0"/>
              </w:rPr>
              <w:t>Prescriber Hold</w:t>
            </w:r>
            <w:r w:rsidR="00A6045E">
              <w:rPr>
                <w:rFonts w:ascii="Verdana" w:hAnsi="Verdana"/>
                <w:i w:val="0"/>
              </w:rPr>
              <w:t>s</w:t>
            </w:r>
            <w:bookmarkEnd w:id="17"/>
          </w:p>
        </w:tc>
      </w:tr>
    </w:tbl>
    <w:p w14:paraId="22A8B8C2" w14:textId="77777777" w:rsidR="00630BFB" w:rsidRDefault="00630BFB" w:rsidP="00900EC1">
      <w:pPr>
        <w:rPr>
          <w:rFonts w:ascii="Verdana" w:hAnsi="Verdana"/>
        </w:rPr>
      </w:pPr>
    </w:p>
    <w:p w14:paraId="3DC4BC39" w14:textId="77777777" w:rsidR="005A64DA" w:rsidRPr="00176400" w:rsidRDefault="00D563C4" w:rsidP="00900EC1">
      <w:pPr>
        <w:rPr>
          <w:rFonts w:ascii="Verdana" w:hAnsi="Verdana"/>
        </w:rPr>
      </w:pPr>
      <w:r>
        <w:rPr>
          <w:rFonts w:ascii="Verdana" w:hAnsi="Verdana"/>
        </w:rPr>
        <w:t>P</w:t>
      </w:r>
      <w:r w:rsidR="007D2469">
        <w:rPr>
          <w:rFonts w:ascii="Verdana" w:hAnsi="Verdana"/>
        </w:rPr>
        <w:t>erform the steps below</w:t>
      </w:r>
      <w:r w:rsidR="00176400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6243"/>
        <w:gridCol w:w="6246"/>
      </w:tblGrid>
      <w:tr w:rsidR="00C5292F" w:rsidRPr="002F4BEC" w14:paraId="7AF58348" w14:textId="77777777" w:rsidTr="008A2642">
        <w:tc>
          <w:tcPr>
            <w:tcW w:w="157" w:type="pct"/>
            <w:shd w:val="clear" w:color="auto" w:fill="E6E6E6"/>
          </w:tcPr>
          <w:p w14:paraId="3F75B711" w14:textId="77777777" w:rsidR="005A64DA" w:rsidRPr="002F4BEC" w:rsidRDefault="005A64DA" w:rsidP="00900EC1">
            <w:pPr>
              <w:jc w:val="center"/>
              <w:rPr>
                <w:rFonts w:ascii="Verdana" w:hAnsi="Verdana"/>
                <w:b/>
              </w:rPr>
            </w:pPr>
            <w:r w:rsidRPr="002F4BEC">
              <w:rPr>
                <w:rFonts w:ascii="Verdana" w:hAnsi="Verdana"/>
                <w:b/>
              </w:rPr>
              <w:t>Step</w:t>
            </w:r>
          </w:p>
        </w:tc>
        <w:tc>
          <w:tcPr>
            <w:tcW w:w="4843" w:type="pct"/>
            <w:gridSpan w:val="2"/>
            <w:shd w:val="clear" w:color="auto" w:fill="E6E6E6"/>
          </w:tcPr>
          <w:p w14:paraId="21FCD148" w14:textId="77777777" w:rsidR="005A64DA" w:rsidRPr="002F4BEC" w:rsidRDefault="005A64DA" w:rsidP="00900EC1">
            <w:pPr>
              <w:jc w:val="center"/>
              <w:rPr>
                <w:rFonts w:ascii="Verdana" w:hAnsi="Verdana"/>
                <w:b/>
              </w:rPr>
            </w:pPr>
            <w:r w:rsidRPr="002F4BEC">
              <w:rPr>
                <w:rFonts w:ascii="Verdana" w:hAnsi="Verdana"/>
                <w:b/>
              </w:rPr>
              <w:t xml:space="preserve">Action </w:t>
            </w:r>
          </w:p>
        </w:tc>
      </w:tr>
      <w:tr w:rsidR="00C5292F" w:rsidRPr="002F4BEC" w14:paraId="20C6F7AF" w14:textId="77777777" w:rsidTr="008A2642">
        <w:tc>
          <w:tcPr>
            <w:tcW w:w="157" w:type="pct"/>
          </w:tcPr>
          <w:p w14:paraId="37BA4FFA" w14:textId="77777777" w:rsidR="0028215B" w:rsidRPr="002F4BEC" w:rsidRDefault="00AA7D6E" w:rsidP="00900EC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43" w:type="pct"/>
            <w:gridSpan w:val="2"/>
          </w:tcPr>
          <w:p w14:paraId="019AF62D" w14:textId="77777777" w:rsidR="00A6397B" w:rsidRDefault="00A6397B" w:rsidP="00900EC1">
            <w:pPr>
              <w:rPr>
                <w:rFonts w:ascii="Verdana" w:hAnsi="Verdana"/>
              </w:rPr>
            </w:pPr>
            <w:bookmarkStart w:id="18" w:name="OLE_LINK84"/>
            <w:r>
              <w:rPr>
                <w:rFonts w:ascii="Verdana" w:hAnsi="Verdana"/>
                <w:color w:val="000000"/>
              </w:rPr>
              <w:t xml:space="preserve">From the </w:t>
            </w:r>
            <w:r w:rsidRPr="006B0897">
              <w:rPr>
                <w:rFonts w:ascii="Verdana" w:hAnsi="Verdana"/>
                <w:color w:val="000000"/>
              </w:rPr>
              <w:t>Claims Landing Page</w:t>
            </w:r>
            <w:r>
              <w:rPr>
                <w:rFonts w:ascii="Verdana" w:hAnsi="Verdana"/>
                <w:color w:val="000000"/>
              </w:rPr>
              <w:t>, navigate to the </w:t>
            </w:r>
            <w:r>
              <w:rPr>
                <w:rFonts w:ascii="Verdana" w:hAnsi="Verdana"/>
                <w:b/>
                <w:bCs/>
                <w:color w:val="000000"/>
              </w:rPr>
              <w:t>Mail Order History </w:t>
            </w:r>
            <w:r>
              <w:rPr>
                <w:rFonts w:ascii="Verdana" w:hAnsi="Verdana"/>
                <w:color w:val="000000"/>
              </w:rPr>
              <w:t xml:space="preserve">tab and click the </w:t>
            </w:r>
            <w:r w:rsidRPr="00A6397B">
              <w:rPr>
                <w:rFonts w:ascii="Verdana" w:hAnsi="Verdana"/>
                <w:b/>
                <w:bCs/>
                <w:color w:val="000000"/>
              </w:rPr>
              <w:t>Order Number</w:t>
            </w:r>
            <w:r>
              <w:rPr>
                <w:rFonts w:ascii="Verdana" w:hAnsi="Verdana"/>
                <w:color w:val="000000"/>
              </w:rPr>
              <w:t xml:space="preserve"> hyperlink.</w:t>
            </w:r>
          </w:p>
          <w:p w14:paraId="30E2D359" w14:textId="77777777" w:rsidR="00A6397B" w:rsidRDefault="00A6397B" w:rsidP="00900EC1">
            <w:pPr>
              <w:rPr>
                <w:rFonts w:ascii="Verdana" w:hAnsi="Verdana"/>
              </w:rPr>
            </w:pPr>
          </w:p>
          <w:p w14:paraId="08D2BD40" w14:textId="7EA192D6" w:rsidR="000B43D3" w:rsidRDefault="000B43D3" w:rsidP="00900EC1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You can click the chevron arrow </w:t>
            </w:r>
            <w:r w:rsidR="00000000">
              <w:pict w14:anchorId="7FEB5369">
                <v:shape id="_x0000_i1027" type="#_x0000_t75" style="width:16.5pt;height:16.5pt">
                  <v:imagedata r:id="rId18" o:title="784EE634"/>
                </v:shape>
              </w:pict>
            </w:r>
            <w:r>
              <w:rPr>
                <w:rFonts w:ascii="Verdana" w:hAnsi="Verdana"/>
                <w:color w:val="000000"/>
              </w:rPr>
              <w:t> beside the order number to expand a brief overview of the order before opening it.</w:t>
            </w:r>
          </w:p>
          <w:p w14:paraId="17B2FCE8" w14:textId="77777777" w:rsidR="000B43D3" w:rsidRDefault="000B43D3" w:rsidP="00900EC1">
            <w:pPr>
              <w:rPr>
                <w:rFonts w:ascii="Verdana" w:hAnsi="Verdana"/>
              </w:rPr>
            </w:pPr>
          </w:p>
          <w:p w14:paraId="489D1866" w14:textId="77777777" w:rsidR="000B43D3" w:rsidRDefault="00000000" w:rsidP="000B43D3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01EBEC7E">
                <v:shape id="_x0000_i1028" type="#_x0000_t75" style="width:788.25pt;height:150.75pt;visibility:visible" o:bordertopcolor="black" o:borderleftcolor="black" o:borderbottomcolor="black" o:borderrightcolor="black">
                  <v:imagedata r:id="rId19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4DBDE785" w14:textId="77777777" w:rsidR="00434BFC" w:rsidRDefault="00434BFC" w:rsidP="000B43D3">
            <w:pPr>
              <w:jc w:val="center"/>
              <w:rPr>
                <w:rFonts w:ascii="Verdana" w:hAnsi="Verdana"/>
              </w:rPr>
            </w:pPr>
          </w:p>
          <w:p w14:paraId="0967AF0A" w14:textId="2B16C13B" w:rsidR="00934A51" w:rsidRDefault="00934A51" w:rsidP="00934A51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6B0897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Order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Details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displays.</w:t>
            </w:r>
          </w:p>
          <w:p w14:paraId="69B2BE50" w14:textId="71BFE9B5" w:rsidR="000B43D3" w:rsidRPr="002F4BEC" w:rsidRDefault="000B43D3" w:rsidP="00900EC1">
            <w:pPr>
              <w:rPr>
                <w:rFonts w:ascii="Verdana" w:hAnsi="Verdana"/>
              </w:rPr>
            </w:pPr>
          </w:p>
          <w:p w14:paraId="5DBDC03A" w14:textId="7661D0C6" w:rsidR="000B43D3" w:rsidRDefault="000B43D3" w:rsidP="000B43D3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When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Prescriber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Hold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exists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on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prescription:</w:t>
            </w:r>
          </w:p>
          <w:p w14:paraId="5384650F" w14:textId="0F99D6CC" w:rsidR="000B43D3" w:rsidRDefault="000B43D3" w:rsidP="000B43D3">
            <w:pPr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Participant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Hold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functionality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will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disabled.</w:t>
            </w:r>
          </w:p>
          <w:p w14:paraId="1925D12F" w14:textId="55C7BA89" w:rsidR="000B43D3" w:rsidRDefault="000B43D3" w:rsidP="000B43D3">
            <w:pPr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System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will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show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in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status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of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prescription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following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message: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“</w:t>
            </w:r>
            <w:r>
              <w:rPr>
                <w:rFonts w:ascii="Verdana" w:hAnsi="Verdana"/>
                <w:b/>
                <w:bCs/>
                <w:color w:val="000000"/>
              </w:rPr>
              <w:t>We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are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awaiting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to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hear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from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your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Provider(doctor).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You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should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contact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your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Provider(doctor)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for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more</w:t>
            </w:r>
            <w:r w:rsidR="00074DF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information.”</w:t>
            </w:r>
          </w:p>
          <w:p w14:paraId="5AD6BEA8" w14:textId="6E7A0DBF" w:rsidR="000B43D3" w:rsidRDefault="000B43D3" w:rsidP="000B43D3">
            <w:pPr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Only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provider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can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contact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us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release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order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sooner.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doctor’s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office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may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contact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us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at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1-800-459-1907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with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order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number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to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release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the</w:t>
            </w:r>
            <w:r w:rsidR="00074DFF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order.</w:t>
            </w:r>
          </w:p>
          <w:bookmarkEnd w:id="18"/>
          <w:p w14:paraId="32F29EE8" w14:textId="77777777" w:rsidR="00D563C4" w:rsidRPr="002F4BEC" w:rsidRDefault="00D563C4" w:rsidP="00900EC1">
            <w:pPr>
              <w:rPr>
                <w:rFonts w:ascii="Verdana" w:hAnsi="Verdana"/>
              </w:rPr>
            </w:pPr>
          </w:p>
        </w:tc>
      </w:tr>
      <w:tr w:rsidR="00074DFF" w:rsidRPr="002F4BEC" w14:paraId="512C2236" w14:textId="77777777" w:rsidTr="008A2642">
        <w:tc>
          <w:tcPr>
            <w:tcW w:w="157" w:type="pct"/>
            <w:vMerge w:val="restart"/>
          </w:tcPr>
          <w:p w14:paraId="0C18C068" w14:textId="77777777" w:rsidR="00074DFF" w:rsidRPr="002F4BEC" w:rsidRDefault="00074DFF" w:rsidP="00900EC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43" w:type="pct"/>
            <w:gridSpan w:val="2"/>
          </w:tcPr>
          <w:p w14:paraId="2C9A025D" w14:textId="77777777" w:rsidR="00074DFF" w:rsidRDefault="00074DFF" w:rsidP="000B43D3">
            <w:pPr>
              <w:rPr>
                <w:rFonts w:ascii="Verdana" w:hAnsi="Verdana"/>
              </w:rPr>
            </w:pPr>
            <w:bookmarkStart w:id="19" w:name="OLE_LINK86"/>
            <w:r>
              <w:rPr>
                <w:rFonts w:ascii="Verdana" w:hAnsi="Verdana"/>
              </w:rPr>
              <w:t>C</w:t>
            </w:r>
            <w:r w:rsidRPr="00084320">
              <w:rPr>
                <w:rFonts w:ascii="Verdana" w:hAnsi="Verdana"/>
              </w:rPr>
              <w:t>lick the</w:t>
            </w:r>
            <w:r>
              <w:rPr>
                <w:rFonts w:ascii="Verdana" w:hAnsi="Verdana"/>
                <w:b/>
                <w:bCs/>
              </w:rPr>
              <w:t xml:space="preserve"> Member’s Name </w:t>
            </w:r>
            <w:r w:rsidRPr="00084320">
              <w:rPr>
                <w:rFonts w:ascii="Verdana" w:hAnsi="Verdana"/>
              </w:rPr>
              <w:t>and review</w:t>
            </w:r>
            <w:r>
              <w:rPr>
                <w:rFonts w:ascii="Verdana" w:hAnsi="Verdana"/>
              </w:rPr>
              <w:t xml:space="preserve"> the </w:t>
            </w:r>
            <w:r>
              <w:rPr>
                <w:rFonts w:ascii="Verdana" w:hAnsi="Verdana"/>
                <w:b/>
                <w:bCs/>
              </w:rPr>
              <w:t>Rx Status</w:t>
            </w:r>
            <w:r>
              <w:rPr>
                <w:rFonts w:ascii="Verdana" w:hAnsi="Verdana"/>
              </w:rPr>
              <w:t xml:space="preserve"> </w:t>
            </w:r>
            <w:bookmarkStart w:id="20" w:name="OLE_LINK82"/>
            <w:r>
              <w:rPr>
                <w:rFonts w:ascii="Verdana" w:hAnsi="Verdana"/>
              </w:rPr>
              <w:t xml:space="preserve">and </w:t>
            </w:r>
            <w:r w:rsidRPr="00084320">
              <w:rPr>
                <w:rFonts w:ascii="Verdana" w:hAnsi="Verdana"/>
                <w:b/>
                <w:bCs/>
              </w:rPr>
              <w:t>Conflicts</w:t>
            </w:r>
            <w:r>
              <w:rPr>
                <w:rFonts w:ascii="Verdana" w:hAnsi="Verdana"/>
              </w:rPr>
              <w:t xml:space="preserve"> of the prescription</w:t>
            </w:r>
            <w:bookmarkEnd w:id="20"/>
            <w:r>
              <w:rPr>
                <w:rFonts w:ascii="Verdana" w:hAnsi="Verdana"/>
              </w:rPr>
              <w:t>.</w:t>
            </w:r>
          </w:p>
          <w:p w14:paraId="27868AC3" w14:textId="77777777" w:rsidR="007A7582" w:rsidRDefault="007A7582" w:rsidP="000B43D3">
            <w:pPr>
              <w:rPr>
                <w:rFonts w:ascii="Verdana" w:hAnsi="Verdana"/>
              </w:rPr>
            </w:pPr>
          </w:p>
          <w:p w14:paraId="2B59868C" w14:textId="77777777" w:rsidR="00074DFF" w:rsidRDefault="00074DFF" w:rsidP="000B43D3">
            <w:pPr>
              <w:rPr>
                <w:rFonts w:ascii="Verdana" w:hAnsi="Verdana"/>
              </w:rPr>
            </w:pPr>
          </w:p>
          <w:p w14:paraId="248B7DC1" w14:textId="06992823" w:rsidR="00074DFF" w:rsidRDefault="00074DFF" w:rsidP="0008432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Result: </w:t>
            </w:r>
            <w:r w:rsidR="006B0897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Order details for the selected member are displayed.</w:t>
            </w:r>
          </w:p>
          <w:p w14:paraId="03D306CE" w14:textId="77777777" w:rsidR="007A7582" w:rsidRDefault="007A7582" w:rsidP="0008432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375B25EF" w14:textId="77777777" w:rsidR="007A7582" w:rsidRDefault="007A7582" w:rsidP="0008432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72B7CD8A" w14:textId="77777777" w:rsidR="007A7582" w:rsidRPr="007A7582" w:rsidRDefault="007A7582" w:rsidP="007A7582">
            <w:pPr>
              <w:rPr>
                <w:rFonts w:ascii="Verdana" w:hAnsi="Verdana"/>
              </w:rPr>
            </w:pPr>
            <w:r w:rsidRPr="007A7582">
              <w:rPr>
                <w:rFonts w:ascii="Verdana" w:hAnsi="Verdana"/>
                <w:b/>
                <w:bCs/>
              </w:rPr>
              <w:t>Note: </w:t>
            </w:r>
            <w:r w:rsidRPr="007A7582">
              <w:rPr>
                <w:rFonts w:ascii="Verdana" w:hAnsi="Verdana"/>
              </w:rPr>
              <w:t xml:space="preserve">If additional assistance is needed to determine why the order is on hold, review order </w:t>
            </w:r>
            <w:r w:rsidRPr="007A7582">
              <w:rPr>
                <w:rFonts w:ascii="Verdana" w:hAnsi="Verdana"/>
                <w:b/>
              </w:rPr>
              <w:t>Alerts/Notes Tab</w:t>
            </w:r>
            <w:r w:rsidRPr="007A7582">
              <w:rPr>
                <w:rFonts w:ascii="Verdana" w:hAnsi="Verdana"/>
              </w:rPr>
              <w:t xml:space="preserve"> for more information.  </w:t>
            </w:r>
          </w:p>
          <w:p w14:paraId="64FA08D9" w14:textId="77777777" w:rsidR="007A7582" w:rsidRDefault="007A7582" w:rsidP="00084320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1664273D" w14:textId="77777777" w:rsidR="00074DFF" w:rsidRDefault="00074DFF" w:rsidP="000B43D3">
            <w:pPr>
              <w:rPr>
                <w:rFonts w:ascii="Verdana" w:hAnsi="Verdana"/>
              </w:rPr>
            </w:pPr>
          </w:p>
          <w:p w14:paraId="1B4205A3" w14:textId="77777777" w:rsidR="00074DFF" w:rsidRDefault="00000000" w:rsidP="00084320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68DB1949">
                <v:shape id="_x0000_i1029" type="#_x0000_t75" style="width:780pt;height:92.25pt;visibility:visible" o:bordertopcolor="black" o:borderleftcolor="black" o:borderbottomcolor="black" o:borderrightcolor="black">
                  <v:imagedata r:id="rId20" o:title="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4EDEF3B7" w14:textId="77777777" w:rsidR="00074DFF" w:rsidRDefault="00074DFF" w:rsidP="000B43D3">
            <w:pPr>
              <w:rPr>
                <w:rFonts w:ascii="Verdana" w:hAnsi="Verdana"/>
              </w:rPr>
            </w:pPr>
          </w:p>
          <w:p w14:paraId="6749B188" w14:textId="77777777" w:rsidR="00074DFF" w:rsidRPr="002F4BEC" w:rsidRDefault="00074DFF" w:rsidP="00900EC1">
            <w:pPr>
              <w:rPr>
                <w:rFonts w:ascii="Verdana" w:hAnsi="Verdana"/>
              </w:rPr>
            </w:pPr>
          </w:p>
          <w:p w14:paraId="112C8E2B" w14:textId="38F879A3" w:rsidR="00074DFF" w:rsidRDefault="008A2642" w:rsidP="00900EC1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5D7041A5">
                <v:shape id="_x0000_i1060" type="#_x0000_t75" style="width:9in;height:258.75pt;mso-left-percent:-10001;mso-top-percent:-10001;mso-position-horizontal:absolute;mso-position-horizontal-relative:char;mso-position-vertical:absolute;mso-position-vertical-relative:line;mso-left-percent:-10001;mso-top-percent:-10001">
                  <v:imagedata r:id="rId21" o:title=""/>
                </v:shape>
              </w:pict>
            </w:r>
          </w:p>
          <w:p w14:paraId="36A3665A" w14:textId="53E1442B" w:rsidR="008A2642" w:rsidRDefault="008A2642" w:rsidP="00900EC1">
            <w:pPr>
              <w:jc w:val="center"/>
              <w:rPr>
                <w:noProof/>
              </w:rPr>
            </w:pPr>
            <w:r>
              <w:rPr>
                <w:noProof/>
              </w:rPr>
              <w:t>Upda</w:t>
            </w:r>
          </w:p>
          <w:bookmarkEnd w:id="19"/>
          <w:p w14:paraId="0B9AEABE" w14:textId="77777777" w:rsidR="00074DFF" w:rsidRPr="002F4BEC" w:rsidRDefault="00074DFF" w:rsidP="00900EC1">
            <w:pPr>
              <w:rPr>
                <w:rFonts w:ascii="Verdana" w:hAnsi="Verdana"/>
              </w:rPr>
            </w:pPr>
          </w:p>
        </w:tc>
      </w:tr>
      <w:tr w:rsidR="00074DFF" w:rsidRPr="002F4BEC" w14:paraId="69505423" w14:textId="77777777" w:rsidTr="008A2642">
        <w:tc>
          <w:tcPr>
            <w:tcW w:w="157" w:type="pct"/>
            <w:vMerge/>
          </w:tcPr>
          <w:p w14:paraId="43476282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  <w:shd w:val="clear" w:color="auto" w:fill="F2F2F2"/>
          </w:tcPr>
          <w:p w14:paraId="1657C697" w14:textId="0721359D" w:rsidR="00074DFF" w:rsidRDefault="00074DFF" w:rsidP="00074DF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421" w:type="pct"/>
            <w:shd w:val="clear" w:color="auto" w:fill="F2F2F2"/>
          </w:tcPr>
          <w:p w14:paraId="249AFFB4" w14:textId="20128554" w:rsidR="00074DFF" w:rsidRDefault="00074DFF" w:rsidP="00074DF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Then the system will show…</w:t>
            </w:r>
          </w:p>
        </w:tc>
      </w:tr>
      <w:tr w:rsidR="00074DFF" w:rsidRPr="002F4BEC" w14:paraId="4B1EA4E8" w14:textId="77777777" w:rsidTr="008A2642">
        <w:tc>
          <w:tcPr>
            <w:tcW w:w="157" w:type="pct"/>
            <w:vMerge/>
          </w:tcPr>
          <w:p w14:paraId="1918AC4D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</w:tcPr>
          <w:p w14:paraId="0191BCD3" w14:textId="77777777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Prescriber Indefinite Hold</w:t>
            </w:r>
          </w:p>
          <w:p w14:paraId="23A79B97" w14:textId="4F05A98E" w:rsidR="00074DFF" w:rsidRDefault="00074DFF" w:rsidP="00074D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2421" w:type="pct"/>
          </w:tcPr>
          <w:p w14:paraId="274685F1" w14:textId="77777777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An order status of “Rejected- DPR”</w:t>
            </w:r>
          </w:p>
          <w:p w14:paraId="6296B806" w14:textId="578D319C" w:rsidR="00074DFF" w:rsidRDefault="00074DFF" w:rsidP="00074D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</w:tr>
      <w:tr w:rsidR="00074DFF" w:rsidRPr="002F4BEC" w14:paraId="5B802D9D" w14:textId="77777777" w:rsidTr="008A2642">
        <w:tc>
          <w:tcPr>
            <w:tcW w:w="157" w:type="pct"/>
            <w:vMerge/>
          </w:tcPr>
          <w:p w14:paraId="4A5411C4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</w:tcPr>
          <w:p w14:paraId="5EB51D50" w14:textId="77777777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Prescriber Hold Until due to more information needed for the Rx</w:t>
            </w:r>
          </w:p>
          <w:p w14:paraId="53F7F6EA" w14:textId="653278A0" w:rsidR="00074DFF" w:rsidRDefault="00074DFF" w:rsidP="00074D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2421" w:type="pct"/>
          </w:tcPr>
          <w:p w14:paraId="5C4A87E9" w14:textId="77777777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A status of “Processing”</w:t>
            </w:r>
          </w:p>
          <w:p w14:paraId="163A73FB" w14:textId="324CE42A" w:rsidR="00074DFF" w:rsidRDefault="00074DFF" w:rsidP="00074D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</w:tr>
      <w:tr w:rsidR="00074DFF" w:rsidRPr="002F4BEC" w14:paraId="475708EF" w14:textId="77777777" w:rsidTr="008A2642">
        <w:tc>
          <w:tcPr>
            <w:tcW w:w="157" w:type="pct"/>
            <w:vMerge/>
          </w:tcPr>
          <w:p w14:paraId="3626E205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</w:tcPr>
          <w:p w14:paraId="4AD9F606" w14:textId="77777777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Prescriber Hold Until due request by the Prescriber</w:t>
            </w:r>
          </w:p>
          <w:p w14:paraId="4CC83004" w14:textId="26C02B0F" w:rsidR="00074DFF" w:rsidRDefault="00074DFF" w:rsidP="00074D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2421" w:type="pct"/>
          </w:tcPr>
          <w:p w14:paraId="3540A0FD" w14:textId="77777777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A status of “Future Fill,” and the Conflict message will state “Prescriber Req. Hold Until”</w:t>
            </w:r>
          </w:p>
          <w:p w14:paraId="0CB99A09" w14:textId="0B6CC8C7" w:rsidR="00074DFF" w:rsidRDefault="00074DFF" w:rsidP="00074D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 </w:t>
            </w:r>
          </w:p>
        </w:tc>
      </w:tr>
      <w:tr w:rsidR="00074DFF" w:rsidRPr="002F4BEC" w14:paraId="77226445" w14:textId="77777777" w:rsidTr="008A2642">
        <w:trPr>
          <w:trHeight w:val="638"/>
        </w:trPr>
        <w:tc>
          <w:tcPr>
            <w:tcW w:w="157" w:type="pct"/>
            <w:vMerge w:val="restart"/>
          </w:tcPr>
          <w:p w14:paraId="25294B62" w14:textId="77777777" w:rsidR="00074DFF" w:rsidRPr="002F4BEC" w:rsidRDefault="00074DFF" w:rsidP="00CE215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43" w:type="pct"/>
            <w:gridSpan w:val="2"/>
          </w:tcPr>
          <w:p w14:paraId="3C3DB94E" w14:textId="77777777" w:rsidR="00074DFF" w:rsidRPr="00C5292F" w:rsidRDefault="00074DFF" w:rsidP="00C5292F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Inform the caller:</w:t>
            </w:r>
          </w:p>
          <w:p w14:paraId="26FAC2D9" w14:textId="77777777" w:rsidR="00074DFF" w:rsidRDefault="00074DFF" w:rsidP="00900EC1">
            <w:pPr>
              <w:rPr>
                <w:rFonts w:ascii="Verdana" w:hAnsi="Verdana"/>
                <w:b/>
                <w:color w:val="000000"/>
              </w:rPr>
            </w:pPr>
          </w:p>
          <w:p w14:paraId="7D11CCAE" w14:textId="77777777" w:rsidR="00074DFF" w:rsidRPr="00D771E5" w:rsidRDefault="00000000" w:rsidP="00900EC1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pict w14:anchorId="44FE80CA">
                <v:shape id="_x0000_i1032" type="#_x0000_t75" style="width:22.5pt;height:14.25pt" o:bullet="t">
                  <v:imagedata r:id="rId22" o:title="Say"/>
                </v:shape>
              </w:pict>
            </w:r>
          </w:p>
          <w:p w14:paraId="2EE624DA" w14:textId="4184644E" w:rsidR="00074DFF" w:rsidRPr="00900D9D" w:rsidRDefault="00074DFF" w:rsidP="00900D9D">
            <w:pPr>
              <w:numPr>
                <w:ilvl w:val="0"/>
                <w:numId w:val="11"/>
              </w:numPr>
              <w:ind w:left="720"/>
              <w:rPr>
                <w:rFonts w:ascii="Verdana" w:hAnsi="Verdana"/>
                <w:b/>
                <w:color w:val="000000"/>
              </w:rPr>
            </w:pPr>
            <w:r w:rsidRPr="009E13FA">
              <w:rPr>
                <w:rFonts w:ascii="Verdana" w:hAnsi="Verdana"/>
                <w:color w:val="000000"/>
              </w:rPr>
              <w:t>Additional clarification</w:t>
            </w:r>
            <w:r>
              <w:rPr>
                <w:rFonts w:ascii="Verdana" w:hAnsi="Verdana"/>
                <w:color w:val="000000"/>
              </w:rPr>
              <w:t xml:space="preserve"> and/or a renewal</w:t>
            </w:r>
            <w:r w:rsidRPr="009E13FA">
              <w:rPr>
                <w:rFonts w:ascii="Verdana" w:hAnsi="Verdana"/>
                <w:color w:val="000000"/>
              </w:rPr>
              <w:t xml:space="preserve"> is needed for the Rx,</w:t>
            </w:r>
            <w:r w:rsidR="006B0897">
              <w:rPr>
                <w:rFonts w:ascii="Verdana" w:hAnsi="Verdana"/>
                <w:color w:val="000000"/>
              </w:rPr>
              <w:t xml:space="preserve"> </w:t>
            </w:r>
            <w:r w:rsidR="006B0897">
              <w:rPr>
                <w:rFonts w:ascii="Verdana" w:hAnsi="Verdana"/>
              </w:rPr>
              <w:t>and</w:t>
            </w:r>
            <w:r w:rsidRPr="009E13FA">
              <w:rPr>
                <w:rFonts w:ascii="Verdana" w:hAnsi="Verdana"/>
                <w:color w:val="000000"/>
              </w:rPr>
              <w:t xml:space="preserve"> the pharmacy </w:t>
            </w:r>
            <w:r>
              <w:rPr>
                <w:rFonts w:ascii="Verdana" w:hAnsi="Verdana"/>
                <w:color w:val="000000"/>
              </w:rPr>
              <w:t>needs</w:t>
            </w:r>
            <w:r w:rsidRPr="009E13FA">
              <w:rPr>
                <w:rFonts w:ascii="Verdana" w:hAnsi="Verdana"/>
                <w:color w:val="000000"/>
              </w:rPr>
              <w:t xml:space="preserve"> a response from the prescriber.</w:t>
            </w:r>
            <w:r>
              <w:rPr>
                <w:rFonts w:ascii="Verdana" w:hAnsi="Verdana"/>
                <w:color w:val="000000"/>
              </w:rPr>
              <w:t xml:space="preserve"> (</w:t>
            </w:r>
            <w:r w:rsidRPr="00635938">
              <w:rPr>
                <w:rFonts w:ascii="Verdana" w:hAnsi="Verdana"/>
                <w:color w:val="000000"/>
              </w:rPr>
              <w:t xml:space="preserve">Do not advise the </w:t>
            </w:r>
            <w:r>
              <w:rPr>
                <w:rFonts w:ascii="Verdana" w:hAnsi="Verdana"/>
                <w:color w:val="000000"/>
              </w:rPr>
              <w:t>beneficiary</w:t>
            </w:r>
            <w:r w:rsidRPr="00635938">
              <w:rPr>
                <w:rFonts w:ascii="Verdana" w:hAnsi="Verdana"/>
                <w:color w:val="000000"/>
              </w:rPr>
              <w:t xml:space="preserve"> to </w:t>
            </w:r>
            <w:r>
              <w:rPr>
                <w:rFonts w:ascii="Verdana" w:hAnsi="Verdana"/>
                <w:color w:val="000000"/>
              </w:rPr>
              <w:t>follow up with prescriber.)</w:t>
            </w:r>
          </w:p>
          <w:p w14:paraId="4E207990" w14:textId="77777777" w:rsidR="00074DFF" w:rsidRPr="00900D9D" w:rsidRDefault="00074DFF" w:rsidP="00900D9D">
            <w:pPr>
              <w:numPr>
                <w:ilvl w:val="0"/>
                <w:numId w:val="11"/>
              </w:numPr>
              <w:ind w:left="720"/>
              <w:rPr>
                <w:rFonts w:ascii="Verdana" w:hAnsi="Verdana"/>
                <w:b/>
                <w:color w:val="000000"/>
              </w:rPr>
            </w:pPr>
            <w:r w:rsidRPr="00D771E5">
              <w:rPr>
                <w:rFonts w:ascii="Verdana" w:hAnsi="Verdana"/>
                <w:color w:val="000000"/>
              </w:rPr>
              <w:t>The prescription will be held until the prescriber provides us with the necessary information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4EE47642" w14:textId="77777777" w:rsidR="00074DFF" w:rsidRPr="00431871" w:rsidRDefault="00074DFF" w:rsidP="00431871">
            <w:pPr>
              <w:numPr>
                <w:ilvl w:val="0"/>
                <w:numId w:val="11"/>
              </w:numPr>
              <w:ind w:left="72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 will need to transfer you to a team that can assist with </w:t>
            </w:r>
            <w:r w:rsidRPr="00900EC1">
              <w:rPr>
                <w:rFonts w:ascii="Verdana" w:hAnsi="Verdana"/>
                <w:color w:val="000000"/>
              </w:rPr>
              <w:t>contacting the prescriber directly on your behalf.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2D999FDD" w14:textId="77777777" w:rsidR="00074DFF" w:rsidRPr="00900D9D" w:rsidRDefault="00074DFF" w:rsidP="00900D9D">
            <w:pPr>
              <w:numPr>
                <w:ilvl w:val="0"/>
                <w:numId w:val="11"/>
              </w:numPr>
              <w:ind w:left="720"/>
              <w:rPr>
                <w:rFonts w:ascii="Verdana" w:hAnsi="Verdana"/>
                <w:b/>
                <w:color w:val="000000"/>
              </w:rPr>
            </w:pPr>
            <w:r w:rsidRPr="00900D9D">
              <w:rPr>
                <w:rFonts w:ascii="Verdana" w:hAnsi="Verdana"/>
              </w:rPr>
              <w:t xml:space="preserve">If contact is made with the prescriber’s office but assistance cannot be provided at the time of the call, you will receive a follow up call within the next </w:t>
            </w:r>
            <w:r>
              <w:rPr>
                <w:rFonts w:ascii="Verdana" w:hAnsi="Verdana"/>
              </w:rPr>
              <w:t>2</w:t>
            </w:r>
            <w:r w:rsidRPr="00900D9D">
              <w:rPr>
                <w:rFonts w:ascii="Verdana" w:hAnsi="Verdana"/>
              </w:rPr>
              <w:t xml:space="preserve"> business </w:t>
            </w:r>
            <w:r>
              <w:rPr>
                <w:rFonts w:ascii="Verdana" w:hAnsi="Verdana"/>
              </w:rPr>
              <w:t>days</w:t>
            </w:r>
            <w:r w:rsidRPr="00900D9D">
              <w:rPr>
                <w:rFonts w:ascii="Verdana" w:hAnsi="Verdana"/>
              </w:rPr>
              <w:t>, advising you of the status of the outreach to your prescriber.</w:t>
            </w:r>
          </w:p>
          <w:p w14:paraId="7996AB9C" w14:textId="77777777" w:rsidR="00074DFF" w:rsidRPr="00900D9D" w:rsidRDefault="00074DFF" w:rsidP="00900D9D">
            <w:pPr>
              <w:numPr>
                <w:ilvl w:val="0"/>
                <w:numId w:val="11"/>
              </w:numPr>
              <w:ind w:left="720"/>
              <w:rPr>
                <w:rFonts w:ascii="Verdana" w:hAnsi="Verdana"/>
                <w:b/>
                <w:color w:val="000000"/>
              </w:rPr>
            </w:pPr>
            <w:r w:rsidRPr="00900D9D">
              <w:rPr>
                <w:rFonts w:ascii="Verdana" w:hAnsi="Verdana"/>
              </w:rPr>
              <w:t>Please note, if you are enrolled in CMP alerts, even though we are reaching out to your prescriber, the system may generate messages to you in the meantime.</w:t>
            </w:r>
          </w:p>
          <w:p w14:paraId="24428712" w14:textId="77777777" w:rsidR="00074DFF" w:rsidRDefault="00074DFF" w:rsidP="00900D9D">
            <w:pPr>
              <w:ind w:left="360"/>
              <w:rPr>
                <w:rFonts w:ascii="Verdana" w:hAnsi="Verdana"/>
                <w:b/>
                <w:color w:val="000000"/>
              </w:rPr>
            </w:pPr>
          </w:p>
          <w:p w14:paraId="274479B5" w14:textId="77777777" w:rsidR="00074DFF" w:rsidRDefault="00074DFF" w:rsidP="00900D9D">
            <w:pPr>
              <w:ind w:left="36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CCR Process Note:</w:t>
            </w:r>
          </w:p>
          <w:p w14:paraId="08FDE920" w14:textId="264542A4" w:rsidR="00074DFF" w:rsidRPr="009814C2" w:rsidRDefault="00074DFF" w:rsidP="001E1157">
            <w:pPr>
              <w:ind w:left="720"/>
              <w:rPr>
                <w:rFonts w:ascii="Verdana" w:hAnsi="Verdana" w:cs="Verdana"/>
              </w:rPr>
            </w:pPr>
            <w:r w:rsidRPr="009814C2">
              <w:rPr>
                <w:rFonts w:ascii="Verdana" w:hAnsi="Verdana"/>
                <w:color w:val="000000"/>
              </w:rPr>
              <w:t xml:space="preserve">CCR should </w:t>
            </w:r>
            <w:r w:rsidRPr="009814C2">
              <w:rPr>
                <w:rFonts w:ascii="Verdana" w:hAnsi="Verdana" w:cs="Verdana"/>
              </w:rPr>
              <w:t xml:space="preserve">transfer to the </w:t>
            </w:r>
            <w:bookmarkStart w:id="21" w:name="OLE_LINK38"/>
            <w:r w:rsidRPr="009814C2">
              <w:rPr>
                <w:rFonts w:ascii="Verdana" w:hAnsi="Verdana"/>
                <w:color w:val="000000"/>
              </w:rPr>
              <w:t>Senior Team Escalation Line</w:t>
            </w:r>
            <w:bookmarkEnd w:id="21"/>
            <w:r w:rsidRPr="009814C2">
              <w:rPr>
                <w:rFonts w:ascii="Verdana" w:hAnsi="Verdana"/>
                <w:color w:val="000000"/>
              </w:rPr>
              <w:t xml:space="preserve">. Refer to </w:t>
            </w:r>
            <w:hyperlink r:id="rId23" w:anchor="!/view?docid=65f95e1c-f756-4b18-8cfe-6de9af34db4d" w:history="1">
              <w:r w:rsidRPr="009814C2">
                <w:rPr>
                  <w:rStyle w:val="Hyperlink"/>
                  <w:rFonts w:ascii="Verdana" w:hAnsi="Verdana"/>
                </w:rPr>
                <w:t>Med D - Senior Team - Delayed Prescriber Response/Prescriber Hold Process</w:t>
              </w:r>
            </w:hyperlink>
            <w:r w:rsidRPr="009814C2">
              <w:rPr>
                <w:rFonts w:ascii="Verdana" w:hAnsi="Verdana"/>
              </w:rPr>
              <w:t xml:space="preserve">, </w:t>
            </w:r>
            <w:bookmarkStart w:id="22" w:name="OLE_LINK4"/>
            <w:r w:rsidR="00823226">
              <w:rPr>
                <w:rFonts w:ascii="Verdana" w:hAnsi="Verdana" w:cs="Verdana"/>
                <w:color w:val="0000FF"/>
                <w:u w:val="single"/>
              </w:rPr>
              <w:fldChar w:fldCharType="begin"/>
            </w:r>
            <w:r w:rsidR="00823226">
              <w:rPr>
                <w:rFonts w:ascii="Verdana" w:hAnsi="Verdana" w:cs="Verdana"/>
                <w:color w:val="0000FF"/>
                <w:u w:val="single"/>
              </w:rPr>
              <w:instrText xml:space="preserve"> HYPERLINK "https://thesource.cvshealth.com/nuxeo/thesource/" \l "!/view?docid=d3ca13af-f894-45b7-b16a-f2cb777adf77" </w:instrText>
            </w:r>
            <w:r w:rsidR="00823226">
              <w:rPr>
                <w:rFonts w:ascii="Verdana" w:hAnsi="Verdana" w:cs="Verdana"/>
                <w:color w:val="0000FF"/>
                <w:u w:val="single"/>
              </w:rPr>
            </w:r>
            <w:r w:rsidR="00823226">
              <w:rPr>
                <w:rFonts w:ascii="Verdana" w:hAnsi="Verdana" w:cs="Verdana"/>
                <w:color w:val="0000FF"/>
                <w:u w:val="single"/>
              </w:rPr>
              <w:fldChar w:fldCharType="separate"/>
            </w:r>
            <w:r w:rsidR="006B0897" w:rsidRPr="00823226">
              <w:rPr>
                <w:rStyle w:val="Hyperlink"/>
                <w:rFonts w:ascii="Verdana" w:hAnsi="Verdana" w:cs="Verdana"/>
              </w:rPr>
              <w:t>MED D - When to Transfer Calls to the Senior Team</w:t>
            </w:r>
            <w:r w:rsidR="00823226">
              <w:rPr>
                <w:rFonts w:ascii="Verdana" w:hAnsi="Verdana" w:cs="Verdana"/>
                <w:color w:val="0000FF"/>
                <w:u w:val="single"/>
              </w:rPr>
              <w:fldChar w:fldCharType="end"/>
            </w:r>
            <w:r w:rsidRPr="009814C2">
              <w:rPr>
                <w:rFonts w:ascii="Verdana" w:hAnsi="Verdana" w:cs="Verdana"/>
              </w:rPr>
              <w:t xml:space="preserve"> </w:t>
            </w:r>
            <w:bookmarkEnd w:id="22"/>
            <w:r w:rsidRPr="009814C2">
              <w:rPr>
                <w:rFonts w:ascii="Verdana" w:hAnsi="Verdana" w:cs="Verdana"/>
              </w:rPr>
              <w:t xml:space="preserve">and </w:t>
            </w:r>
            <w:hyperlink r:id="rId24" w:history="1">
              <w:r w:rsidRPr="006B0897">
                <w:rPr>
                  <w:rFonts w:ascii="Verdana" w:hAnsi="Verdana" w:cs="Verdana"/>
                  <w:color w:val="0000FF"/>
                  <w:u w:val="single"/>
                </w:rPr>
                <w:t>Basic Call Handling</w:t>
              </w:r>
            </w:hyperlink>
            <w:r w:rsidRPr="006B0897">
              <w:rPr>
                <w:rFonts w:ascii="Verdana" w:hAnsi="Verdana" w:cs="Verdana"/>
              </w:rPr>
              <w:t>.</w:t>
            </w:r>
          </w:p>
          <w:p w14:paraId="0FE53856" w14:textId="77777777" w:rsidR="00074DFF" w:rsidRDefault="00074DFF" w:rsidP="001E1157">
            <w:pPr>
              <w:ind w:left="720"/>
              <w:rPr>
                <w:rFonts w:ascii="Verdana" w:hAnsi="Verdana"/>
                <w:color w:val="000000"/>
              </w:rPr>
            </w:pPr>
          </w:p>
          <w:p w14:paraId="20DDC6DA" w14:textId="77777777" w:rsidR="00074DFF" w:rsidRPr="00AE44ED" w:rsidRDefault="00074DFF" w:rsidP="001E1157">
            <w:pPr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074DFF" w:rsidRPr="002F4BEC" w14:paraId="25A6FF41" w14:textId="77777777" w:rsidTr="008A2642">
        <w:trPr>
          <w:trHeight w:val="638"/>
        </w:trPr>
        <w:tc>
          <w:tcPr>
            <w:tcW w:w="157" w:type="pct"/>
            <w:vMerge/>
          </w:tcPr>
          <w:p w14:paraId="406E4673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  <w:shd w:val="clear" w:color="auto" w:fill="F2F2F2"/>
          </w:tcPr>
          <w:p w14:paraId="64C9420C" w14:textId="092D560E" w:rsidR="00074DFF" w:rsidRDefault="00074DFF" w:rsidP="00074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>If the prescriber…</w:t>
            </w:r>
          </w:p>
        </w:tc>
        <w:tc>
          <w:tcPr>
            <w:tcW w:w="2421" w:type="pct"/>
            <w:shd w:val="clear" w:color="auto" w:fill="F2F2F2"/>
          </w:tcPr>
          <w:p w14:paraId="61917E4B" w14:textId="2B4B0DA3" w:rsidR="00074DFF" w:rsidRDefault="00074DFF" w:rsidP="00074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074DFF" w:rsidRPr="002F4BEC" w14:paraId="683B6D5E" w14:textId="77777777" w:rsidTr="008A2642">
        <w:trPr>
          <w:trHeight w:val="638"/>
        </w:trPr>
        <w:tc>
          <w:tcPr>
            <w:tcW w:w="157" w:type="pct"/>
            <w:vMerge/>
          </w:tcPr>
          <w:p w14:paraId="19ED9E6B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</w:tcPr>
          <w:p w14:paraId="5A79A38A" w14:textId="7956E2AE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Did not receive the fax</w:t>
            </w:r>
          </w:p>
        </w:tc>
        <w:tc>
          <w:tcPr>
            <w:tcW w:w="2421" w:type="pct"/>
          </w:tcPr>
          <w:p w14:paraId="15431D75" w14:textId="20AF2FBB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 xml:space="preserve">Place the caller on Hold and contact the Delayed Prescriber Response line at </w:t>
            </w:r>
            <w:r>
              <w:rPr>
                <w:rFonts w:ascii="Verdana" w:hAnsi="Verdana"/>
                <w:b/>
                <w:bCs/>
              </w:rPr>
              <w:t>1-800-459-1907 - option 2</w:t>
            </w:r>
            <w:r>
              <w:rPr>
                <w:rFonts w:ascii="Verdana" w:hAnsi="Verdana"/>
              </w:rPr>
              <w:t xml:space="preserve"> and ask that the request be re-sent to the prescriber’s office.</w:t>
            </w:r>
          </w:p>
          <w:p w14:paraId="4BE340D8" w14:textId="1529837B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074DFF" w:rsidRPr="002F4BEC" w14:paraId="5D80484B" w14:textId="77777777" w:rsidTr="008A2642">
        <w:trPr>
          <w:trHeight w:val="638"/>
        </w:trPr>
        <w:tc>
          <w:tcPr>
            <w:tcW w:w="157" w:type="pct"/>
            <w:vMerge/>
          </w:tcPr>
          <w:p w14:paraId="02FA9D88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</w:tcPr>
          <w:p w14:paraId="71941CB6" w14:textId="53A01C21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Received fax but has not yet responded, or it was faxed back to mail order but not received</w:t>
            </w:r>
          </w:p>
        </w:tc>
        <w:tc>
          <w:tcPr>
            <w:tcW w:w="2421" w:type="pct"/>
          </w:tcPr>
          <w:p w14:paraId="40640743" w14:textId="30EA2E19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Advise the prescriber’s office to re-fax it.</w:t>
            </w:r>
          </w:p>
          <w:p w14:paraId="5877770C" w14:textId="196A7A32" w:rsidR="00074DFF" w:rsidRDefault="00074DFF" w:rsidP="00074DFF">
            <w:pPr>
              <w:numPr>
                <w:ilvl w:val="0"/>
                <w:numId w:val="26"/>
              </w:numPr>
            </w:pPr>
            <w:r>
              <w:rPr>
                <w:rFonts w:ascii="Verdana" w:hAnsi="Verdana"/>
              </w:rPr>
              <w:t xml:space="preserve">If prescriber is calling and does not have the original fax, </w:t>
            </w:r>
            <w:r>
              <w:rPr>
                <w:rFonts w:ascii="Verdana" w:hAnsi="Verdana"/>
                <w:b/>
                <w:bCs/>
              </w:rPr>
              <w:t>warm transfer</w:t>
            </w:r>
            <w:r>
              <w:rPr>
                <w:rFonts w:ascii="Verdana" w:hAnsi="Verdana"/>
              </w:rPr>
              <w:t xml:space="preserve"> to the Delayed Prescriber Response line at </w:t>
            </w:r>
            <w:r>
              <w:rPr>
                <w:rFonts w:ascii="Verdana" w:hAnsi="Verdana"/>
                <w:b/>
                <w:bCs/>
              </w:rPr>
              <w:t>1-800-459-1907 - option 2</w:t>
            </w:r>
            <w:r>
              <w:rPr>
                <w:rFonts w:ascii="Verdana" w:hAnsi="Verdana"/>
              </w:rPr>
              <w:t>.</w:t>
            </w:r>
          </w:p>
          <w:p w14:paraId="637A14E4" w14:textId="0678A73F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074DFF" w:rsidRPr="002F4BEC" w14:paraId="2FDB22FA" w14:textId="77777777" w:rsidTr="008A2642">
        <w:trPr>
          <w:trHeight w:val="638"/>
        </w:trPr>
        <w:tc>
          <w:tcPr>
            <w:tcW w:w="157" w:type="pct"/>
            <w:vMerge/>
          </w:tcPr>
          <w:p w14:paraId="0904111B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</w:tcPr>
          <w:p w14:paraId="0CE33C84" w14:textId="77777777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>Received fax but does not know what clarification is needed and below steps: Advise what clarification is needed</w:t>
            </w:r>
          </w:p>
          <w:p w14:paraId="1D09A40F" w14:textId="04953CF1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 </w:t>
            </w:r>
          </w:p>
        </w:tc>
        <w:tc>
          <w:tcPr>
            <w:tcW w:w="2421" w:type="pct"/>
          </w:tcPr>
          <w:p w14:paraId="6C4FAABC" w14:textId="1B8E0275" w:rsidR="00074DFF" w:rsidRDefault="00074DFF" w:rsidP="00074DFF">
            <w:pPr>
              <w:numPr>
                <w:ilvl w:val="0"/>
                <w:numId w:val="25"/>
              </w:numPr>
              <w:ind w:left="37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Navigate to the </w:t>
            </w:r>
            <w:r>
              <w:rPr>
                <w:rFonts w:ascii="Verdana" w:hAnsi="Verdana"/>
                <w:b/>
                <w:bCs/>
              </w:rPr>
              <w:t>Claims page &gt; Claims Tab</w:t>
            </w:r>
            <w:r>
              <w:rPr>
                <w:rFonts w:ascii="Verdana" w:hAnsi="Verdana"/>
              </w:rPr>
              <w:t>.</w:t>
            </w:r>
          </w:p>
          <w:p w14:paraId="4755EF8C" w14:textId="3D392360" w:rsidR="00074DFF" w:rsidRDefault="00074DFF" w:rsidP="00074DFF">
            <w:pPr>
              <w:numPr>
                <w:ilvl w:val="0"/>
                <w:numId w:val="25"/>
              </w:numPr>
              <w:ind w:left="37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the </w:t>
            </w:r>
            <w:r>
              <w:rPr>
                <w:rFonts w:ascii="Verdana" w:hAnsi="Verdana"/>
                <w:b/>
                <w:bCs/>
              </w:rPr>
              <w:t>Claim Details</w:t>
            </w:r>
            <w:r>
              <w:rPr>
                <w:rFonts w:ascii="Verdana" w:hAnsi="Verdana"/>
              </w:rPr>
              <w:t xml:space="preserve"> screen by clicking the Rx number.</w:t>
            </w:r>
          </w:p>
          <w:p w14:paraId="46D3B470" w14:textId="2C062C4A" w:rsidR="00074DFF" w:rsidRDefault="00074DFF" w:rsidP="00074DFF">
            <w:pPr>
              <w:numPr>
                <w:ilvl w:val="0"/>
                <w:numId w:val="25"/>
              </w:numPr>
              <w:ind w:left="37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>
              <w:rPr>
                <w:rFonts w:ascii="Verdana" w:hAnsi="Verdana"/>
                <w:b/>
                <w:bCs/>
              </w:rPr>
              <w:t xml:space="preserve">Messaging </w:t>
            </w:r>
            <w:r>
              <w:rPr>
                <w:rFonts w:ascii="Verdana" w:hAnsi="Verdana"/>
              </w:rPr>
              <w:t>tab to review Rx messages.</w:t>
            </w:r>
          </w:p>
          <w:p w14:paraId="7C10E982" w14:textId="71AD1F73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074DFF" w:rsidRPr="002F4BEC" w14:paraId="7A60A30F" w14:textId="77777777" w:rsidTr="008A2642">
        <w:trPr>
          <w:trHeight w:val="638"/>
        </w:trPr>
        <w:tc>
          <w:tcPr>
            <w:tcW w:w="157" w:type="pct"/>
            <w:vMerge/>
          </w:tcPr>
          <w:p w14:paraId="5E6DC820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  <w:shd w:val="clear" w:color="auto" w:fill="F2F2F2"/>
          </w:tcPr>
          <w:p w14:paraId="3FD9E4D0" w14:textId="0D21B0D5" w:rsidR="00074DFF" w:rsidRDefault="00074DFF" w:rsidP="00074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>If the member…</w:t>
            </w:r>
          </w:p>
        </w:tc>
        <w:tc>
          <w:tcPr>
            <w:tcW w:w="2421" w:type="pct"/>
            <w:shd w:val="clear" w:color="auto" w:fill="F2F2F2"/>
          </w:tcPr>
          <w:p w14:paraId="34A35E2D" w14:textId="60899C91" w:rsidR="00074DFF" w:rsidRDefault="00074DFF" w:rsidP="00074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074DFF" w:rsidRPr="002F4BEC" w14:paraId="507B1AF3" w14:textId="77777777" w:rsidTr="008A2642">
        <w:trPr>
          <w:trHeight w:val="638"/>
        </w:trPr>
        <w:tc>
          <w:tcPr>
            <w:tcW w:w="157" w:type="pct"/>
            <w:vMerge/>
          </w:tcPr>
          <w:p w14:paraId="49CB013F" w14:textId="77777777" w:rsidR="00074DFF" w:rsidRDefault="00074DFF" w:rsidP="00074DF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1" w:type="pct"/>
            <w:tcBorders>
              <w:bottom w:val="single" w:sz="4" w:space="0" w:color="auto"/>
            </w:tcBorders>
          </w:tcPr>
          <w:p w14:paraId="5177AE38" w14:textId="1A484191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Calls to find out why the prescription is on hold</w:t>
            </w:r>
          </w:p>
        </w:tc>
        <w:tc>
          <w:tcPr>
            <w:tcW w:w="2421" w:type="pct"/>
            <w:tcBorders>
              <w:bottom w:val="single" w:sz="4" w:space="0" w:color="auto"/>
            </w:tcBorders>
          </w:tcPr>
          <w:p w14:paraId="610817D0" w14:textId="0AD8CA65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 xml:space="preserve">Do </w:t>
            </w:r>
            <w:r>
              <w:rPr>
                <w:rFonts w:ascii="Verdana" w:hAnsi="Verdana"/>
                <w:b/>
                <w:bCs/>
              </w:rPr>
              <w:t>not</w:t>
            </w:r>
            <w:r>
              <w:rPr>
                <w:rFonts w:ascii="Verdana" w:hAnsi="Verdana"/>
              </w:rPr>
              <w:t xml:space="preserve"> provide the Delayed Prescriber Response line to members. Instead, advise the member to contact their provider (doctor).</w:t>
            </w:r>
          </w:p>
          <w:p w14:paraId="0E8672FD" w14:textId="5ECDC9F6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 xml:space="preserve"> </w:t>
            </w:r>
          </w:p>
          <w:p w14:paraId="56F60104" w14:textId="059FDC1B" w:rsidR="00074DFF" w:rsidRDefault="00074DFF" w:rsidP="00074DF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</w:rPr>
              <w:t xml:space="preserve">If the Member is unhappy with this or pushes back, place the caller on Hold and contact the Delayed Prescriber Response line at </w:t>
            </w:r>
            <w:r>
              <w:rPr>
                <w:rFonts w:ascii="Verdana" w:hAnsi="Verdana"/>
                <w:b/>
                <w:bCs/>
              </w:rPr>
              <w:t>1-800-459-1907</w:t>
            </w:r>
            <w:r>
              <w:rPr>
                <w:rFonts w:ascii="Verdana" w:hAnsi="Verdana"/>
              </w:rPr>
              <w:t xml:space="preserve"> - </w:t>
            </w:r>
            <w:r>
              <w:rPr>
                <w:rFonts w:ascii="Verdana" w:hAnsi="Verdana"/>
                <w:b/>
                <w:bCs/>
              </w:rPr>
              <w:t xml:space="preserve">option 2 </w:t>
            </w:r>
            <w:r>
              <w:rPr>
                <w:rFonts w:ascii="Verdana" w:hAnsi="Verdana"/>
              </w:rPr>
              <w:t>and ask that the request be re-sent to the prescriber’s office. Do not transfer the member to them.</w:t>
            </w:r>
          </w:p>
          <w:p w14:paraId="0BFBA87B" w14:textId="3691DDA1" w:rsidR="00074DFF" w:rsidRDefault="00074DFF" w:rsidP="00074DFF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 </w:t>
            </w:r>
          </w:p>
        </w:tc>
      </w:tr>
    </w:tbl>
    <w:p w14:paraId="7421F479" w14:textId="77777777" w:rsidR="00310994" w:rsidRDefault="00310994" w:rsidP="00900EC1">
      <w:pPr>
        <w:jc w:val="right"/>
        <w:rPr>
          <w:rFonts w:ascii="Verdana" w:hAnsi="Verdana"/>
        </w:rPr>
      </w:pPr>
      <w:bookmarkStart w:id="23" w:name="_Prescriber_Hold_Until"/>
      <w:bookmarkEnd w:id="23"/>
    </w:p>
    <w:p w14:paraId="55ACC5C9" w14:textId="77777777" w:rsidR="005C43B1" w:rsidRDefault="005C43B1" w:rsidP="005C43B1">
      <w:pPr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C43B1" w:rsidRPr="002F4BEC" w14:paraId="2705165B" w14:textId="77777777" w:rsidTr="000207D7">
        <w:tc>
          <w:tcPr>
            <w:tcW w:w="5000" w:type="pct"/>
            <w:shd w:val="clear" w:color="auto" w:fill="C0C0C0"/>
          </w:tcPr>
          <w:p w14:paraId="602C855C" w14:textId="77777777" w:rsidR="005C43B1" w:rsidRPr="0067510A" w:rsidRDefault="005C43B1" w:rsidP="002B2947">
            <w:pPr>
              <w:pStyle w:val="Heading2"/>
              <w:rPr>
                <w:rFonts w:ascii="Verdana" w:hAnsi="Verdana"/>
                <w:i w:val="0"/>
              </w:rPr>
            </w:pPr>
            <w:bookmarkStart w:id="24" w:name="_Toc29825095"/>
            <w:bookmarkStart w:id="25" w:name="_Toc151049983"/>
            <w:r>
              <w:rPr>
                <w:rFonts w:ascii="Verdana" w:hAnsi="Verdana"/>
                <w:i w:val="0"/>
              </w:rPr>
              <w:t>Inbound Call from Prescriber</w:t>
            </w:r>
            <w:bookmarkEnd w:id="24"/>
            <w:bookmarkEnd w:id="25"/>
          </w:p>
        </w:tc>
      </w:tr>
    </w:tbl>
    <w:p w14:paraId="0937652C" w14:textId="77777777" w:rsidR="005C43B1" w:rsidRDefault="005C43B1" w:rsidP="005C43B1">
      <w:pPr>
        <w:rPr>
          <w:rFonts w:ascii="Verdana" w:hAnsi="Verdana"/>
          <w:color w:val="000000"/>
        </w:rPr>
      </w:pPr>
      <w:r>
        <w:rPr>
          <w:rFonts w:ascii="Verdana" w:hAnsi="Verdana"/>
        </w:rPr>
        <w:t xml:space="preserve">If the prescriber or authorized prescriber representative calls to provide assistance regarding a Delayed Prescriber Response, the CCR will </w:t>
      </w:r>
      <w:r w:rsidRPr="009E2F1E">
        <w:rPr>
          <w:rFonts w:ascii="Verdana" w:hAnsi="Verdana"/>
          <w:bCs/>
        </w:rPr>
        <w:t>warm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transfer the prescriber to the Physician Contact line at 1-800-459-1907. </w:t>
      </w:r>
      <w:r>
        <w:rPr>
          <w:rFonts w:ascii="Verdana" w:hAnsi="Verdana"/>
          <w:color w:val="000000"/>
        </w:rPr>
        <w:t>Hours of Operation are 7:30 am - 5:30 pm CST, Monday - Friday.</w:t>
      </w:r>
      <w:r w:rsidR="00B42AEA">
        <w:rPr>
          <w:rFonts w:ascii="Verdana" w:hAnsi="Verdana"/>
          <w:color w:val="000000"/>
        </w:rPr>
        <w:t xml:space="preserve"> </w:t>
      </w:r>
      <w:r w:rsidR="00B42AEA" w:rsidRPr="00B42AEA">
        <w:rPr>
          <w:rFonts w:ascii="Verdana" w:hAnsi="Verdana"/>
          <w:color w:val="000000"/>
        </w:rPr>
        <w:t>If after hours, transfer to the Senior Team Escalation Line.</w:t>
      </w:r>
    </w:p>
    <w:p w14:paraId="2D3100BC" w14:textId="77777777" w:rsidR="009E2F1E" w:rsidRDefault="009E2F1E" w:rsidP="005C43B1">
      <w:pPr>
        <w:rPr>
          <w:rFonts w:ascii="Verdana" w:hAnsi="Verdana"/>
          <w:color w:val="000000"/>
        </w:rPr>
      </w:pPr>
    </w:p>
    <w:p w14:paraId="4BF5E52B" w14:textId="7B1F3DB2" w:rsidR="009E2F1E" w:rsidRDefault="009E2F1E" w:rsidP="005C43B1">
      <w:pPr>
        <w:rPr>
          <w:rFonts w:ascii="Verdana" w:hAnsi="Verdana"/>
          <w:color w:val="000000"/>
        </w:rPr>
      </w:pPr>
      <w:bookmarkStart w:id="26" w:name="OLE_LINK2"/>
      <w:r w:rsidRPr="009E2F1E">
        <w:rPr>
          <w:rFonts w:ascii="Verdana" w:hAnsi="Verdana"/>
          <w:color w:val="000000"/>
        </w:rPr>
        <w:t xml:space="preserve">For </w:t>
      </w:r>
      <w:r w:rsidRPr="009E2F1E">
        <w:rPr>
          <w:rFonts w:ascii="Verdana" w:hAnsi="Verdana"/>
          <w:b/>
          <w:bCs/>
          <w:color w:val="000000"/>
        </w:rPr>
        <w:t>Hawaiian</w:t>
      </w:r>
      <w:r w:rsidRPr="009E2F1E">
        <w:rPr>
          <w:rFonts w:ascii="Verdana" w:hAnsi="Verdana"/>
          <w:color w:val="000000"/>
        </w:rPr>
        <w:t xml:space="preserve"> Mail Order clients</w:t>
      </w:r>
      <w:bookmarkEnd w:id="26"/>
      <w:r w:rsidRPr="009E2F1E">
        <w:rPr>
          <w:rFonts w:ascii="Verdana" w:hAnsi="Verdana"/>
          <w:color w:val="000000"/>
        </w:rPr>
        <w:t xml:space="preserve">, warm transfer the prescriber to </w:t>
      </w:r>
      <w:r>
        <w:rPr>
          <w:rFonts w:ascii="Verdana" w:hAnsi="Verdana"/>
          <w:color w:val="000000"/>
        </w:rPr>
        <w:t xml:space="preserve">the </w:t>
      </w:r>
      <w:r w:rsidRPr="009E2F1E">
        <w:rPr>
          <w:rFonts w:ascii="Verdana" w:hAnsi="Verdana"/>
          <w:color w:val="000000"/>
        </w:rPr>
        <w:t>Hawaii Clinical dep</w:t>
      </w:r>
      <w:r>
        <w:rPr>
          <w:rFonts w:ascii="Verdana" w:hAnsi="Verdana"/>
          <w:color w:val="000000"/>
        </w:rPr>
        <w:t>artment</w:t>
      </w:r>
      <w:r w:rsidRPr="009E2F1E">
        <w:rPr>
          <w:rFonts w:ascii="Verdana" w:hAnsi="Verdana"/>
          <w:color w:val="000000"/>
        </w:rPr>
        <w:t xml:space="preserve"> at 1-877-418-4130</w:t>
      </w:r>
      <w:r>
        <w:rPr>
          <w:rFonts w:ascii="Verdana" w:hAnsi="Verdana"/>
          <w:color w:val="000000"/>
        </w:rPr>
        <w:t>,</w:t>
      </w:r>
      <w:r w:rsidRPr="009E2F1E">
        <w:rPr>
          <w:rFonts w:ascii="Verdana" w:hAnsi="Verdana"/>
          <w:color w:val="000000"/>
        </w:rPr>
        <w:t xml:space="preserve"> opt</w:t>
      </w:r>
      <w:r>
        <w:rPr>
          <w:rFonts w:ascii="Verdana" w:hAnsi="Verdana"/>
          <w:color w:val="000000"/>
        </w:rPr>
        <w:t>ion</w:t>
      </w:r>
      <w:r w:rsidRPr="009E2F1E">
        <w:rPr>
          <w:rFonts w:ascii="Verdana" w:hAnsi="Verdana"/>
          <w:color w:val="000000"/>
        </w:rPr>
        <w:t xml:space="preserve"> 2. Hours of Operation are 8:00</w:t>
      </w:r>
      <w:r>
        <w:rPr>
          <w:rFonts w:ascii="Verdana" w:hAnsi="Verdana"/>
          <w:color w:val="000000"/>
        </w:rPr>
        <w:t xml:space="preserve"> </w:t>
      </w:r>
      <w:r w:rsidRPr="009E2F1E">
        <w:rPr>
          <w:rFonts w:ascii="Verdana" w:hAnsi="Verdana"/>
          <w:color w:val="000000"/>
        </w:rPr>
        <w:t>am - 5:00</w:t>
      </w:r>
      <w:r>
        <w:rPr>
          <w:rFonts w:ascii="Verdana" w:hAnsi="Verdana"/>
          <w:color w:val="000000"/>
        </w:rPr>
        <w:t xml:space="preserve"> </w:t>
      </w:r>
      <w:r w:rsidRPr="009E2F1E">
        <w:rPr>
          <w:rFonts w:ascii="Verdana" w:hAnsi="Verdana"/>
          <w:color w:val="000000"/>
        </w:rPr>
        <w:t>pm HST, Monday - Friday.</w:t>
      </w:r>
    </w:p>
    <w:p w14:paraId="045ACDB5" w14:textId="77777777" w:rsidR="00CE2158" w:rsidRDefault="00CE2158" w:rsidP="00900EC1">
      <w:pPr>
        <w:jc w:val="right"/>
      </w:pPr>
      <w:bookmarkStart w:id="27" w:name="_Log_Activity"/>
      <w:bookmarkEnd w:id="27"/>
    </w:p>
    <w:p w14:paraId="2A924530" w14:textId="77777777" w:rsidR="00176400" w:rsidRDefault="00176400" w:rsidP="00900EC1">
      <w:pPr>
        <w:jc w:val="right"/>
        <w:rPr>
          <w:rFonts w:ascii="Verdana" w:hAnsi="Verdana"/>
        </w:rPr>
      </w:pPr>
      <w:hyperlink w:anchor="_top" w:history="1">
        <w:r w:rsidRPr="00E157BC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176400" w:rsidRPr="002F4BEC" w14:paraId="4E24147A" w14:textId="77777777" w:rsidTr="002F4BEC">
        <w:tc>
          <w:tcPr>
            <w:tcW w:w="5000" w:type="pct"/>
            <w:shd w:val="clear" w:color="auto" w:fill="C0C0C0"/>
          </w:tcPr>
          <w:p w14:paraId="48751143" w14:textId="77777777" w:rsidR="00176400" w:rsidRPr="0067510A" w:rsidRDefault="00176400" w:rsidP="0067510A">
            <w:pPr>
              <w:pStyle w:val="Heading2"/>
              <w:rPr>
                <w:rFonts w:ascii="Verdana" w:hAnsi="Verdana"/>
                <w:i w:val="0"/>
              </w:rPr>
            </w:pPr>
            <w:bookmarkStart w:id="28" w:name="_Resolution_Time"/>
            <w:bookmarkStart w:id="29" w:name="_Toc151049984"/>
            <w:bookmarkEnd w:id="28"/>
            <w:r w:rsidRPr="0067510A">
              <w:rPr>
                <w:rFonts w:ascii="Verdana" w:hAnsi="Verdana"/>
                <w:i w:val="0"/>
              </w:rPr>
              <w:t>Resolution Time</w:t>
            </w:r>
            <w:bookmarkEnd w:id="29"/>
          </w:p>
        </w:tc>
      </w:tr>
    </w:tbl>
    <w:p w14:paraId="59325DB1" w14:textId="77777777" w:rsidR="00FD00EC" w:rsidRDefault="00FD00EC" w:rsidP="00900EC1">
      <w:pPr>
        <w:rPr>
          <w:rFonts w:ascii="Verdana" w:hAnsi="Verdana"/>
        </w:rPr>
      </w:pPr>
      <w:r>
        <w:rPr>
          <w:rFonts w:ascii="Verdana" w:hAnsi="Verdana"/>
        </w:rPr>
        <w:t>Varies. The prescription will be processed once all required information/clarification is received from the prescriber.</w:t>
      </w:r>
    </w:p>
    <w:p w14:paraId="7C41332D" w14:textId="77777777" w:rsidR="00790936" w:rsidRDefault="00790936" w:rsidP="00900EC1">
      <w:pPr>
        <w:jc w:val="right"/>
      </w:pPr>
    </w:p>
    <w:p w14:paraId="6C554A6B" w14:textId="77777777" w:rsidR="00790936" w:rsidRDefault="00790936" w:rsidP="00790936">
      <w:pPr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790936" w14:paraId="7E35248C" w14:textId="77777777" w:rsidTr="00AA7D6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14DB7E" w14:textId="77777777" w:rsidR="00790936" w:rsidRDefault="0079093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0" w:name="_Toc525825645"/>
            <w:bookmarkStart w:id="31" w:name="_Toc15104998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0"/>
            <w:bookmarkEnd w:id="31"/>
          </w:p>
        </w:tc>
      </w:tr>
    </w:tbl>
    <w:p w14:paraId="57C7FC67" w14:textId="77777777" w:rsidR="00EA71A5" w:rsidRDefault="00EA71A5" w:rsidP="008B1FD9">
      <w:pPr>
        <w:rPr>
          <w:rFonts w:ascii="Verdana" w:hAnsi="Verdana"/>
        </w:rPr>
      </w:pPr>
      <w:hyperlink r:id="rId25" w:history="1">
        <w:r w:rsidRPr="00EA71A5">
          <w:rPr>
            <w:rStyle w:val="Hyperlink"/>
            <w:rFonts w:ascii="Verdana" w:hAnsi="Verdana"/>
          </w:rPr>
          <w:t>PBM Hold</w:t>
        </w:r>
      </w:hyperlink>
      <w:r>
        <w:rPr>
          <w:rFonts w:ascii="Verdana" w:hAnsi="Verdana"/>
        </w:rPr>
        <w:t xml:space="preserve"> </w:t>
      </w:r>
    </w:p>
    <w:p w14:paraId="22F97CA9" w14:textId="2C21D201" w:rsidR="00732CC2" w:rsidRDefault="00732CC2" w:rsidP="008B1FD9">
      <w:pPr>
        <w:rPr>
          <w:rFonts w:ascii="Verdana" w:hAnsi="Verdana"/>
        </w:rPr>
      </w:pPr>
      <w:hyperlink r:id="rId26" w:anchor="!/view?docid=46478c4b-48ae-4502-b66c-222e1ca37ce3" w:history="1">
        <w:r w:rsidRPr="003858B5">
          <w:rPr>
            <w:rStyle w:val="Hyperlink"/>
            <w:rFonts w:ascii="Verdana" w:hAnsi="Verdana"/>
          </w:rPr>
          <w:t>Compass - Placing/Releasing a Prescription (Rx) in Process on Hold/From Hold</w:t>
        </w:r>
      </w:hyperlink>
    </w:p>
    <w:p w14:paraId="3F7FF167" w14:textId="77777777" w:rsidR="00AA7D6E" w:rsidRPr="00DB4BE5" w:rsidRDefault="00AA7D6E" w:rsidP="008B1FD9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EA71A5">
        <w:rPr>
          <w:rFonts w:ascii="Verdana" w:hAnsi="Verdana"/>
          <w:bCs/>
          <w:color w:val="333333"/>
        </w:rPr>
        <w:t xml:space="preserve"> </w:t>
      </w:r>
      <w:hyperlink r:id="rId27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2A5CD835" w14:textId="77777777" w:rsidR="00AA7D6E" w:rsidRDefault="00AA7D6E" w:rsidP="008B1FD9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28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46DF3049" w14:textId="77777777" w:rsidR="00790936" w:rsidRDefault="00790936" w:rsidP="00900EC1">
      <w:pPr>
        <w:rPr>
          <w:rFonts w:ascii="Verdana" w:hAnsi="Verdana"/>
        </w:rPr>
      </w:pPr>
    </w:p>
    <w:p w14:paraId="7B4C41D9" w14:textId="77777777" w:rsidR="005A64DA" w:rsidRDefault="005A64DA" w:rsidP="00900EC1">
      <w:pPr>
        <w:jc w:val="right"/>
        <w:rPr>
          <w:rFonts w:ascii="Verdana" w:hAnsi="Verdana"/>
        </w:rPr>
      </w:pPr>
      <w:hyperlink w:anchor="_top" w:history="1">
        <w:r w:rsidRPr="00CC721A">
          <w:rPr>
            <w:rStyle w:val="Hyperlink"/>
            <w:rFonts w:ascii="Verdana" w:hAnsi="Verdana"/>
          </w:rPr>
          <w:t>Top of the Document</w:t>
        </w:r>
      </w:hyperlink>
    </w:p>
    <w:p w14:paraId="37872029" w14:textId="77777777" w:rsidR="00710E68" w:rsidRPr="00C247CB" w:rsidRDefault="00710E68" w:rsidP="00900EC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5E9A853" w14:textId="77777777" w:rsidR="005A64DA" w:rsidRPr="00C247CB" w:rsidRDefault="00710E68" w:rsidP="00900EC1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9E13FA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09386" w14:textId="77777777" w:rsidR="00DC6F11" w:rsidRDefault="00DC6F11">
      <w:r>
        <w:separator/>
      </w:r>
    </w:p>
  </w:endnote>
  <w:endnote w:type="continuationSeparator" w:id="0">
    <w:p w14:paraId="033C8B27" w14:textId="77777777" w:rsidR="00DC6F11" w:rsidRDefault="00DC6F11">
      <w:r>
        <w:continuationSeparator/>
      </w:r>
    </w:p>
  </w:endnote>
  <w:endnote w:type="continuationNotice" w:id="1">
    <w:p w14:paraId="23B7AD1A" w14:textId="77777777" w:rsidR="00DC6F11" w:rsidRDefault="00DC6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1C71" w14:textId="77777777" w:rsidR="005F2BAF" w:rsidRDefault="006755E5" w:rsidP="00916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2B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FECB61" w14:textId="77777777" w:rsidR="005F2BAF" w:rsidRDefault="005F2BAF" w:rsidP="005F2B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A0076" w14:textId="77777777" w:rsidR="005F2BAF" w:rsidRDefault="006755E5" w:rsidP="00916F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2BA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71A5">
      <w:rPr>
        <w:rStyle w:val="PageNumber"/>
        <w:noProof/>
      </w:rPr>
      <w:t>9</w:t>
    </w:r>
    <w:r>
      <w:rPr>
        <w:rStyle w:val="PageNumber"/>
      </w:rPr>
      <w:fldChar w:fldCharType="end"/>
    </w:r>
  </w:p>
  <w:p w14:paraId="4D4093B8" w14:textId="77777777" w:rsidR="00C476E1" w:rsidRPr="005F2BAF" w:rsidRDefault="00C476E1" w:rsidP="005F2BAF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068C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F8E91" w14:textId="77777777" w:rsidR="00DC6F11" w:rsidRDefault="00DC6F11">
      <w:r>
        <w:separator/>
      </w:r>
    </w:p>
  </w:footnote>
  <w:footnote w:type="continuationSeparator" w:id="0">
    <w:p w14:paraId="4FF18587" w14:textId="77777777" w:rsidR="00DC6F11" w:rsidRDefault="00DC6F11">
      <w:r>
        <w:continuationSeparator/>
      </w:r>
    </w:p>
  </w:footnote>
  <w:footnote w:type="continuationNotice" w:id="1">
    <w:p w14:paraId="2CCCAE7C" w14:textId="77777777" w:rsidR="00DC6F11" w:rsidRDefault="00DC6F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751E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2.5pt;height:14.25pt" o:bullet="t">
        <v:imagedata r:id="rId1" o:title="Say"/>
      </v:shape>
    </w:pict>
  </w:numPicBullet>
  <w:abstractNum w:abstractNumId="0" w15:restartNumberingAfterBreak="0">
    <w:nsid w:val="00346D53"/>
    <w:multiLevelType w:val="hybridMultilevel"/>
    <w:tmpl w:val="97728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8604C"/>
    <w:multiLevelType w:val="hybridMultilevel"/>
    <w:tmpl w:val="C7DE3DD6"/>
    <w:lvl w:ilvl="0" w:tplc="933CF1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207A6"/>
    <w:multiLevelType w:val="hybridMultilevel"/>
    <w:tmpl w:val="299A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2599"/>
    <w:multiLevelType w:val="hybridMultilevel"/>
    <w:tmpl w:val="0B52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3835"/>
    <w:multiLevelType w:val="multilevel"/>
    <w:tmpl w:val="197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C5205"/>
    <w:multiLevelType w:val="hybridMultilevel"/>
    <w:tmpl w:val="185A9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4109"/>
    <w:multiLevelType w:val="hybridMultilevel"/>
    <w:tmpl w:val="0CA6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24736"/>
    <w:multiLevelType w:val="hybridMultilevel"/>
    <w:tmpl w:val="35300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34B4"/>
    <w:multiLevelType w:val="hybridMultilevel"/>
    <w:tmpl w:val="75ACE05A"/>
    <w:lvl w:ilvl="0" w:tplc="933CF1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10911"/>
    <w:multiLevelType w:val="hybridMultilevel"/>
    <w:tmpl w:val="F4B0A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7A432D"/>
    <w:multiLevelType w:val="multilevel"/>
    <w:tmpl w:val="9CA6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3418E4"/>
    <w:multiLevelType w:val="hybridMultilevel"/>
    <w:tmpl w:val="66D2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3234E6"/>
    <w:multiLevelType w:val="multilevel"/>
    <w:tmpl w:val="3D1A66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F4840"/>
    <w:multiLevelType w:val="hybridMultilevel"/>
    <w:tmpl w:val="257C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E7652"/>
    <w:multiLevelType w:val="hybridMultilevel"/>
    <w:tmpl w:val="FF366E88"/>
    <w:lvl w:ilvl="0" w:tplc="933CF1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00430"/>
    <w:multiLevelType w:val="hybridMultilevel"/>
    <w:tmpl w:val="156C47F8"/>
    <w:lvl w:ilvl="0" w:tplc="710EA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17DCE"/>
    <w:multiLevelType w:val="multilevel"/>
    <w:tmpl w:val="3A02C494"/>
    <w:lvl w:ilvl="0">
      <w:start w:val="1"/>
      <w:numFmt w:val="lowerLetter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71812FB3"/>
    <w:multiLevelType w:val="hybridMultilevel"/>
    <w:tmpl w:val="4EEC178C"/>
    <w:lvl w:ilvl="0" w:tplc="21D420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576FB"/>
    <w:multiLevelType w:val="multilevel"/>
    <w:tmpl w:val="778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A56607"/>
    <w:multiLevelType w:val="multilevel"/>
    <w:tmpl w:val="C93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A7797D"/>
    <w:multiLevelType w:val="multilevel"/>
    <w:tmpl w:val="F96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7421589">
    <w:abstractNumId w:val="3"/>
  </w:num>
  <w:num w:numId="2" w16cid:durableId="1872913228">
    <w:abstractNumId w:val="7"/>
  </w:num>
  <w:num w:numId="3" w16cid:durableId="715736775">
    <w:abstractNumId w:val="19"/>
  </w:num>
  <w:num w:numId="4" w16cid:durableId="2049605306">
    <w:abstractNumId w:val="10"/>
  </w:num>
  <w:num w:numId="5" w16cid:durableId="2108379931">
    <w:abstractNumId w:val="20"/>
  </w:num>
  <w:num w:numId="6" w16cid:durableId="218516227">
    <w:abstractNumId w:val="1"/>
  </w:num>
  <w:num w:numId="7" w16cid:durableId="120733947">
    <w:abstractNumId w:val="16"/>
  </w:num>
  <w:num w:numId="8" w16cid:durableId="723212254">
    <w:abstractNumId w:val="17"/>
  </w:num>
  <w:num w:numId="9" w16cid:durableId="9829291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0675346">
    <w:abstractNumId w:val="8"/>
  </w:num>
  <w:num w:numId="11" w16cid:durableId="706877108">
    <w:abstractNumId w:val="11"/>
  </w:num>
  <w:num w:numId="12" w16cid:durableId="974260629">
    <w:abstractNumId w:val="13"/>
  </w:num>
  <w:num w:numId="13" w16cid:durableId="1519587410">
    <w:abstractNumId w:val="4"/>
  </w:num>
  <w:num w:numId="14" w16cid:durableId="1119033449">
    <w:abstractNumId w:val="9"/>
  </w:num>
  <w:num w:numId="15" w16cid:durableId="645546661">
    <w:abstractNumId w:val="2"/>
  </w:num>
  <w:num w:numId="16" w16cid:durableId="1745837151">
    <w:abstractNumId w:val="23"/>
  </w:num>
  <w:num w:numId="17" w16cid:durableId="1646474898">
    <w:abstractNumId w:val="12"/>
  </w:num>
  <w:num w:numId="18" w16cid:durableId="754280356">
    <w:abstractNumId w:val="5"/>
  </w:num>
  <w:num w:numId="19" w16cid:durableId="1011882527">
    <w:abstractNumId w:val="1"/>
  </w:num>
  <w:num w:numId="20" w16cid:durableId="1372146666">
    <w:abstractNumId w:val="21"/>
  </w:num>
  <w:num w:numId="21" w16cid:durableId="363596663">
    <w:abstractNumId w:val="14"/>
  </w:num>
  <w:num w:numId="22" w16cid:durableId="91559354">
    <w:abstractNumId w:val="22"/>
  </w:num>
  <w:num w:numId="23" w16cid:durableId="878472647">
    <w:abstractNumId w:val="18"/>
  </w:num>
  <w:num w:numId="24" w16cid:durableId="923758391">
    <w:abstractNumId w:val="22"/>
  </w:num>
  <w:num w:numId="25" w16cid:durableId="4911388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54051526">
    <w:abstractNumId w:val="0"/>
  </w:num>
  <w:num w:numId="27" w16cid:durableId="2015954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03F12"/>
    <w:rsid w:val="00010402"/>
    <w:rsid w:val="00015A2E"/>
    <w:rsid w:val="000207D7"/>
    <w:rsid w:val="00027187"/>
    <w:rsid w:val="0003014E"/>
    <w:rsid w:val="00035BED"/>
    <w:rsid w:val="00043A5E"/>
    <w:rsid w:val="00050FA9"/>
    <w:rsid w:val="00061AD2"/>
    <w:rsid w:val="0006549A"/>
    <w:rsid w:val="00073DFD"/>
    <w:rsid w:val="00074DFF"/>
    <w:rsid w:val="00084320"/>
    <w:rsid w:val="0008665F"/>
    <w:rsid w:val="00095AB5"/>
    <w:rsid w:val="000A6B88"/>
    <w:rsid w:val="000B3C4C"/>
    <w:rsid w:val="000B43D3"/>
    <w:rsid w:val="000B656F"/>
    <w:rsid w:val="000B72DF"/>
    <w:rsid w:val="000C772B"/>
    <w:rsid w:val="000D1870"/>
    <w:rsid w:val="000D6714"/>
    <w:rsid w:val="000F0D1B"/>
    <w:rsid w:val="00104FA9"/>
    <w:rsid w:val="00115944"/>
    <w:rsid w:val="00115FB2"/>
    <w:rsid w:val="0012373E"/>
    <w:rsid w:val="00130F54"/>
    <w:rsid w:val="00131DF5"/>
    <w:rsid w:val="001360A5"/>
    <w:rsid w:val="0014494E"/>
    <w:rsid w:val="00147B3F"/>
    <w:rsid w:val="00150709"/>
    <w:rsid w:val="00155203"/>
    <w:rsid w:val="001560C4"/>
    <w:rsid w:val="00157311"/>
    <w:rsid w:val="0016273A"/>
    <w:rsid w:val="0017291C"/>
    <w:rsid w:val="00176400"/>
    <w:rsid w:val="00180556"/>
    <w:rsid w:val="00190DF3"/>
    <w:rsid w:val="001A1ED0"/>
    <w:rsid w:val="001A22E8"/>
    <w:rsid w:val="001A233C"/>
    <w:rsid w:val="001A6D49"/>
    <w:rsid w:val="001B152C"/>
    <w:rsid w:val="001B3879"/>
    <w:rsid w:val="001C46BC"/>
    <w:rsid w:val="001C771C"/>
    <w:rsid w:val="001E1157"/>
    <w:rsid w:val="001E7C60"/>
    <w:rsid w:val="001F1218"/>
    <w:rsid w:val="001F4EED"/>
    <w:rsid w:val="001F5AF7"/>
    <w:rsid w:val="001F635B"/>
    <w:rsid w:val="002016B4"/>
    <w:rsid w:val="00202442"/>
    <w:rsid w:val="002055CF"/>
    <w:rsid w:val="002056C5"/>
    <w:rsid w:val="002438EF"/>
    <w:rsid w:val="00243EBB"/>
    <w:rsid w:val="00255C6B"/>
    <w:rsid w:val="00265D86"/>
    <w:rsid w:val="00267F13"/>
    <w:rsid w:val="0028215B"/>
    <w:rsid w:val="00284B8A"/>
    <w:rsid w:val="00290F7C"/>
    <w:rsid w:val="00291395"/>
    <w:rsid w:val="00291CE8"/>
    <w:rsid w:val="002935BB"/>
    <w:rsid w:val="00296127"/>
    <w:rsid w:val="00296765"/>
    <w:rsid w:val="002B2947"/>
    <w:rsid w:val="002B593E"/>
    <w:rsid w:val="002B6295"/>
    <w:rsid w:val="002F1C63"/>
    <w:rsid w:val="002F1F92"/>
    <w:rsid w:val="002F31F0"/>
    <w:rsid w:val="002F4BEC"/>
    <w:rsid w:val="00310994"/>
    <w:rsid w:val="003166AB"/>
    <w:rsid w:val="0033143E"/>
    <w:rsid w:val="003725A1"/>
    <w:rsid w:val="003858B5"/>
    <w:rsid w:val="003868A2"/>
    <w:rsid w:val="00392A5B"/>
    <w:rsid w:val="0039680C"/>
    <w:rsid w:val="00397CD2"/>
    <w:rsid w:val="003A6D70"/>
    <w:rsid w:val="003B1F86"/>
    <w:rsid w:val="003C3866"/>
    <w:rsid w:val="003C4627"/>
    <w:rsid w:val="003C7C61"/>
    <w:rsid w:val="003D1367"/>
    <w:rsid w:val="003D64B7"/>
    <w:rsid w:val="003E2DB2"/>
    <w:rsid w:val="003E5ADF"/>
    <w:rsid w:val="003E6BFB"/>
    <w:rsid w:val="003E6C1A"/>
    <w:rsid w:val="003E75D6"/>
    <w:rsid w:val="003E7D0E"/>
    <w:rsid w:val="004062C2"/>
    <w:rsid w:val="0040640A"/>
    <w:rsid w:val="00406DAD"/>
    <w:rsid w:val="00406DB5"/>
    <w:rsid w:val="00413A26"/>
    <w:rsid w:val="0042336D"/>
    <w:rsid w:val="00430E7B"/>
    <w:rsid w:val="00431871"/>
    <w:rsid w:val="00434BFC"/>
    <w:rsid w:val="0044136E"/>
    <w:rsid w:val="00443F8C"/>
    <w:rsid w:val="00454E96"/>
    <w:rsid w:val="00457EAE"/>
    <w:rsid w:val="004768BE"/>
    <w:rsid w:val="00477F73"/>
    <w:rsid w:val="0048355A"/>
    <w:rsid w:val="00484747"/>
    <w:rsid w:val="004D321B"/>
    <w:rsid w:val="004D3C53"/>
    <w:rsid w:val="004E3940"/>
    <w:rsid w:val="00504955"/>
    <w:rsid w:val="00506D78"/>
    <w:rsid w:val="005105D9"/>
    <w:rsid w:val="00511C07"/>
    <w:rsid w:val="00512486"/>
    <w:rsid w:val="00514237"/>
    <w:rsid w:val="0052465B"/>
    <w:rsid w:val="00524CDD"/>
    <w:rsid w:val="00525C59"/>
    <w:rsid w:val="00535193"/>
    <w:rsid w:val="00545BC2"/>
    <w:rsid w:val="0056656E"/>
    <w:rsid w:val="00575687"/>
    <w:rsid w:val="00577121"/>
    <w:rsid w:val="00582E85"/>
    <w:rsid w:val="005910B5"/>
    <w:rsid w:val="00594F24"/>
    <w:rsid w:val="005A3BC2"/>
    <w:rsid w:val="005A6118"/>
    <w:rsid w:val="005A64DA"/>
    <w:rsid w:val="005B0908"/>
    <w:rsid w:val="005B2C41"/>
    <w:rsid w:val="005B49EE"/>
    <w:rsid w:val="005C1D83"/>
    <w:rsid w:val="005C30A7"/>
    <w:rsid w:val="005C43B1"/>
    <w:rsid w:val="005C54AD"/>
    <w:rsid w:val="005E650E"/>
    <w:rsid w:val="005F2066"/>
    <w:rsid w:val="005F2BAF"/>
    <w:rsid w:val="00603185"/>
    <w:rsid w:val="00603E0C"/>
    <w:rsid w:val="006069E4"/>
    <w:rsid w:val="0061193A"/>
    <w:rsid w:val="00614751"/>
    <w:rsid w:val="0062060B"/>
    <w:rsid w:val="00622D77"/>
    <w:rsid w:val="00627F34"/>
    <w:rsid w:val="00630BFB"/>
    <w:rsid w:val="00635938"/>
    <w:rsid w:val="00636B18"/>
    <w:rsid w:val="00637CA1"/>
    <w:rsid w:val="006438CD"/>
    <w:rsid w:val="006449DE"/>
    <w:rsid w:val="006459D6"/>
    <w:rsid w:val="00655FA7"/>
    <w:rsid w:val="00665FFC"/>
    <w:rsid w:val="00672638"/>
    <w:rsid w:val="00674A16"/>
    <w:rsid w:val="0067510A"/>
    <w:rsid w:val="006755E5"/>
    <w:rsid w:val="00691E10"/>
    <w:rsid w:val="00693236"/>
    <w:rsid w:val="006948C7"/>
    <w:rsid w:val="006A0481"/>
    <w:rsid w:val="006B0897"/>
    <w:rsid w:val="006C197B"/>
    <w:rsid w:val="006C1B28"/>
    <w:rsid w:val="006C4711"/>
    <w:rsid w:val="006C4D99"/>
    <w:rsid w:val="006C653F"/>
    <w:rsid w:val="006C7F19"/>
    <w:rsid w:val="006D0A7B"/>
    <w:rsid w:val="006E1963"/>
    <w:rsid w:val="006E7E35"/>
    <w:rsid w:val="006F02E5"/>
    <w:rsid w:val="006F69E9"/>
    <w:rsid w:val="006F7DFC"/>
    <w:rsid w:val="00704AF2"/>
    <w:rsid w:val="00705E1A"/>
    <w:rsid w:val="007068D8"/>
    <w:rsid w:val="00710E68"/>
    <w:rsid w:val="00714BA0"/>
    <w:rsid w:val="00715A51"/>
    <w:rsid w:val="00722AA5"/>
    <w:rsid w:val="0072524F"/>
    <w:rsid w:val="007269B6"/>
    <w:rsid w:val="00726E7A"/>
    <w:rsid w:val="00727FB6"/>
    <w:rsid w:val="0073294A"/>
    <w:rsid w:val="00732CC2"/>
    <w:rsid w:val="00732E52"/>
    <w:rsid w:val="00733D5C"/>
    <w:rsid w:val="00735F30"/>
    <w:rsid w:val="00742EE1"/>
    <w:rsid w:val="007440B3"/>
    <w:rsid w:val="00751390"/>
    <w:rsid w:val="00751DBB"/>
    <w:rsid w:val="00752801"/>
    <w:rsid w:val="00784F62"/>
    <w:rsid w:val="00785118"/>
    <w:rsid w:val="00786BEB"/>
    <w:rsid w:val="0078707D"/>
    <w:rsid w:val="00790936"/>
    <w:rsid w:val="0079510A"/>
    <w:rsid w:val="007A472D"/>
    <w:rsid w:val="007A7582"/>
    <w:rsid w:val="007C08F8"/>
    <w:rsid w:val="007C77DD"/>
    <w:rsid w:val="007C7FD1"/>
    <w:rsid w:val="007D2469"/>
    <w:rsid w:val="007D46B5"/>
    <w:rsid w:val="007E3EA6"/>
    <w:rsid w:val="007E4C98"/>
    <w:rsid w:val="007E77C9"/>
    <w:rsid w:val="008042E1"/>
    <w:rsid w:val="00804D63"/>
    <w:rsid w:val="00805CF5"/>
    <w:rsid w:val="00806B9D"/>
    <w:rsid w:val="0081211E"/>
    <w:rsid w:val="0081260E"/>
    <w:rsid w:val="00812777"/>
    <w:rsid w:val="008132AD"/>
    <w:rsid w:val="00823226"/>
    <w:rsid w:val="00823BEF"/>
    <w:rsid w:val="0083710A"/>
    <w:rsid w:val="0084129E"/>
    <w:rsid w:val="00843390"/>
    <w:rsid w:val="00846373"/>
    <w:rsid w:val="008568AE"/>
    <w:rsid w:val="0085784B"/>
    <w:rsid w:val="00860590"/>
    <w:rsid w:val="008614E8"/>
    <w:rsid w:val="00867EDF"/>
    <w:rsid w:val="0087107D"/>
    <w:rsid w:val="00875D49"/>
    <w:rsid w:val="00875F0D"/>
    <w:rsid w:val="00877414"/>
    <w:rsid w:val="00894418"/>
    <w:rsid w:val="00895887"/>
    <w:rsid w:val="00895915"/>
    <w:rsid w:val="008972B6"/>
    <w:rsid w:val="008A03B7"/>
    <w:rsid w:val="008A2642"/>
    <w:rsid w:val="008A2845"/>
    <w:rsid w:val="008A3B29"/>
    <w:rsid w:val="008B1FD9"/>
    <w:rsid w:val="008B712C"/>
    <w:rsid w:val="008C2197"/>
    <w:rsid w:val="008C3493"/>
    <w:rsid w:val="008C74EB"/>
    <w:rsid w:val="008D11A6"/>
    <w:rsid w:val="008D1F7B"/>
    <w:rsid w:val="008D2D64"/>
    <w:rsid w:val="008D5411"/>
    <w:rsid w:val="008F0418"/>
    <w:rsid w:val="008F4EF6"/>
    <w:rsid w:val="008F6E6D"/>
    <w:rsid w:val="00900D9D"/>
    <w:rsid w:val="00900EC1"/>
    <w:rsid w:val="00902E07"/>
    <w:rsid w:val="009039EC"/>
    <w:rsid w:val="00907E15"/>
    <w:rsid w:val="00915690"/>
    <w:rsid w:val="009166F3"/>
    <w:rsid w:val="00916F78"/>
    <w:rsid w:val="00926DC8"/>
    <w:rsid w:val="00930B5A"/>
    <w:rsid w:val="00934A51"/>
    <w:rsid w:val="00944185"/>
    <w:rsid w:val="009466C0"/>
    <w:rsid w:val="00947783"/>
    <w:rsid w:val="0095306F"/>
    <w:rsid w:val="009545AD"/>
    <w:rsid w:val="00954FE8"/>
    <w:rsid w:val="009726E0"/>
    <w:rsid w:val="0097386B"/>
    <w:rsid w:val="00975003"/>
    <w:rsid w:val="009814C2"/>
    <w:rsid w:val="00981D3D"/>
    <w:rsid w:val="00990822"/>
    <w:rsid w:val="0099304B"/>
    <w:rsid w:val="00994E22"/>
    <w:rsid w:val="009B0712"/>
    <w:rsid w:val="009B54F6"/>
    <w:rsid w:val="009B589A"/>
    <w:rsid w:val="009C01D1"/>
    <w:rsid w:val="009C4A31"/>
    <w:rsid w:val="009D1659"/>
    <w:rsid w:val="009D7770"/>
    <w:rsid w:val="009E08C8"/>
    <w:rsid w:val="009E0B9A"/>
    <w:rsid w:val="009E13FA"/>
    <w:rsid w:val="009E2F1E"/>
    <w:rsid w:val="009F18D7"/>
    <w:rsid w:val="009F2F91"/>
    <w:rsid w:val="009F6FD2"/>
    <w:rsid w:val="009F78D3"/>
    <w:rsid w:val="00A360DB"/>
    <w:rsid w:val="00A372EA"/>
    <w:rsid w:val="00A407DB"/>
    <w:rsid w:val="00A4371D"/>
    <w:rsid w:val="00A4732A"/>
    <w:rsid w:val="00A6045E"/>
    <w:rsid w:val="00A6397B"/>
    <w:rsid w:val="00A7166B"/>
    <w:rsid w:val="00A73F2B"/>
    <w:rsid w:val="00A76F98"/>
    <w:rsid w:val="00A83BA0"/>
    <w:rsid w:val="00A84F18"/>
    <w:rsid w:val="00A85045"/>
    <w:rsid w:val="00A92551"/>
    <w:rsid w:val="00A931F5"/>
    <w:rsid w:val="00A94D88"/>
    <w:rsid w:val="00A95738"/>
    <w:rsid w:val="00A97B7D"/>
    <w:rsid w:val="00AA2244"/>
    <w:rsid w:val="00AA2581"/>
    <w:rsid w:val="00AA4825"/>
    <w:rsid w:val="00AA7D6E"/>
    <w:rsid w:val="00AB33E1"/>
    <w:rsid w:val="00AC4607"/>
    <w:rsid w:val="00AD1646"/>
    <w:rsid w:val="00AE44ED"/>
    <w:rsid w:val="00AE753B"/>
    <w:rsid w:val="00AF038B"/>
    <w:rsid w:val="00AF4837"/>
    <w:rsid w:val="00B1175E"/>
    <w:rsid w:val="00B26045"/>
    <w:rsid w:val="00B404DA"/>
    <w:rsid w:val="00B42AEA"/>
    <w:rsid w:val="00B42F6B"/>
    <w:rsid w:val="00B44C55"/>
    <w:rsid w:val="00B46A95"/>
    <w:rsid w:val="00B544C2"/>
    <w:rsid w:val="00B5566F"/>
    <w:rsid w:val="00B562DA"/>
    <w:rsid w:val="00B64CFB"/>
    <w:rsid w:val="00B70CC4"/>
    <w:rsid w:val="00B71EDF"/>
    <w:rsid w:val="00B80563"/>
    <w:rsid w:val="00B9453E"/>
    <w:rsid w:val="00B945F8"/>
    <w:rsid w:val="00B96EF8"/>
    <w:rsid w:val="00B97843"/>
    <w:rsid w:val="00BA0798"/>
    <w:rsid w:val="00BA1916"/>
    <w:rsid w:val="00BA5B9E"/>
    <w:rsid w:val="00BB02DE"/>
    <w:rsid w:val="00BB371A"/>
    <w:rsid w:val="00BB65EC"/>
    <w:rsid w:val="00BC1A1E"/>
    <w:rsid w:val="00BC3731"/>
    <w:rsid w:val="00BC5A95"/>
    <w:rsid w:val="00BD27D0"/>
    <w:rsid w:val="00BD79F8"/>
    <w:rsid w:val="00BD7B25"/>
    <w:rsid w:val="00BE0CF5"/>
    <w:rsid w:val="00BE1AFF"/>
    <w:rsid w:val="00BE22FE"/>
    <w:rsid w:val="00BF31ED"/>
    <w:rsid w:val="00BF4C6D"/>
    <w:rsid w:val="00BF5387"/>
    <w:rsid w:val="00BF74E9"/>
    <w:rsid w:val="00C247CB"/>
    <w:rsid w:val="00C35466"/>
    <w:rsid w:val="00C360BD"/>
    <w:rsid w:val="00C45548"/>
    <w:rsid w:val="00C473DD"/>
    <w:rsid w:val="00C476E1"/>
    <w:rsid w:val="00C5292F"/>
    <w:rsid w:val="00C52E77"/>
    <w:rsid w:val="00C566B3"/>
    <w:rsid w:val="00C65249"/>
    <w:rsid w:val="00C67B32"/>
    <w:rsid w:val="00C729E0"/>
    <w:rsid w:val="00C75C83"/>
    <w:rsid w:val="00C76056"/>
    <w:rsid w:val="00C8115F"/>
    <w:rsid w:val="00C8181C"/>
    <w:rsid w:val="00CB0C1D"/>
    <w:rsid w:val="00CB6F71"/>
    <w:rsid w:val="00CC41C3"/>
    <w:rsid w:val="00CC5AA2"/>
    <w:rsid w:val="00CC721A"/>
    <w:rsid w:val="00CD0963"/>
    <w:rsid w:val="00CE2158"/>
    <w:rsid w:val="00CE255B"/>
    <w:rsid w:val="00CE3D42"/>
    <w:rsid w:val="00CE53E6"/>
    <w:rsid w:val="00CF6131"/>
    <w:rsid w:val="00CF7BDE"/>
    <w:rsid w:val="00D05CBF"/>
    <w:rsid w:val="00D06EAA"/>
    <w:rsid w:val="00D104D1"/>
    <w:rsid w:val="00D13A16"/>
    <w:rsid w:val="00D17C77"/>
    <w:rsid w:val="00D21293"/>
    <w:rsid w:val="00D2508B"/>
    <w:rsid w:val="00D36733"/>
    <w:rsid w:val="00D42FFD"/>
    <w:rsid w:val="00D43370"/>
    <w:rsid w:val="00D458C2"/>
    <w:rsid w:val="00D471B5"/>
    <w:rsid w:val="00D521D7"/>
    <w:rsid w:val="00D563C4"/>
    <w:rsid w:val="00D56479"/>
    <w:rsid w:val="00D571DB"/>
    <w:rsid w:val="00D6774D"/>
    <w:rsid w:val="00D703CB"/>
    <w:rsid w:val="00D73574"/>
    <w:rsid w:val="00D75191"/>
    <w:rsid w:val="00D771E5"/>
    <w:rsid w:val="00D80929"/>
    <w:rsid w:val="00D85254"/>
    <w:rsid w:val="00D85835"/>
    <w:rsid w:val="00D91C4B"/>
    <w:rsid w:val="00DA6DE1"/>
    <w:rsid w:val="00DB070A"/>
    <w:rsid w:val="00DC4FFC"/>
    <w:rsid w:val="00DC6F11"/>
    <w:rsid w:val="00DD5C4D"/>
    <w:rsid w:val="00DF6BE4"/>
    <w:rsid w:val="00E0097F"/>
    <w:rsid w:val="00E02460"/>
    <w:rsid w:val="00E157BC"/>
    <w:rsid w:val="00E50D55"/>
    <w:rsid w:val="00E50E4A"/>
    <w:rsid w:val="00E5200C"/>
    <w:rsid w:val="00E56C60"/>
    <w:rsid w:val="00E80BC2"/>
    <w:rsid w:val="00E91F5F"/>
    <w:rsid w:val="00EA11CB"/>
    <w:rsid w:val="00EA71A5"/>
    <w:rsid w:val="00EB12DD"/>
    <w:rsid w:val="00EB153E"/>
    <w:rsid w:val="00EB57EB"/>
    <w:rsid w:val="00EC1DE7"/>
    <w:rsid w:val="00EC5D9B"/>
    <w:rsid w:val="00EC68DB"/>
    <w:rsid w:val="00ED1292"/>
    <w:rsid w:val="00ED2249"/>
    <w:rsid w:val="00ED50CF"/>
    <w:rsid w:val="00EE07E8"/>
    <w:rsid w:val="00F003CF"/>
    <w:rsid w:val="00F1152F"/>
    <w:rsid w:val="00F13BE3"/>
    <w:rsid w:val="00F207B3"/>
    <w:rsid w:val="00F21018"/>
    <w:rsid w:val="00F23654"/>
    <w:rsid w:val="00F36BA5"/>
    <w:rsid w:val="00F37D49"/>
    <w:rsid w:val="00F451B9"/>
    <w:rsid w:val="00F520CC"/>
    <w:rsid w:val="00F52BE6"/>
    <w:rsid w:val="00F5486B"/>
    <w:rsid w:val="00F658E0"/>
    <w:rsid w:val="00F675BA"/>
    <w:rsid w:val="00F81D98"/>
    <w:rsid w:val="00F859B7"/>
    <w:rsid w:val="00F8668A"/>
    <w:rsid w:val="00FA14AE"/>
    <w:rsid w:val="00FA2C91"/>
    <w:rsid w:val="00FA634E"/>
    <w:rsid w:val="00FB25DE"/>
    <w:rsid w:val="00FC1C44"/>
    <w:rsid w:val="00FC1CC4"/>
    <w:rsid w:val="00FD00EC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292D1"/>
  <w15:chartTrackingRefBased/>
  <w15:docId w15:val="{F821B171-0CF7-47EC-AE27-F5E15041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938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5F2BAF"/>
  </w:style>
  <w:style w:type="paragraph" w:styleId="BalloonText">
    <w:name w:val="Balloon Text"/>
    <w:basedOn w:val="Normal"/>
    <w:link w:val="BalloonTextChar"/>
    <w:rsid w:val="00413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13A2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4062C2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character" w:styleId="CommentReference">
    <w:name w:val="annotation reference"/>
    <w:rsid w:val="00635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5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5938"/>
  </w:style>
  <w:style w:type="paragraph" w:styleId="CommentSubject">
    <w:name w:val="annotation subject"/>
    <w:basedOn w:val="CommentText"/>
    <w:next w:val="CommentText"/>
    <w:link w:val="CommentSubjectChar"/>
    <w:rsid w:val="00635938"/>
    <w:rPr>
      <w:b/>
      <w:bCs/>
    </w:rPr>
  </w:style>
  <w:style w:type="character" w:customStyle="1" w:styleId="CommentSubjectChar">
    <w:name w:val="Comment Subject Char"/>
    <w:link w:val="CommentSubject"/>
    <w:rsid w:val="00635938"/>
    <w:rPr>
      <w:b/>
      <w:bCs/>
    </w:rPr>
  </w:style>
  <w:style w:type="character" w:customStyle="1" w:styleId="Heading2Char">
    <w:name w:val="Heading 2 Char"/>
    <w:link w:val="Heading2"/>
    <w:rsid w:val="00790936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9E2F1E"/>
    <w:rPr>
      <w:sz w:val="24"/>
      <w:szCs w:val="24"/>
    </w:rPr>
  </w:style>
  <w:style w:type="character" w:customStyle="1" w:styleId="content-id">
    <w:name w:val="content-id"/>
    <w:basedOn w:val="DefaultParagraphFont"/>
    <w:rsid w:val="006B0897"/>
  </w:style>
  <w:style w:type="paragraph" w:customStyle="1" w:styleId="style-scope">
    <w:name w:val="style-scope"/>
    <w:basedOn w:val="Normal"/>
    <w:rsid w:val="006B0897"/>
    <w:pPr>
      <w:spacing w:before="100" w:beforeAutospacing="1" w:after="100" w:afterAutospacing="1"/>
    </w:pPr>
  </w:style>
  <w:style w:type="character" w:styleId="UnresolvedMention">
    <w:name w:val="Unresolved Mention"/>
    <w:uiPriority w:val="99"/>
    <w:unhideWhenUsed/>
    <w:rsid w:val="00CF7BDE"/>
    <w:rPr>
      <w:color w:val="605E5C"/>
      <w:shd w:val="clear" w:color="auto" w:fill="E1DFDD"/>
    </w:rPr>
  </w:style>
  <w:style w:type="character" w:styleId="Mention">
    <w:name w:val="Mention"/>
    <w:uiPriority w:val="99"/>
    <w:unhideWhenUsed/>
    <w:rsid w:val="00CF7BD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1850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9398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649">
                  <w:marLeft w:val="2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033">
              <w:marLeft w:val="2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../CMS-2-027255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../TSRC-PROD-016401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../CMS-2-027255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../CMS-2-017428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../CMS-2-027254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policy.corp.cvscaremark.com/pnp/faces/SecureDocRenderer?documentId=CALL-0048&amp;uid=pnpdev1" TargetMode="Externa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13EBC4E9-5059-4DF5-9536-DA8BC32CF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5DCE6C-D0A0-4BDE-863D-57DC8D580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9D090-7962-4EEC-A6DA-446FB83E9B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E84E6-BBED-4C98-8006-25888C3A508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32</TotalTime>
  <Pages>1</Pages>
  <Words>1349</Words>
  <Characters>7691</Characters>
  <Application>Microsoft Office Word</Application>
  <DocSecurity>2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9022</CharactersWithSpaces>
  <SharedDoc>false</SharedDoc>
  <HLinks>
    <vt:vector size="132" baseType="variant">
      <vt:variant>
        <vt:i4>262192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3735657</vt:i4>
      </vt:variant>
      <vt:variant>
        <vt:i4>87</vt:i4>
      </vt:variant>
      <vt:variant>
        <vt:i4>0</vt:i4>
      </vt:variant>
      <vt:variant>
        <vt:i4>5</vt:i4>
      </vt:variant>
      <vt:variant>
        <vt:lpwstr>../CMS-2-017428</vt:lpwstr>
      </vt:variant>
      <vt:variant>
        <vt:lpwstr/>
      </vt:variant>
      <vt:variant>
        <vt:i4>1310811</vt:i4>
      </vt:variant>
      <vt:variant>
        <vt:i4>84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1703954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!/view?docid=46478c4b-48ae-4502-b66c-222e1ca37ce3</vt:lpwstr>
      </vt:variant>
      <vt:variant>
        <vt:i4>4063340</vt:i4>
      </vt:variant>
      <vt:variant>
        <vt:i4>78</vt:i4>
      </vt:variant>
      <vt:variant>
        <vt:i4>0</vt:i4>
      </vt:variant>
      <vt:variant>
        <vt:i4>5</vt:i4>
      </vt:variant>
      <vt:variant>
        <vt:lpwstr>../CMS-2-027255</vt:lpwstr>
      </vt:variant>
      <vt:variant>
        <vt:lpwstr/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2424870</vt:i4>
      </vt:variant>
      <vt:variant>
        <vt:i4>48</vt:i4>
      </vt:variant>
      <vt:variant>
        <vt:i4>0</vt:i4>
      </vt:variant>
      <vt:variant>
        <vt:i4>5</vt:i4>
      </vt:variant>
      <vt:variant>
        <vt:lpwstr>../TSRC-PROD-016401</vt:lpwstr>
      </vt:variant>
      <vt:variant>
        <vt:lpwstr/>
      </vt:variant>
      <vt:variant>
        <vt:i4>2031680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!/view?docid=65f95e1c-f756-4b18-8cfe-6de9af34db4d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4063340</vt:i4>
      </vt:variant>
      <vt:variant>
        <vt:i4>36</vt:i4>
      </vt:variant>
      <vt:variant>
        <vt:i4>0</vt:i4>
      </vt:variant>
      <vt:variant>
        <vt:i4>5</vt:i4>
      </vt:variant>
      <vt:variant>
        <vt:lpwstr>../CMS-2-027255</vt:lpwstr>
      </vt:variant>
      <vt:variant>
        <vt:lpwstr/>
      </vt:variant>
      <vt:variant>
        <vt:i4>4063340</vt:i4>
      </vt:variant>
      <vt:variant>
        <vt:i4>33</vt:i4>
      </vt:variant>
      <vt:variant>
        <vt:i4>0</vt:i4>
      </vt:variant>
      <vt:variant>
        <vt:i4>5</vt:i4>
      </vt:variant>
      <vt:variant>
        <vt:lpwstr>../CMS-2-027254</vt:lpwstr>
      </vt:variant>
      <vt:variant>
        <vt:lpwstr/>
      </vt:variant>
      <vt:variant>
        <vt:i4>1703954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!/view?docid=46478c4b-48ae-4502-b66c-222e1ca37ce3</vt:lpwstr>
      </vt:variant>
      <vt:variant>
        <vt:i4>5111826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!/view?docid=02642d70-f4cf-4582-b72c-cb85c3a11776</vt:lpwstr>
      </vt:variant>
      <vt:variant>
        <vt:i4>1376281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_Toc151049985</vt:lpwstr>
      </vt:variant>
      <vt:variant>
        <vt:i4>1245245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_Toc151049984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_Toc151049983</vt:lpwstr>
      </vt:variant>
      <vt:variant>
        <vt:i4>1245245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_Toc151049981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_Toc151049980</vt:lpwstr>
      </vt:variant>
      <vt:variant>
        <vt:i4>393325</vt:i4>
      </vt:variant>
      <vt:variant>
        <vt:i4>0</vt:i4>
      </vt:variant>
      <vt:variant>
        <vt:i4>0</vt:i4>
      </vt:variant>
      <vt:variant>
        <vt:i4>5</vt:i4>
      </vt:variant>
      <vt:variant>
        <vt:lpwstr>mailto:Janelle.Murrell@CVSHealth.com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2007-01-03T17:56:00Z</cp:lastPrinted>
  <dcterms:created xsi:type="dcterms:W3CDTF">2025-07-03T18:02:00Z</dcterms:created>
  <dcterms:modified xsi:type="dcterms:W3CDTF">2025-07-03T18:08:00Z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2022-02-15T13:57:14Z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4ccf985d-56be-43b5-8b3d-6e7358801c36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