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B30C" w14:textId="284A0BA5" w:rsidR="005F3D7A" w:rsidRDefault="00DE30AE" w:rsidP="0083052C">
      <w:pPr>
        <w:pStyle w:val="Heading1"/>
        <w:spacing w:after="0"/>
        <w:rPr>
          <w:rFonts w:ascii="Verdana" w:hAnsi="Verdana"/>
          <w:color w:val="000000"/>
          <w:sz w:val="24"/>
          <w:szCs w:val="24"/>
        </w:rPr>
      </w:pPr>
      <w:bookmarkStart w:id="0" w:name="_MED_D_–"/>
      <w:bookmarkStart w:id="1" w:name="_top"/>
      <w:bookmarkStart w:id="2" w:name="_Toc358485132"/>
      <w:bookmarkStart w:id="3" w:name="_Toc421046425"/>
      <w:bookmarkStart w:id="4" w:name="_Toc421684204"/>
      <w:bookmarkStart w:id="5" w:name="_Toc473275043"/>
      <w:bookmarkStart w:id="6" w:name="_Toc473275286"/>
      <w:bookmarkStart w:id="7" w:name="_Toc481489262"/>
      <w:bookmarkEnd w:id="0"/>
      <w:bookmarkEnd w:id="1"/>
      <w:r>
        <w:rPr>
          <w:rFonts w:ascii="Verdana" w:hAnsi="Verdana"/>
          <w:color w:val="000000"/>
          <w:sz w:val="36"/>
          <w:szCs w:val="36"/>
        </w:rPr>
        <w:t xml:space="preserve">Compass </w:t>
      </w:r>
      <w:r w:rsidR="00806D92">
        <w:rPr>
          <w:rFonts w:ascii="Verdana" w:hAnsi="Verdana"/>
          <w:color w:val="000000"/>
          <w:sz w:val="36"/>
          <w:szCs w:val="36"/>
        </w:rPr>
        <w:t>MED</w:t>
      </w:r>
      <w:r w:rsidR="003F12A2">
        <w:rPr>
          <w:rFonts w:ascii="Verdana" w:hAnsi="Verdana"/>
          <w:color w:val="000000"/>
          <w:sz w:val="36"/>
          <w:szCs w:val="36"/>
        </w:rPr>
        <w:t xml:space="preserve"> </w:t>
      </w:r>
      <w:r w:rsidR="00806D92">
        <w:rPr>
          <w:rFonts w:ascii="Verdana" w:hAnsi="Verdana"/>
          <w:color w:val="000000"/>
          <w:sz w:val="36"/>
          <w:szCs w:val="36"/>
        </w:rPr>
        <w:t>D</w:t>
      </w:r>
      <w:r w:rsidR="003F12A2">
        <w:rPr>
          <w:rFonts w:ascii="Verdana" w:hAnsi="Verdana"/>
          <w:color w:val="000000"/>
          <w:sz w:val="36"/>
          <w:szCs w:val="36"/>
        </w:rPr>
        <w:t xml:space="preserve"> </w:t>
      </w:r>
      <w:r w:rsidR="00770627">
        <w:rPr>
          <w:rFonts w:ascii="Verdana" w:hAnsi="Verdana"/>
          <w:color w:val="000000"/>
          <w:sz w:val="36"/>
          <w:szCs w:val="36"/>
        </w:rPr>
        <w:t>-</w:t>
      </w:r>
      <w:r w:rsidR="003F12A2">
        <w:rPr>
          <w:rFonts w:ascii="Verdana" w:hAnsi="Verdana"/>
          <w:color w:val="000000"/>
          <w:sz w:val="36"/>
          <w:szCs w:val="36"/>
        </w:rPr>
        <w:t xml:space="preserve"> </w:t>
      </w:r>
      <w:r w:rsidR="00EF7E69">
        <w:rPr>
          <w:rFonts w:ascii="Verdana" w:hAnsi="Verdana"/>
          <w:color w:val="000000"/>
          <w:sz w:val="36"/>
          <w:szCs w:val="36"/>
        </w:rPr>
        <w:t>Dual</w:t>
      </w:r>
      <w:r w:rsidR="003F12A2">
        <w:rPr>
          <w:rFonts w:ascii="Verdana" w:hAnsi="Verdana"/>
          <w:color w:val="000000"/>
          <w:sz w:val="36"/>
          <w:szCs w:val="36"/>
        </w:rPr>
        <w:t xml:space="preserve"> </w:t>
      </w:r>
      <w:r w:rsidR="00EF7E69">
        <w:rPr>
          <w:rFonts w:ascii="Verdana" w:hAnsi="Verdana"/>
          <w:color w:val="000000"/>
          <w:sz w:val="36"/>
          <w:szCs w:val="36"/>
        </w:rPr>
        <w:t>Demo/MMP/DSNP</w:t>
      </w:r>
      <w:r w:rsidR="003F12A2">
        <w:rPr>
          <w:rFonts w:ascii="Verdana" w:hAnsi="Verdana"/>
          <w:color w:val="000000"/>
          <w:sz w:val="36"/>
          <w:szCs w:val="36"/>
        </w:rPr>
        <w:t xml:space="preserve"> </w:t>
      </w:r>
      <w:r w:rsidR="00EF7E69">
        <w:rPr>
          <w:rFonts w:ascii="Verdana" w:hAnsi="Verdana"/>
          <w:color w:val="000000"/>
          <w:sz w:val="36"/>
          <w:szCs w:val="36"/>
        </w:rPr>
        <w:t>-</w:t>
      </w:r>
      <w:r w:rsidR="003F12A2">
        <w:rPr>
          <w:rFonts w:ascii="Verdana" w:hAnsi="Verdana"/>
          <w:color w:val="000000"/>
          <w:sz w:val="36"/>
          <w:szCs w:val="36"/>
        </w:rPr>
        <w:t xml:space="preserve"> </w:t>
      </w:r>
      <w:r w:rsidR="00806D92" w:rsidRPr="00FE2D94">
        <w:rPr>
          <w:rFonts w:ascii="Verdana" w:hAnsi="Verdana"/>
          <w:color w:val="000000"/>
          <w:sz w:val="36"/>
          <w:szCs w:val="36"/>
        </w:rPr>
        <w:t>Single</w:t>
      </w:r>
      <w:r w:rsidR="003F12A2">
        <w:rPr>
          <w:rFonts w:ascii="Verdana" w:hAnsi="Verdana"/>
          <w:color w:val="000000"/>
          <w:sz w:val="36"/>
          <w:szCs w:val="36"/>
        </w:rPr>
        <w:t xml:space="preserve"> </w:t>
      </w:r>
      <w:r w:rsidR="00806D92" w:rsidRPr="00FE2D94">
        <w:rPr>
          <w:rFonts w:ascii="Verdana" w:hAnsi="Verdana"/>
          <w:color w:val="000000"/>
          <w:sz w:val="36"/>
          <w:szCs w:val="36"/>
        </w:rPr>
        <w:t>Transaction</w:t>
      </w:r>
      <w:r w:rsidR="003F12A2">
        <w:rPr>
          <w:rFonts w:ascii="Verdana" w:hAnsi="Verdana"/>
          <w:color w:val="000000"/>
          <w:sz w:val="36"/>
          <w:szCs w:val="36"/>
        </w:rPr>
        <w:t xml:space="preserve"> </w:t>
      </w:r>
      <w:r w:rsidR="00806D92" w:rsidRPr="00FE2D94">
        <w:rPr>
          <w:rFonts w:ascii="Verdana" w:hAnsi="Verdana"/>
          <w:color w:val="000000"/>
          <w:sz w:val="36"/>
          <w:szCs w:val="36"/>
        </w:rPr>
        <w:t>Coordination</w:t>
      </w:r>
      <w:r w:rsidR="003F12A2">
        <w:rPr>
          <w:rFonts w:ascii="Verdana" w:hAnsi="Verdana"/>
          <w:color w:val="000000"/>
          <w:sz w:val="36"/>
          <w:szCs w:val="36"/>
        </w:rPr>
        <w:t xml:space="preserve"> </w:t>
      </w:r>
      <w:r w:rsidR="00806D92" w:rsidRPr="00FE2D94">
        <w:rPr>
          <w:rFonts w:ascii="Verdana" w:hAnsi="Verdana"/>
          <w:color w:val="000000"/>
          <w:sz w:val="36"/>
          <w:szCs w:val="36"/>
        </w:rPr>
        <w:t>of</w:t>
      </w:r>
      <w:r w:rsidR="003F12A2">
        <w:rPr>
          <w:rFonts w:ascii="Verdana" w:hAnsi="Verdana"/>
          <w:color w:val="000000"/>
          <w:sz w:val="36"/>
          <w:szCs w:val="36"/>
        </w:rPr>
        <w:t xml:space="preserve"> </w:t>
      </w:r>
      <w:r w:rsidR="00806D92" w:rsidRPr="00FE2D94">
        <w:rPr>
          <w:rFonts w:ascii="Verdana" w:hAnsi="Verdana"/>
          <w:color w:val="000000"/>
          <w:sz w:val="36"/>
          <w:szCs w:val="36"/>
        </w:rPr>
        <w:t>Benefits</w:t>
      </w:r>
      <w:r w:rsidR="003F12A2">
        <w:rPr>
          <w:rFonts w:ascii="Verdana" w:hAnsi="Verdana"/>
          <w:color w:val="000000"/>
          <w:sz w:val="36"/>
          <w:szCs w:val="36"/>
        </w:rPr>
        <w:t xml:space="preserve"> </w:t>
      </w:r>
      <w:r w:rsidR="00806D92" w:rsidRPr="00FE2D94">
        <w:rPr>
          <w:rFonts w:ascii="Verdana" w:hAnsi="Verdana"/>
          <w:color w:val="000000"/>
          <w:sz w:val="36"/>
          <w:szCs w:val="36"/>
        </w:rPr>
        <w:t>(STCOB)</w:t>
      </w:r>
      <w:r w:rsidR="003F12A2">
        <w:rPr>
          <w:rFonts w:ascii="Verdana" w:hAnsi="Verdana"/>
          <w:color w:val="000000"/>
          <w:sz w:val="36"/>
          <w:szCs w:val="36"/>
        </w:rPr>
        <w:t xml:space="preserve"> </w:t>
      </w:r>
      <w:r w:rsidR="00806D92">
        <w:rPr>
          <w:rFonts w:ascii="Verdana" w:hAnsi="Verdana"/>
          <w:color w:val="000000"/>
          <w:sz w:val="36"/>
          <w:szCs w:val="36"/>
        </w:rPr>
        <w:t>Tips</w:t>
      </w:r>
      <w:r w:rsidR="003F12A2">
        <w:rPr>
          <w:rFonts w:ascii="Verdana" w:hAnsi="Verdana"/>
          <w:color w:val="000000"/>
          <w:sz w:val="36"/>
          <w:szCs w:val="36"/>
        </w:rPr>
        <w:t xml:space="preserve"> </w:t>
      </w:r>
      <w:r w:rsidR="00806D92">
        <w:rPr>
          <w:rFonts w:ascii="Verdana" w:hAnsi="Verdana"/>
          <w:color w:val="000000"/>
          <w:sz w:val="36"/>
          <w:szCs w:val="36"/>
        </w:rPr>
        <w:t>and</w:t>
      </w:r>
      <w:r w:rsidR="003F12A2">
        <w:rPr>
          <w:rFonts w:ascii="Verdana" w:hAnsi="Verdana"/>
          <w:color w:val="000000"/>
          <w:sz w:val="36"/>
          <w:szCs w:val="36"/>
        </w:rPr>
        <w:t xml:space="preserve"> </w:t>
      </w:r>
      <w:r w:rsidR="00806D92">
        <w:rPr>
          <w:rFonts w:ascii="Verdana" w:hAnsi="Verdana"/>
          <w:color w:val="000000"/>
          <w:sz w:val="36"/>
          <w:szCs w:val="36"/>
        </w:rPr>
        <w:t>Reminders</w:t>
      </w:r>
      <w:bookmarkEnd w:id="2"/>
      <w:bookmarkEnd w:id="3"/>
      <w:bookmarkEnd w:id="4"/>
      <w:bookmarkEnd w:id="5"/>
      <w:bookmarkEnd w:id="6"/>
      <w:bookmarkEnd w:id="7"/>
    </w:p>
    <w:p w14:paraId="45DCE555" w14:textId="77777777" w:rsidR="009D7E0B" w:rsidRDefault="009D7E0B" w:rsidP="00E920C7">
      <w:pPr>
        <w:pStyle w:val="TOC1"/>
      </w:pPr>
    </w:p>
    <w:p w14:paraId="6BDE6F1A" w14:textId="28AB11F6" w:rsidR="009D7E0B" w:rsidRDefault="0083052C" w:rsidP="00E920C7">
      <w:pPr>
        <w:pStyle w:val="TOC1"/>
        <w:rPr>
          <w:rFonts w:asciiTheme="minorHAnsi" w:eastAsiaTheme="minorEastAsia" w:hAnsiTheme="minorHAnsi" w:cstheme="minorBidi"/>
          <w:noProof/>
          <w:sz w:val="22"/>
          <w:szCs w:val="22"/>
        </w:rPr>
      </w:pPr>
      <w:r>
        <w:rPr>
          <w:rFonts w:cs="Arial"/>
          <w:b/>
          <w:color w:val="FF9900"/>
          <w:sz w:val="32"/>
          <w:szCs w:val="20"/>
        </w:rPr>
        <w:fldChar w:fldCharType="begin"/>
      </w:r>
      <w:r>
        <w:instrText xml:space="preserve"> TOC \n \p " " \h \z \u \t "Heading 2,1,Heading 3,2" </w:instrText>
      </w:r>
      <w:r>
        <w:rPr>
          <w:rFonts w:cs="Arial"/>
          <w:b/>
          <w:color w:val="FF9900"/>
          <w:sz w:val="32"/>
          <w:szCs w:val="20"/>
        </w:rPr>
        <w:fldChar w:fldCharType="separate"/>
      </w:r>
      <w:hyperlink w:anchor="_Toc157421732" w:history="1">
        <w:r w:rsidR="009D7E0B" w:rsidRPr="00884799">
          <w:rPr>
            <w:rStyle w:val="Hyperlink"/>
            <w:rFonts w:ascii="Verdana" w:hAnsi="Verdana"/>
            <w:noProof/>
          </w:rPr>
          <w:t>Overview</w:t>
        </w:r>
      </w:hyperlink>
    </w:p>
    <w:p w14:paraId="4F591F06" w14:textId="32D9D965" w:rsidR="009D7E0B" w:rsidRDefault="00000000" w:rsidP="00E920C7">
      <w:pPr>
        <w:pStyle w:val="TOC1"/>
        <w:rPr>
          <w:rFonts w:asciiTheme="minorHAnsi" w:eastAsiaTheme="minorEastAsia" w:hAnsiTheme="minorHAnsi" w:cstheme="minorBidi"/>
          <w:noProof/>
          <w:sz w:val="22"/>
          <w:szCs w:val="22"/>
        </w:rPr>
      </w:pPr>
      <w:hyperlink w:anchor="_Toc157421733" w:history="1">
        <w:r w:rsidR="009D7E0B" w:rsidRPr="00884799">
          <w:rPr>
            <w:rStyle w:val="Hyperlink"/>
            <w:rFonts w:ascii="Verdana" w:hAnsi="Verdana"/>
            <w:noProof/>
          </w:rPr>
          <w:t>How to Identify a Dual Demo/MMP/DSNIP Plan in Compass</w:t>
        </w:r>
      </w:hyperlink>
    </w:p>
    <w:p w14:paraId="29080D36" w14:textId="44504773" w:rsidR="009D7E0B" w:rsidRDefault="00000000" w:rsidP="00E920C7">
      <w:pPr>
        <w:pStyle w:val="TOC1"/>
        <w:rPr>
          <w:rFonts w:asciiTheme="minorHAnsi" w:eastAsiaTheme="minorEastAsia" w:hAnsiTheme="minorHAnsi" w:cstheme="minorBidi"/>
          <w:noProof/>
          <w:sz w:val="22"/>
          <w:szCs w:val="22"/>
        </w:rPr>
      </w:pPr>
      <w:hyperlink w:anchor="_Toc157421734" w:history="1">
        <w:r w:rsidR="009D7E0B" w:rsidRPr="00884799">
          <w:rPr>
            <w:rStyle w:val="Hyperlink"/>
            <w:rFonts w:ascii="Verdana" w:hAnsi="Verdana"/>
            <w:noProof/>
          </w:rPr>
          <w:t>Tips and Reminders</w:t>
        </w:r>
      </w:hyperlink>
    </w:p>
    <w:p w14:paraId="34EF96E7" w14:textId="4D46B7B3" w:rsidR="009D7E0B" w:rsidRDefault="00000000" w:rsidP="00E920C7">
      <w:pPr>
        <w:pStyle w:val="TOC1"/>
        <w:rPr>
          <w:rFonts w:asciiTheme="minorHAnsi" w:eastAsiaTheme="minorEastAsia" w:hAnsiTheme="minorHAnsi" w:cstheme="minorBidi"/>
          <w:noProof/>
          <w:sz w:val="22"/>
          <w:szCs w:val="22"/>
        </w:rPr>
      </w:pPr>
      <w:hyperlink w:anchor="_Toc157421735" w:history="1">
        <w:r w:rsidR="009D7E0B" w:rsidRPr="00884799">
          <w:rPr>
            <w:rStyle w:val="Hyperlink"/>
            <w:rFonts w:ascii="Verdana" w:hAnsi="Verdana"/>
            <w:noProof/>
          </w:rPr>
          <w:t>Active Clients with Dual Demo/MMP/DSNIP Plans</w:t>
        </w:r>
      </w:hyperlink>
    </w:p>
    <w:p w14:paraId="667CDDEE" w14:textId="45F9EA3E" w:rsidR="009D7E0B" w:rsidRDefault="00000000" w:rsidP="00E920C7">
      <w:pPr>
        <w:pStyle w:val="TOC1"/>
        <w:rPr>
          <w:rFonts w:asciiTheme="minorHAnsi" w:eastAsiaTheme="minorEastAsia" w:hAnsiTheme="minorHAnsi" w:cstheme="minorBidi"/>
          <w:noProof/>
          <w:sz w:val="22"/>
          <w:szCs w:val="22"/>
        </w:rPr>
      </w:pPr>
      <w:hyperlink w:anchor="_Toc157421736" w:history="1">
        <w:r w:rsidR="009D7E0B" w:rsidRPr="00884799">
          <w:rPr>
            <w:rStyle w:val="Hyperlink"/>
            <w:rFonts w:ascii="Verdana" w:hAnsi="Verdana"/>
            <w:noProof/>
          </w:rPr>
          <w:t>Resolution Time</w:t>
        </w:r>
      </w:hyperlink>
    </w:p>
    <w:p w14:paraId="5F5ACE46" w14:textId="46C5D4F2" w:rsidR="009D7E0B" w:rsidRDefault="00000000" w:rsidP="00E920C7">
      <w:pPr>
        <w:pStyle w:val="TOC1"/>
        <w:rPr>
          <w:rFonts w:asciiTheme="minorHAnsi" w:eastAsiaTheme="minorEastAsia" w:hAnsiTheme="minorHAnsi" w:cstheme="minorBidi"/>
          <w:noProof/>
          <w:sz w:val="22"/>
          <w:szCs w:val="22"/>
        </w:rPr>
      </w:pPr>
      <w:hyperlink w:anchor="_Toc157421737" w:history="1">
        <w:r w:rsidR="009D7E0B" w:rsidRPr="00884799">
          <w:rPr>
            <w:rStyle w:val="Hyperlink"/>
            <w:rFonts w:ascii="Verdana" w:hAnsi="Verdana"/>
            <w:noProof/>
          </w:rPr>
          <w:t>Related Documents</w:t>
        </w:r>
      </w:hyperlink>
    </w:p>
    <w:p w14:paraId="17C6CE7F" w14:textId="39A832F7" w:rsidR="00D80E71" w:rsidRDefault="0083052C" w:rsidP="003F12A2">
      <w:r>
        <w:fldChar w:fldCharType="end"/>
      </w:r>
    </w:p>
    <w:p w14:paraId="4F64158E" w14:textId="77777777" w:rsidR="009D7E0B" w:rsidRPr="000D4BA2" w:rsidRDefault="009D7E0B" w:rsidP="003F12A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06D92" w:rsidRPr="00BF74E9" w14:paraId="501674A3" w14:textId="77777777" w:rsidTr="00CD7A4C">
        <w:tc>
          <w:tcPr>
            <w:tcW w:w="5000" w:type="pct"/>
            <w:shd w:val="clear" w:color="auto" w:fill="C0C0C0"/>
          </w:tcPr>
          <w:p w14:paraId="40EC9B81" w14:textId="77777777" w:rsidR="00806D92" w:rsidRPr="00586CD9" w:rsidRDefault="00806D92" w:rsidP="00586CD9">
            <w:pPr>
              <w:pStyle w:val="Heading2"/>
              <w:rPr>
                <w:rFonts w:ascii="Verdana" w:hAnsi="Verdana"/>
                <w:i w:val="0"/>
              </w:rPr>
            </w:pPr>
            <w:bookmarkStart w:id="8" w:name="_Overview"/>
            <w:bookmarkStart w:id="9" w:name="_Toc157421732"/>
            <w:bookmarkEnd w:id="8"/>
            <w:r w:rsidRPr="00586CD9">
              <w:rPr>
                <w:rFonts w:ascii="Verdana" w:hAnsi="Verdana"/>
                <w:i w:val="0"/>
              </w:rPr>
              <w:t>Overview</w:t>
            </w:r>
            <w:bookmarkEnd w:id="9"/>
          </w:p>
        </w:tc>
      </w:tr>
    </w:tbl>
    <w:p w14:paraId="088563B7" w14:textId="12E038A3" w:rsidR="000832A1" w:rsidRDefault="000832A1" w:rsidP="0015397A">
      <w:pPr>
        <w:rPr>
          <w:rFonts w:ascii="Verdana" w:hAnsi="Verdana" w:cs="MS Shell Dlg 2"/>
          <w:bCs/>
          <w:color w:val="000000"/>
        </w:rPr>
      </w:pPr>
      <w:bookmarkStart w:id="10" w:name="_Rationale"/>
      <w:bookmarkEnd w:id="10"/>
      <w:r w:rsidRPr="000832A1">
        <w:rPr>
          <w:rFonts w:ascii="Verdana" w:hAnsi="Verdana" w:cs="MS Shell Dlg 2"/>
          <w:color w:val="000000"/>
        </w:rPr>
        <w:t>MED</w:t>
      </w:r>
      <w:r w:rsidR="003F12A2">
        <w:rPr>
          <w:rFonts w:ascii="Verdana" w:hAnsi="Verdana" w:cs="MS Shell Dlg 2"/>
          <w:color w:val="000000"/>
        </w:rPr>
        <w:t xml:space="preserve"> </w:t>
      </w:r>
      <w:r w:rsidRPr="000832A1">
        <w:rPr>
          <w:rFonts w:ascii="Verdana" w:hAnsi="Verdana" w:cs="MS Shell Dlg 2"/>
          <w:color w:val="000000"/>
        </w:rPr>
        <w:t>D</w:t>
      </w:r>
      <w:r w:rsidR="003F12A2">
        <w:rPr>
          <w:rFonts w:ascii="Verdana" w:hAnsi="Verdana" w:cs="MS Shell Dlg 2"/>
          <w:color w:val="000000"/>
        </w:rPr>
        <w:t xml:space="preserve"> </w:t>
      </w:r>
      <w:r w:rsidRPr="000832A1">
        <w:rPr>
          <w:rFonts w:ascii="Verdana" w:hAnsi="Verdana" w:cs="MS Shell Dlg 2"/>
          <w:color w:val="000000"/>
        </w:rPr>
        <w:t>CCRs</w:t>
      </w:r>
      <w:r w:rsidR="003F12A2">
        <w:rPr>
          <w:rFonts w:ascii="Verdana" w:hAnsi="Verdana" w:cs="MS Shell Dlg 2"/>
          <w:color w:val="000000"/>
        </w:rPr>
        <w:t xml:space="preserve"> </w:t>
      </w:r>
      <w:r w:rsidRPr="000832A1">
        <w:rPr>
          <w:rFonts w:ascii="Verdana" w:hAnsi="Verdana" w:cs="MS Shell Dlg 2"/>
          <w:color w:val="000000"/>
        </w:rPr>
        <w:t>should</w:t>
      </w:r>
      <w:r w:rsidR="003F12A2">
        <w:rPr>
          <w:rFonts w:ascii="Verdana" w:hAnsi="Verdana" w:cs="MS Shell Dlg 2"/>
          <w:color w:val="000000"/>
        </w:rPr>
        <w:t xml:space="preserve"> </w:t>
      </w:r>
      <w:r w:rsidRPr="000832A1">
        <w:rPr>
          <w:rFonts w:ascii="Verdana" w:hAnsi="Verdana" w:cs="MS Shell Dlg 2"/>
          <w:color w:val="000000"/>
        </w:rPr>
        <w:t>utilize</w:t>
      </w:r>
      <w:r w:rsidR="003F12A2">
        <w:rPr>
          <w:rFonts w:ascii="Verdana" w:hAnsi="Verdana" w:cs="MS Shell Dlg 2"/>
          <w:color w:val="000000"/>
        </w:rPr>
        <w:t xml:space="preserve"> </w:t>
      </w:r>
      <w:r w:rsidR="00DE30AE">
        <w:rPr>
          <w:rFonts w:ascii="Verdana" w:hAnsi="Verdana" w:cs="MS Shell Dlg 2"/>
          <w:color w:val="000000"/>
        </w:rPr>
        <w:t>Compass</w:t>
      </w:r>
      <w:r w:rsidR="00814987">
        <w:rPr>
          <w:rFonts w:ascii="Verdana" w:hAnsi="Verdana" w:cs="MS Shell Dlg 2"/>
          <w:color w:val="000000"/>
        </w:rPr>
        <w:t>,</w:t>
      </w:r>
      <w:r w:rsidR="003F12A2">
        <w:rPr>
          <w:rFonts w:ascii="Verdana" w:hAnsi="Verdana" w:cs="MS Shell Dlg 2"/>
          <w:color w:val="000000"/>
        </w:rPr>
        <w:t xml:space="preserve"> </w:t>
      </w:r>
      <w:r w:rsidRPr="000832A1">
        <w:rPr>
          <w:rFonts w:ascii="Verdana" w:hAnsi="Verdana" w:cs="MS Shell Dlg 2"/>
          <w:color w:val="000000"/>
        </w:rPr>
        <w:t>CIF</w:t>
      </w:r>
      <w:r w:rsidR="00814987">
        <w:rPr>
          <w:rFonts w:ascii="Verdana" w:hAnsi="Verdana" w:cs="MS Shell Dlg 2"/>
          <w:color w:val="000000"/>
        </w:rPr>
        <w:t>,</w:t>
      </w:r>
      <w:r w:rsidR="003F12A2">
        <w:rPr>
          <w:rFonts w:ascii="Verdana" w:hAnsi="Verdana" w:cs="MS Shell Dlg 2"/>
          <w:color w:val="000000"/>
        </w:rPr>
        <w:t xml:space="preserve"> </w:t>
      </w:r>
      <w:r w:rsidRPr="000832A1">
        <w:rPr>
          <w:rFonts w:ascii="Verdana" w:hAnsi="Verdana" w:cs="MS Shell Dlg 2"/>
          <w:color w:val="000000"/>
        </w:rPr>
        <w:t>and</w:t>
      </w:r>
      <w:r w:rsidR="003F12A2">
        <w:rPr>
          <w:rFonts w:ascii="Verdana" w:hAnsi="Verdana" w:cs="MS Shell Dlg 2"/>
          <w:color w:val="000000"/>
        </w:rPr>
        <w:t xml:space="preserve"> </w:t>
      </w:r>
      <w:r w:rsidRPr="000832A1">
        <w:rPr>
          <w:rFonts w:ascii="Verdana" w:hAnsi="Verdana" w:cs="MS Shell Dlg 2"/>
          <w:color w:val="000000"/>
        </w:rPr>
        <w:t>this</w:t>
      </w:r>
      <w:r w:rsidR="003F12A2">
        <w:rPr>
          <w:rFonts w:ascii="Verdana" w:hAnsi="Verdana" w:cs="MS Shell Dlg 2"/>
          <w:color w:val="000000"/>
        </w:rPr>
        <w:t xml:space="preserve"> </w:t>
      </w:r>
      <w:r w:rsidRPr="000832A1">
        <w:rPr>
          <w:rFonts w:ascii="Verdana" w:hAnsi="Verdana" w:cs="MS Shell Dlg 2"/>
          <w:color w:val="000000"/>
        </w:rPr>
        <w:t>job</w:t>
      </w:r>
      <w:r w:rsidR="003F12A2">
        <w:rPr>
          <w:rFonts w:ascii="Verdana" w:hAnsi="Verdana" w:cs="MS Shell Dlg 2"/>
          <w:color w:val="000000"/>
        </w:rPr>
        <w:t xml:space="preserve"> </w:t>
      </w:r>
      <w:r w:rsidRPr="000832A1">
        <w:rPr>
          <w:rFonts w:ascii="Verdana" w:hAnsi="Verdana" w:cs="MS Shell Dlg 2"/>
          <w:color w:val="000000"/>
        </w:rPr>
        <w:t>aid</w:t>
      </w:r>
      <w:r w:rsidR="003F12A2">
        <w:rPr>
          <w:rFonts w:ascii="Verdana" w:hAnsi="Verdana" w:cs="MS Shell Dlg 2"/>
          <w:color w:val="000000"/>
        </w:rPr>
        <w:t xml:space="preserve"> </w:t>
      </w:r>
      <w:r w:rsidRPr="000832A1">
        <w:rPr>
          <w:rFonts w:ascii="Verdana" w:hAnsi="Verdana" w:cs="MS Shell Dlg 2"/>
          <w:color w:val="000000"/>
        </w:rPr>
        <w:t>to</w:t>
      </w:r>
      <w:r w:rsidR="003F12A2">
        <w:rPr>
          <w:rFonts w:ascii="Verdana" w:hAnsi="Verdana" w:cs="MS Shell Dlg 2"/>
          <w:color w:val="000000"/>
        </w:rPr>
        <w:t xml:space="preserve"> </w:t>
      </w:r>
      <w:r w:rsidRPr="000832A1">
        <w:rPr>
          <w:rFonts w:ascii="Verdana" w:hAnsi="Verdana" w:cs="MS Shell Dlg 2"/>
          <w:color w:val="000000"/>
        </w:rPr>
        <w:t>determine</w:t>
      </w:r>
      <w:r w:rsidR="003F12A2">
        <w:rPr>
          <w:rFonts w:ascii="Verdana" w:hAnsi="Verdana" w:cs="MS Shell Dlg 2"/>
          <w:color w:val="000000"/>
        </w:rPr>
        <w:t xml:space="preserve"> </w:t>
      </w:r>
      <w:r w:rsidRPr="000832A1">
        <w:rPr>
          <w:rFonts w:ascii="Verdana" w:hAnsi="Verdana" w:cs="MS Shell Dlg 2"/>
          <w:color w:val="000000"/>
        </w:rPr>
        <w:t>if</w:t>
      </w:r>
      <w:r w:rsidR="003F12A2">
        <w:rPr>
          <w:rFonts w:ascii="Verdana" w:hAnsi="Verdana" w:cs="MS Shell Dlg 2"/>
          <w:color w:val="000000"/>
        </w:rPr>
        <w:t xml:space="preserve"> </w:t>
      </w:r>
      <w:r w:rsidRPr="000832A1">
        <w:rPr>
          <w:rFonts w:ascii="Verdana" w:hAnsi="Verdana" w:cs="MS Shell Dlg 2"/>
          <w:color w:val="000000"/>
        </w:rPr>
        <w:t>the</w:t>
      </w:r>
      <w:r w:rsidR="003F12A2">
        <w:rPr>
          <w:rFonts w:ascii="Verdana" w:hAnsi="Verdana" w:cs="MS Shell Dlg 2"/>
          <w:color w:val="000000"/>
        </w:rPr>
        <w:t xml:space="preserve"> </w:t>
      </w:r>
      <w:r w:rsidRPr="000832A1">
        <w:rPr>
          <w:rFonts w:ascii="Verdana" w:hAnsi="Verdana" w:cs="MS Shell Dlg 2"/>
          <w:color w:val="000000"/>
        </w:rPr>
        <w:t>beneficiary</w:t>
      </w:r>
      <w:r w:rsidR="003F12A2">
        <w:rPr>
          <w:rFonts w:ascii="Verdana" w:hAnsi="Verdana" w:cs="MS Shell Dlg 2"/>
          <w:color w:val="000000"/>
        </w:rPr>
        <w:t xml:space="preserve"> </w:t>
      </w:r>
      <w:r w:rsidRPr="000832A1">
        <w:rPr>
          <w:rFonts w:ascii="Verdana" w:hAnsi="Verdana" w:cs="MS Shell Dlg 2"/>
          <w:color w:val="000000"/>
        </w:rPr>
        <w:t>is</w:t>
      </w:r>
      <w:r w:rsidR="003F12A2">
        <w:rPr>
          <w:rFonts w:ascii="Verdana" w:hAnsi="Verdana" w:cs="MS Shell Dlg 2"/>
          <w:color w:val="000000"/>
        </w:rPr>
        <w:t xml:space="preserve"> </w:t>
      </w:r>
      <w:r w:rsidRPr="000832A1">
        <w:rPr>
          <w:rFonts w:ascii="Verdana" w:hAnsi="Verdana" w:cs="MS Shell Dlg 2"/>
          <w:color w:val="000000"/>
        </w:rPr>
        <w:t>a</w:t>
      </w:r>
      <w:r w:rsidR="003F12A2">
        <w:rPr>
          <w:rFonts w:ascii="Verdana" w:hAnsi="Verdana" w:cs="MS Shell Dlg 2"/>
          <w:b/>
          <w:bCs/>
          <w:color w:val="000000"/>
        </w:rPr>
        <w:t xml:space="preserve"> </w:t>
      </w:r>
      <w:r w:rsidR="00E81E55" w:rsidRPr="00E81E55">
        <w:rPr>
          <w:rFonts w:ascii="Verdana" w:hAnsi="Verdana" w:cs="MS Shell Dlg 2"/>
          <w:b/>
          <w:bCs/>
          <w:color w:val="000000"/>
        </w:rPr>
        <w:t>Dual</w:t>
      </w:r>
      <w:r w:rsidR="003F12A2">
        <w:rPr>
          <w:rFonts w:ascii="Verdana" w:hAnsi="Verdana" w:cs="MS Shell Dlg 2"/>
          <w:b/>
          <w:bCs/>
          <w:color w:val="000000"/>
        </w:rPr>
        <w:t xml:space="preserve"> </w:t>
      </w:r>
      <w:r w:rsidR="00E81E55" w:rsidRPr="00E81E55">
        <w:rPr>
          <w:rFonts w:ascii="Verdana" w:hAnsi="Verdana" w:cs="MS Shell Dlg 2"/>
          <w:b/>
          <w:bCs/>
          <w:color w:val="000000"/>
        </w:rPr>
        <w:t>Demo</w:t>
      </w:r>
      <w:r w:rsidR="003F12A2">
        <w:rPr>
          <w:rFonts w:ascii="Verdana" w:hAnsi="Verdana" w:cs="MS Shell Dlg 2"/>
          <w:b/>
          <w:bCs/>
          <w:color w:val="000000"/>
        </w:rPr>
        <w:t xml:space="preserve"> </w:t>
      </w:r>
      <w:r w:rsidR="00E81E55" w:rsidRPr="00E81E55">
        <w:rPr>
          <w:rFonts w:ascii="Verdana" w:hAnsi="Verdana" w:cs="MS Shell Dlg 2"/>
          <w:b/>
          <w:bCs/>
          <w:color w:val="000000"/>
        </w:rPr>
        <w:t>(Dual</w:t>
      </w:r>
      <w:r w:rsidR="003F12A2">
        <w:rPr>
          <w:rFonts w:ascii="Verdana" w:hAnsi="Verdana" w:cs="MS Shell Dlg 2"/>
          <w:b/>
          <w:bCs/>
          <w:color w:val="000000"/>
        </w:rPr>
        <w:t xml:space="preserve"> </w:t>
      </w:r>
      <w:r w:rsidR="00E81E55" w:rsidRPr="00E81E55">
        <w:rPr>
          <w:rFonts w:ascii="Verdana" w:hAnsi="Verdana" w:cs="MS Shell Dlg 2"/>
          <w:b/>
          <w:bCs/>
          <w:color w:val="000000"/>
        </w:rPr>
        <w:t>Demonstration)/MMP</w:t>
      </w:r>
      <w:r w:rsidR="003F12A2">
        <w:rPr>
          <w:rFonts w:ascii="Verdana" w:hAnsi="Verdana" w:cs="MS Shell Dlg 2"/>
          <w:b/>
          <w:bCs/>
          <w:color w:val="000000"/>
        </w:rPr>
        <w:t xml:space="preserve"> </w:t>
      </w:r>
      <w:r w:rsidR="00E81E55" w:rsidRPr="00E81E55">
        <w:rPr>
          <w:rFonts w:ascii="Verdana" w:hAnsi="Verdana" w:cs="MS Shell Dlg 2"/>
          <w:b/>
          <w:bCs/>
          <w:color w:val="000000"/>
        </w:rPr>
        <w:t>(Medicare-Medicaid</w:t>
      </w:r>
      <w:r w:rsidR="003F12A2">
        <w:rPr>
          <w:rFonts w:ascii="Verdana" w:hAnsi="Verdana" w:cs="MS Shell Dlg 2"/>
          <w:b/>
          <w:bCs/>
          <w:color w:val="000000"/>
        </w:rPr>
        <w:t xml:space="preserve"> </w:t>
      </w:r>
      <w:r w:rsidR="00E81E55" w:rsidRPr="00E81E55">
        <w:rPr>
          <w:rFonts w:ascii="Verdana" w:hAnsi="Verdana" w:cs="MS Shell Dlg 2"/>
          <w:b/>
          <w:bCs/>
          <w:color w:val="000000"/>
        </w:rPr>
        <w:t>Plan)/DSNP</w:t>
      </w:r>
      <w:r w:rsidR="003F12A2">
        <w:rPr>
          <w:rFonts w:ascii="Verdana" w:hAnsi="Verdana" w:cs="MS Shell Dlg 2"/>
          <w:b/>
          <w:bCs/>
          <w:color w:val="000000"/>
        </w:rPr>
        <w:t xml:space="preserve"> </w:t>
      </w:r>
      <w:r w:rsidR="00E81E55" w:rsidRPr="00E81E55">
        <w:rPr>
          <w:rFonts w:ascii="Verdana" w:hAnsi="Verdana" w:cs="MS Shell Dlg 2"/>
          <w:b/>
          <w:bCs/>
          <w:color w:val="000000"/>
        </w:rPr>
        <w:t>(Dual</w:t>
      </w:r>
      <w:r w:rsidR="003F12A2">
        <w:rPr>
          <w:rFonts w:ascii="Verdana" w:hAnsi="Verdana" w:cs="MS Shell Dlg 2"/>
          <w:b/>
          <w:bCs/>
          <w:color w:val="000000"/>
        </w:rPr>
        <w:t xml:space="preserve"> </w:t>
      </w:r>
      <w:r w:rsidR="00E81E55" w:rsidRPr="00E81E55">
        <w:rPr>
          <w:rFonts w:ascii="Verdana" w:hAnsi="Verdana" w:cs="MS Shell Dlg 2"/>
          <w:b/>
          <w:bCs/>
          <w:color w:val="000000"/>
        </w:rPr>
        <w:t>Special</w:t>
      </w:r>
      <w:r w:rsidR="003F12A2">
        <w:rPr>
          <w:rFonts w:ascii="Verdana" w:hAnsi="Verdana" w:cs="MS Shell Dlg 2"/>
          <w:b/>
          <w:bCs/>
          <w:color w:val="000000"/>
        </w:rPr>
        <w:t xml:space="preserve"> </w:t>
      </w:r>
      <w:r w:rsidR="00E81E55" w:rsidRPr="00E81E55">
        <w:rPr>
          <w:rFonts w:ascii="Verdana" w:hAnsi="Verdana" w:cs="MS Shell Dlg 2"/>
          <w:b/>
          <w:bCs/>
          <w:color w:val="000000"/>
        </w:rPr>
        <w:t>Needs</w:t>
      </w:r>
      <w:r w:rsidR="003F12A2">
        <w:rPr>
          <w:rFonts w:ascii="Verdana" w:hAnsi="Verdana" w:cs="MS Shell Dlg 2"/>
          <w:b/>
          <w:bCs/>
          <w:color w:val="000000"/>
        </w:rPr>
        <w:t xml:space="preserve"> </w:t>
      </w:r>
      <w:r w:rsidR="00E81E55" w:rsidRPr="00E81E55">
        <w:rPr>
          <w:rFonts w:ascii="Verdana" w:hAnsi="Verdana" w:cs="MS Shell Dlg 2"/>
          <w:b/>
          <w:bCs/>
          <w:color w:val="000000"/>
        </w:rPr>
        <w:t>Plan)</w:t>
      </w:r>
      <w:r w:rsidR="00306FC7">
        <w:rPr>
          <w:rFonts w:ascii="Verdana" w:hAnsi="Verdana" w:cs="MS Shell Dlg 2"/>
          <w:color w:val="000000"/>
        </w:rPr>
        <w:t>.</w:t>
      </w:r>
    </w:p>
    <w:p w14:paraId="004F1670" w14:textId="77777777" w:rsidR="00E81E55" w:rsidRDefault="00E81E55" w:rsidP="0015397A">
      <w:pPr>
        <w:rPr>
          <w:rFonts w:ascii="Verdana" w:hAnsi="Verdana" w:cs="MS Shell Dlg 2"/>
          <w:bCs/>
          <w:color w:val="000000"/>
        </w:rPr>
      </w:pPr>
    </w:p>
    <w:p w14:paraId="751C6794" w14:textId="77777777" w:rsidR="00E81E55" w:rsidRDefault="00E81E55" w:rsidP="0015397A">
      <w:pPr>
        <w:rPr>
          <w:rStyle w:val="eop"/>
          <w:rFonts w:ascii="Calibri" w:hAnsi="Calibri" w:cs="Calibri"/>
          <w:color w:val="000000"/>
          <w:sz w:val="22"/>
          <w:szCs w:val="22"/>
          <w:shd w:val="clear" w:color="auto" w:fill="FFFFFF"/>
        </w:rPr>
      </w:pPr>
      <w:r w:rsidRPr="00E81E55">
        <w:rPr>
          <w:rStyle w:val="normaltextrun"/>
          <w:rFonts w:ascii="Verdana" w:hAnsi="Verdana" w:cs="Calibri"/>
          <w:color w:val="000000"/>
          <w:shd w:val="clear" w:color="auto" w:fill="FFFFFF"/>
        </w:rPr>
        <w:t>A</w:t>
      </w:r>
      <w:r w:rsidR="003F12A2">
        <w:rPr>
          <w:rStyle w:val="normaltextrun"/>
          <w:rFonts w:ascii="Verdana" w:hAnsi="Verdana" w:cs="Calibri"/>
          <w:color w:val="000000"/>
          <w:shd w:val="clear" w:color="auto" w:fill="FFFFFF"/>
        </w:rPr>
        <w:t xml:space="preserve"> </w:t>
      </w:r>
      <w:r w:rsidRPr="00770627">
        <w:rPr>
          <w:rStyle w:val="normaltextrun"/>
          <w:rFonts w:ascii="Verdana" w:hAnsi="Verdana" w:cs="Calibri"/>
          <w:b/>
          <w:bCs/>
          <w:color w:val="000000"/>
          <w:shd w:val="clear" w:color="auto" w:fill="FFFFFF"/>
        </w:rPr>
        <w:t>Dual</w:t>
      </w:r>
      <w:r w:rsidR="003F12A2">
        <w:rPr>
          <w:rStyle w:val="normaltextrun"/>
          <w:rFonts w:ascii="Verdana" w:hAnsi="Verdana" w:cs="Calibri"/>
          <w:b/>
          <w:bCs/>
          <w:color w:val="000000"/>
          <w:shd w:val="clear" w:color="auto" w:fill="FFFFFF"/>
        </w:rPr>
        <w:t xml:space="preserve"> </w:t>
      </w:r>
      <w:r w:rsidRPr="00770627">
        <w:rPr>
          <w:rStyle w:val="normaltextrun"/>
          <w:rFonts w:ascii="Verdana" w:hAnsi="Verdana" w:cs="Calibri"/>
          <w:b/>
          <w:bCs/>
          <w:color w:val="000000"/>
          <w:shd w:val="clear" w:color="auto" w:fill="FFFFFF"/>
        </w:rPr>
        <w:t>Demo</w:t>
      </w:r>
      <w:r w:rsidR="003F12A2">
        <w:rPr>
          <w:rStyle w:val="normaltextrun"/>
          <w:rFonts w:ascii="Verdana" w:hAnsi="Verdana" w:cs="Calibri"/>
          <w:b/>
          <w:bCs/>
          <w:color w:val="000000"/>
          <w:shd w:val="clear" w:color="auto" w:fill="FFFFFF"/>
        </w:rPr>
        <w:t xml:space="preserve"> </w:t>
      </w:r>
      <w:r w:rsidR="00770627">
        <w:rPr>
          <w:rStyle w:val="normaltextrun"/>
          <w:rFonts w:ascii="Verdana" w:hAnsi="Verdana" w:cs="Calibri"/>
          <w:b/>
          <w:bCs/>
          <w:color w:val="000000"/>
          <w:shd w:val="clear" w:color="auto" w:fill="FFFFFF"/>
        </w:rPr>
        <w:t>P</w:t>
      </w:r>
      <w:r w:rsidRPr="00770627">
        <w:rPr>
          <w:rStyle w:val="normaltextrun"/>
          <w:rFonts w:ascii="Verdana" w:hAnsi="Verdana" w:cs="Calibri"/>
          <w:b/>
          <w:bCs/>
          <w:color w:val="000000"/>
          <w:shd w:val="clear" w:color="auto" w:fill="FFFFFF"/>
        </w:rPr>
        <w:t>lan</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is</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a</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type</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of</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health</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insurance</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plan</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for</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people</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who</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have</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both</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Medicare</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and</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Medicaid,</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also</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referred</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to</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as</w:t>
      </w:r>
      <w:r w:rsidR="003F12A2">
        <w:rPr>
          <w:rStyle w:val="normaltextrun"/>
          <w:rFonts w:ascii="Verdana" w:hAnsi="Verdana" w:cs="Calibri"/>
          <w:color w:val="000000"/>
          <w:shd w:val="clear" w:color="auto" w:fill="FFFFFF"/>
        </w:rPr>
        <w:t xml:space="preserve"> </w:t>
      </w:r>
      <w:r w:rsidR="00316B2F">
        <w:rPr>
          <w:rStyle w:val="normaltextrun"/>
          <w:rFonts w:ascii="Verdana" w:hAnsi="Verdana" w:cs="Calibri"/>
          <w:color w:val="000000"/>
          <w:shd w:val="clear" w:color="auto" w:fill="FFFFFF"/>
        </w:rPr>
        <w:t>dual-eligible</w:t>
      </w:r>
      <w:r w:rsidRPr="00E81E55">
        <w:rPr>
          <w:rStyle w:val="normaltextrun"/>
          <w:rFonts w:ascii="Verdana" w:hAnsi="Verdana" w:cs="Calibri"/>
          <w:color w:val="000000"/>
          <w:shd w:val="clear" w:color="auto" w:fill="FFFFFF"/>
        </w:rPr>
        <w:t>.</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You</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may</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also</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see</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these</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plans</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referred</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to</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as</w:t>
      </w:r>
      <w:r w:rsidR="003F12A2">
        <w:rPr>
          <w:rStyle w:val="normaltextrun"/>
          <w:rFonts w:ascii="Verdana" w:hAnsi="Verdana" w:cs="Calibri"/>
          <w:color w:val="000000"/>
          <w:shd w:val="clear" w:color="auto" w:fill="FFFFFF"/>
        </w:rPr>
        <w:t xml:space="preserve"> </w:t>
      </w:r>
      <w:r w:rsidRPr="00FE2D94">
        <w:rPr>
          <w:rStyle w:val="normaltextrun"/>
          <w:rFonts w:ascii="Verdana" w:hAnsi="Verdana" w:cs="Calibri"/>
          <w:b/>
          <w:bCs/>
          <w:color w:val="000000"/>
          <w:shd w:val="clear" w:color="auto" w:fill="FFFFFF"/>
        </w:rPr>
        <w:t>MMP</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(Medicare/Medicaid</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Plan)</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or</w:t>
      </w:r>
      <w:r w:rsidR="003F12A2">
        <w:rPr>
          <w:rStyle w:val="normaltextrun"/>
          <w:rFonts w:ascii="Verdana" w:hAnsi="Verdana" w:cs="Calibri"/>
          <w:color w:val="000000"/>
          <w:shd w:val="clear" w:color="auto" w:fill="FFFFFF"/>
        </w:rPr>
        <w:t xml:space="preserve"> </w:t>
      </w:r>
      <w:r w:rsidRPr="00FE2D94">
        <w:rPr>
          <w:rStyle w:val="normaltextrun"/>
          <w:rFonts w:ascii="Verdana" w:hAnsi="Verdana" w:cs="Calibri"/>
          <w:b/>
          <w:bCs/>
          <w:color w:val="000000"/>
          <w:shd w:val="clear" w:color="auto" w:fill="FFFFFF"/>
        </w:rPr>
        <w:t>DSNP</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(Dual</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Special</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Needs</w:t>
      </w:r>
      <w:r w:rsidR="003F12A2">
        <w:rPr>
          <w:rStyle w:val="normaltextrun"/>
          <w:rFonts w:ascii="Verdana" w:hAnsi="Verdana" w:cs="Calibri"/>
          <w:color w:val="000000"/>
          <w:shd w:val="clear" w:color="auto" w:fill="FFFFFF"/>
        </w:rPr>
        <w:t xml:space="preserve"> </w:t>
      </w:r>
      <w:r w:rsidRPr="00E81E55">
        <w:rPr>
          <w:rStyle w:val="normaltextrun"/>
          <w:rFonts w:ascii="Verdana" w:hAnsi="Verdana" w:cs="Calibri"/>
          <w:color w:val="000000"/>
          <w:shd w:val="clear" w:color="auto" w:fill="FFFFFF"/>
        </w:rPr>
        <w:t>Plan).</w:t>
      </w:r>
    </w:p>
    <w:p w14:paraId="5DBE8F01" w14:textId="3EE97279" w:rsidR="00E81E55" w:rsidRDefault="00E81E55" w:rsidP="00E87D3F">
      <w:pPr>
        <w:numPr>
          <w:ilvl w:val="0"/>
          <w:numId w:val="32"/>
        </w:numPr>
        <w:rPr>
          <w:rStyle w:val="eop"/>
          <w:rFonts w:ascii="Verdana" w:hAnsi="Verdana" w:cs="Calibri"/>
        </w:rPr>
      </w:pPr>
      <w:r w:rsidRPr="00E81E55">
        <w:rPr>
          <w:rStyle w:val="normaltextrun"/>
          <w:rFonts w:ascii="Verdana" w:hAnsi="Verdana" w:cs="Calibri"/>
        </w:rPr>
        <w:t> </w:t>
      </w:r>
      <w:r w:rsidR="00E87D3F" w:rsidRPr="00E87D3F">
        <w:rPr>
          <w:rStyle w:val="eop"/>
          <w:rFonts w:ascii="Verdana" w:hAnsi="Verdana" w:cs="Calibri"/>
        </w:rPr>
        <w:t>A Medicare Advantage MMP is a private health plan that provides coordinated Medicare and Medicaid benefits for dually eligible individuals. MMPs simplify the processes for dual eligible individuals to access the care they are entitled to under Medicare and Medicaid programs. This includes providing beneficiaries with a seamless enrollment and disenrollment process and access to high-quality integrated healthcare.</w:t>
      </w:r>
    </w:p>
    <w:p w14:paraId="7280F359" w14:textId="5AEA54B6" w:rsidR="00E87D3F" w:rsidRDefault="00E87D3F" w:rsidP="00E87D3F">
      <w:pPr>
        <w:numPr>
          <w:ilvl w:val="0"/>
          <w:numId w:val="32"/>
        </w:numPr>
        <w:rPr>
          <w:rStyle w:val="eop"/>
          <w:rFonts w:ascii="Verdana" w:hAnsi="Verdana" w:cs="Calibri"/>
        </w:rPr>
      </w:pPr>
      <w:r w:rsidRPr="00E87D3F">
        <w:rPr>
          <w:rStyle w:val="eop"/>
          <w:rFonts w:ascii="Verdana" w:hAnsi="Verdana" w:cs="Calibri"/>
        </w:rPr>
        <w:t>MMPs differ from SNPs in that they are a totally aligned product designed to further strengthen the coordination of Medicare and Medicaid Services. An MMP is an alignment initiative in which Medicare and Medicaid benefits are offered as a single plan in a three-way contract between CMS, the state Medicaid agency (SMA), and the health plan; a D-SNP model is when a health plan holds a contract with Medicare and then a separate contract with the SMA to provide Medicaid benefits at varying levels of integration.</w:t>
      </w:r>
    </w:p>
    <w:p w14:paraId="5804A34D" w14:textId="77777777" w:rsidR="00B83167" w:rsidRDefault="00B83167" w:rsidP="0015397A">
      <w:pPr>
        <w:rPr>
          <w:rFonts w:ascii="Verdana" w:hAnsi="Verdana" w:cs="MS Shell Dlg 2"/>
          <w:bCs/>
          <w:color w:val="000000"/>
        </w:rPr>
      </w:pPr>
    </w:p>
    <w:p w14:paraId="44F9B87C" w14:textId="77777777" w:rsidR="00E81E55" w:rsidRDefault="00E81E55" w:rsidP="0015397A">
      <w:pPr>
        <w:rPr>
          <w:rFonts w:ascii="Verdana" w:hAnsi="Verdana" w:cs="MS Shell Dlg 2"/>
          <w:bCs/>
          <w:color w:val="000000"/>
        </w:rPr>
      </w:pPr>
      <w:r>
        <w:rPr>
          <w:rFonts w:ascii="Verdana" w:hAnsi="Verdana" w:cs="MS Shell Dlg 2"/>
          <w:bCs/>
          <w:color w:val="000000"/>
        </w:rPr>
        <w:t>Dual</w:t>
      </w:r>
      <w:r w:rsidR="003F12A2">
        <w:rPr>
          <w:rFonts w:ascii="Verdana" w:hAnsi="Verdana" w:cs="MS Shell Dlg 2"/>
          <w:bCs/>
          <w:color w:val="000000"/>
        </w:rPr>
        <w:t xml:space="preserve"> </w:t>
      </w:r>
      <w:r>
        <w:rPr>
          <w:rFonts w:ascii="Verdana" w:hAnsi="Verdana" w:cs="MS Shell Dlg 2"/>
          <w:bCs/>
          <w:color w:val="000000"/>
        </w:rPr>
        <w:t>Demo</w:t>
      </w:r>
      <w:r w:rsidR="003F12A2">
        <w:rPr>
          <w:rFonts w:ascii="Verdana" w:hAnsi="Verdana" w:cs="MS Shell Dlg 2"/>
          <w:bCs/>
          <w:color w:val="000000"/>
        </w:rPr>
        <w:t xml:space="preserve"> </w:t>
      </w:r>
      <w:r>
        <w:rPr>
          <w:rFonts w:ascii="Verdana" w:hAnsi="Verdana" w:cs="MS Shell Dlg 2"/>
          <w:bCs/>
          <w:color w:val="000000"/>
        </w:rPr>
        <w:t>Plan</w:t>
      </w:r>
      <w:r w:rsidR="003F12A2">
        <w:rPr>
          <w:rFonts w:ascii="Verdana" w:hAnsi="Verdana" w:cs="MS Shell Dlg 2"/>
          <w:bCs/>
          <w:color w:val="000000"/>
        </w:rPr>
        <w:t xml:space="preserve"> </w:t>
      </w:r>
      <w:r>
        <w:rPr>
          <w:rFonts w:ascii="Verdana" w:hAnsi="Verdana" w:cs="MS Shell Dlg 2"/>
          <w:bCs/>
          <w:color w:val="000000"/>
        </w:rPr>
        <w:t>Characteristics</w:t>
      </w:r>
    </w:p>
    <w:p w14:paraId="3B273C06" w14:textId="77777777" w:rsidR="00E81E55" w:rsidRDefault="00E81E55" w:rsidP="00E81E55">
      <w:pPr>
        <w:numPr>
          <w:ilvl w:val="0"/>
          <w:numId w:val="23"/>
        </w:numPr>
        <w:rPr>
          <w:rFonts w:ascii="Verdana" w:hAnsi="Verdana" w:cs="MS Shell Dlg 2"/>
          <w:bCs/>
          <w:color w:val="000000"/>
        </w:rPr>
      </w:pPr>
      <w:r>
        <w:rPr>
          <w:rFonts w:ascii="Verdana" w:hAnsi="Verdana" w:cs="MS Shell Dlg 2"/>
          <w:bCs/>
          <w:color w:val="000000"/>
        </w:rPr>
        <w:t>Medicare</w:t>
      </w:r>
      <w:r w:rsidR="003F12A2">
        <w:rPr>
          <w:rFonts w:ascii="Verdana" w:hAnsi="Verdana" w:cs="MS Shell Dlg 2"/>
          <w:bCs/>
          <w:color w:val="000000"/>
        </w:rPr>
        <w:t xml:space="preserve"> </w:t>
      </w:r>
      <w:r>
        <w:rPr>
          <w:rFonts w:ascii="Verdana" w:hAnsi="Verdana" w:cs="MS Shell Dlg 2"/>
          <w:bCs/>
          <w:color w:val="000000"/>
        </w:rPr>
        <w:t>D</w:t>
      </w:r>
      <w:r w:rsidR="003F12A2">
        <w:rPr>
          <w:rFonts w:ascii="Verdana" w:hAnsi="Verdana" w:cs="MS Shell Dlg 2"/>
          <w:bCs/>
          <w:color w:val="000000"/>
        </w:rPr>
        <w:t xml:space="preserve"> </w:t>
      </w:r>
      <w:r>
        <w:rPr>
          <w:rFonts w:ascii="Verdana" w:hAnsi="Verdana" w:cs="MS Shell Dlg 2"/>
          <w:bCs/>
          <w:color w:val="000000"/>
        </w:rPr>
        <w:t>is</w:t>
      </w:r>
      <w:r w:rsidR="003F12A2">
        <w:rPr>
          <w:rFonts w:ascii="Verdana" w:hAnsi="Verdana" w:cs="MS Shell Dlg 2"/>
          <w:bCs/>
          <w:color w:val="000000"/>
        </w:rPr>
        <w:t xml:space="preserve"> </w:t>
      </w:r>
      <w:r w:rsidR="00750831">
        <w:rPr>
          <w:rFonts w:ascii="Verdana" w:hAnsi="Verdana" w:cs="MS Shell Dlg 2"/>
          <w:bCs/>
          <w:color w:val="000000"/>
        </w:rPr>
        <w:t>the</w:t>
      </w:r>
      <w:r w:rsidR="003F12A2">
        <w:rPr>
          <w:rFonts w:ascii="Verdana" w:hAnsi="Verdana" w:cs="MS Shell Dlg 2"/>
          <w:bCs/>
          <w:color w:val="000000"/>
        </w:rPr>
        <w:t xml:space="preserve"> </w:t>
      </w:r>
      <w:r>
        <w:rPr>
          <w:rFonts w:ascii="Verdana" w:hAnsi="Verdana" w:cs="MS Shell Dlg 2"/>
          <w:bCs/>
          <w:color w:val="000000"/>
        </w:rPr>
        <w:t>primary</w:t>
      </w:r>
      <w:r w:rsidR="003F12A2">
        <w:rPr>
          <w:rFonts w:ascii="Verdana" w:hAnsi="Verdana" w:cs="MS Shell Dlg 2"/>
          <w:bCs/>
          <w:color w:val="000000"/>
        </w:rPr>
        <w:t xml:space="preserve"> </w:t>
      </w:r>
      <w:r>
        <w:rPr>
          <w:rFonts w:ascii="Verdana" w:hAnsi="Verdana" w:cs="MS Shell Dlg 2"/>
          <w:bCs/>
          <w:color w:val="000000"/>
        </w:rPr>
        <w:t>benefit,</w:t>
      </w:r>
      <w:r w:rsidR="003F12A2">
        <w:rPr>
          <w:rFonts w:ascii="Verdana" w:hAnsi="Verdana" w:cs="MS Shell Dlg 2"/>
          <w:bCs/>
          <w:color w:val="000000"/>
        </w:rPr>
        <w:t xml:space="preserve"> </w:t>
      </w:r>
      <w:r>
        <w:rPr>
          <w:rFonts w:ascii="Verdana" w:hAnsi="Verdana" w:cs="MS Shell Dlg 2"/>
          <w:bCs/>
          <w:color w:val="000000"/>
        </w:rPr>
        <w:t>Medicaid</w:t>
      </w:r>
      <w:r w:rsidR="003F12A2">
        <w:rPr>
          <w:rFonts w:ascii="Verdana" w:hAnsi="Verdana" w:cs="MS Shell Dlg 2"/>
          <w:bCs/>
          <w:color w:val="000000"/>
        </w:rPr>
        <w:t xml:space="preserve"> </w:t>
      </w:r>
      <w:r>
        <w:rPr>
          <w:rFonts w:ascii="Verdana" w:hAnsi="Verdana" w:cs="MS Shell Dlg 2"/>
          <w:bCs/>
          <w:color w:val="000000"/>
        </w:rPr>
        <w:t>is</w:t>
      </w:r>
      <w:r w:rsidR="003F12A2">
        <w:rPr>
          <w:rFonts w:ascii="Verdana" w:hAnsi="Verdana" w:cs="MS Shell Dlg 2"/>
          <w:bCs/>
          <w:color w:val="000000"/>
        </w:rPr>
        <w:t xml:space="preserve"> </w:t>
      </w:r>
      <w:r>
        <w:rPr>
          <w:rFonts w:ascii="Verdana" w:hAnsi="Verdana" w:cs="MS Shell Dlg 2"/>
          <w:bCs/>
          <w:color w:val="000000"/>
        </w:rPr>
        <w:t>the</w:t>
      </w:r>
      <w:r w:rsidR="003F12A2">
        <w:rPr>
          <w:rFonts w:ascii="Verdana" w:hAnsi="Verdana" w:cs="MS Shell Dlg 2"/>
          <w:bCs/>
          <w:color w:val="000000"/>
        </w:rPr>
        <w:t xml:space="preserve"> </w:t>
      </w:r>
      <w:r>
        <w:rPr>
          <w:rFonts w:ascii="Verdana" w:hAnsi="Verdana" w:cs="MS Shell Dlg 2"/>
          <w:bCs/>
          <w:color w:val="000000"/>
        </w:rPr>
        <w:t>secondary</w:t>
      </w:r>
      <w:r w:rsidR="003F12A2">
        <w:rPr>
          <w:rFonts w:ascii="Verdana" w:hAnsi="Verdana" w:cs="MS Shell Dlg 2"/>
          <w:bCs/>
          <w:color w:val="000000"/>
        </w:rPr>
        <w:t xml:space="preserve"> </w:t>
      </w:r>
      <w:r>
        <w:rPr>
          <w:rFonts w:ascii="Verdana" w:hAnsi="Verdana" w:cs="MS Shell Dlg 2"/>
          <w:bCs/>
          <w:color w:val="000000"/>
        </w:rPr>
        <w:t>benefit</w:t>
      </w:r>
      <w:r w:rsidR="003F12A2">
        <w:rPr>
          <w:rFonts w:ascii="Verdana" w:hAnsi="Verdana" w:cs="MS Shell Dlg 2"/>
          <w:bCs/>
          <w:color w:val="000000"/>
        </w:rPr>
        <w:t xml:space="preserve"> </w:t>
      </w:r>
      <w:r>
        <w:rPr>
          <w:rFonts w:ascii="Verdana" w:hAnsi="Verdana" w:cs="MS Shell Dlg 2"/>
          <w:bCs/>
          <w:color w:val="000000"/>
        </w:rPr>
        <w:t>and</w:t>
      </w:r>
      <w:r w:rsidR="003F12A2">
        <w:rPr>
          <w:rFonts w:ascii="Verdana" w:hAnsi="Verdana" w:cs="MS Shell Dlg 2"/>
          <w:bCs/>
          <w:color w:val="000000"/>
        </w:rPr>
        <w:t xml:space="preserve"> </w:t>
      </w:r>
      <w:r>
        <w:rPr>
          <w:rFonts w:ascii="Verdana" w:hAnsi="Verdana" w:cs="MS Shell Dlg 2"/>
          <w:bCs/>
          <w:color w:val="000000"/>
        </w:rPr>
        <w:t>can</w:t>
      </w:r>
      <w:r w:rsidR="003F12A2">
        <w:rPr>
          <w:rFonts w:ascii="Verdana" w:hAnsi="Verdana" w:cs="MS Shell Dlg 2"/>
          <w:bCs/>
          <w:color w:val="000000"/>
        </w:rPr>
        <w:t xml:space="preserve"> </w:t>
      </w:r>
      <w:r>
        <w:rPr>
          <w:rFonts w:ascii="Verdana" w:hAnsi="Verdana" w:cs="MS Shell Dlg 2"/>
          <w:bCs/>
          <w:color w:val="000000"/>
        </w:rPr>
        <w:t>be</w:t>
      </w:r>
      <w:r w:rsidR="003F12A2">
        <w:rPr>
          <w:rFonts w:ascii="Verdana" w:hAnsi="Verdana" w:cs="MS Shell Dlg 2"/>
          <w:bCs/>
          <w:color w:val="000000"/>
        </w:rPr>
        <w:t xml:space="preserve"> </w:t>
      </w:r>
      <w:r>
        <w:rPr>
          <w:rFonts w:ascii="Verdana" w:hAnsi="Verdana" w:cs="MS Shell Dlg 2"/>
          <w:bCs/>
          <w:color w:val="000000"/>
        </w:rPr>
        <w:t>managed</w:t>
      </w:r>
      <w:r w:rsidR="003F12A2">
        <w:rPr>
          <w:rFonts w:ascii="Verdana" w:hAnsi="Verdana" w:cs="MS Shell Dlg 2"/>
          <w:bCs/>
          <w:color w:val="000000"/>
        </w:rPr>
        <w:t xml:space="preserve"> </w:t>
      </w:r>
      <w:r>
        <w:rPr>
          <w:rFonts w:ascii="Verdana" w:hAnsi="Verdana" w:cs="MS Shell Dlg 2"/>
          <w:bCs/>
          <w:color w:val="000000"/>
        </w:rPr>
        <w:t>by</w:t>
      </w:r>
      <w:r w:rsidR="003F12A2">
        <w:rPr>
          <w:rFonts w:ascii="Verdana" w:hAnsi="Verdana" w:cs="MS Shell Dlg 2"/>
          <w:bCs/>
          <w:color w:val="000000"/>
        </w:rPr>
        <w:t xml:space="preserve"> </w:t>
      </w:r>
      <w:r>
        <w:rPr>
          <w:rFonts w:ascii="Verdana" w:hAnsi="Verdana" w:cs="MS Shell Dlg 2"/>
          <w:bCs/>
          <w:color w:val="000000"/>
        </w:rPr>
        <w:t>CVS</w:t>
      </w:r>
      <w:r w:rsidR="003F12A2">
        <w:rPr>
          <w:rFonts w:ascii="Verdana" w:hAnsi="Verdana" w:cs="MS Shell Dlg 2"/>
          <w:bCs/>
          <w:color w:val="000000"/>
        </w:rPr>
        <w:t xml:space="preserve"> </w:t>
      </w:r>
      <w:r>
        <w:rPr>
          <w:rFonts w:ascii="Verdana" w:hAnsi="Verdana" w:cs="MS Shell Dlg 2"/>
          <w:bCs/>
          <w:color w:val="000000"/>
        </w:rPr>
        <w:t>Caremark</w:t>
      </w:r>
      <w:r w:rsidR="003F12A2">
        <w:rPr>
          <w:rFonts w:ascii="Verdana" w:hAnsi="Verdana" w:cs="MS Shell Dlg 2"/>
          <w:bCs/>
          <w:color w:val="000000"/>
        </w:rPr>
        <w:t xml:space="preserve"> </w:t>
      </w:r>
      <w:r>
        <w:rPr>
          <w:rFonts w:ascii="Verdana" w:hAnsi="Verdana" w:cs="MS Shell Dlg 2"/>
          <w:bCs/>
          <w:color w:val="000000"/>
        </w:rPr>
        <w:t>or</w:t>
      </w:r>
      <w:r w:rsidR="003F12A2">
        <w:rPr>
          <w:rFonts w:ascii="Verdana" w:hAnsi="Verdana" w:cs="MS Shell Dlg 2"/>
          <w:bCs/>
          <w:color w:val="000000"/>
        </w:rPr>
        <w:t xml:space="preserve"> </w:t>
      </w:r>
      <w:r>
        <w:rPr>
          <w:rFonts w:ascii="Verdana" w:hAnsi="Verdana" w:cs="MS Shell Dlg 2"/>
          <w:bCs/>
          <w:color w:val="000000"/>
        </w:rPr>
        <w:t>another</w:t>
      </w:r>
      <w:r w:rsidR="003F12A2">
        <w:rPr>
          <w:rFonts w:ascii="Verdana" w:hAnsi="Verdana" w:cs="MS Shell Dlg 2"/>
          <w:bCs/>
          <w:color w:val="000000"/>
        </w:rPr>
        <w:t xml:space="preserve"> </w:t>
      </w:r>
      <w:r>
        <w:rPr>
          <w:rFonts w:ascii="Verdana" w:hAnsi="Verdana" w:cs="MS Shell Dlg 2"/>
          <w:bCs/>
          <w:color w:val="000000"/>
        </w:rPr>
        <w:t>PBM</w:t>
      </w:r>
      <w:r w:rsidR="003F12A2">
        <w:rPr>
          <w:rFonts w:ascii="Verdana" w:hAnsi="Verdana" w:cs="MS Shell Dlg 2"/>
          <w:bCs/>
          <w:color w:val="000000"/>
        </w:rPr>
        <w:t xml:space="preserve"> </w:t>
      </w:r>
      <w:r>
        <w:rPr>
          <w:rFonts w:ascii="Verdana" w:hAnsi="Verdana" w:cs="MS Shell Dlg 2"/>
          <w:bCs/>
          <w:color w:val="000000"/>
        </w:rPr>
        <w:t>(Prescription</w:t>
      </w:r>
      <w:r w:rsidR="003F12A2">
        <w:rPr>
          <w:rFonts w:ascii="Verdana" w:hAnsi="Verdana" w:cs="MS Shell Dlg 2"/>
          <w:bCs/>
          <w:color w:val="000000"/>
        </w:rPr>
        <w:t xml:space="preserve"> </w:t>
      </w:r>
      <w:r>
        <w:rPr>
          <w:rFonts w:ascii="Verdana" w:hAnsi="Verdana" w:cs="MS Shell Dlg 2"/>
          <w:bCs/>
          <w:color w:val="000000"/>
        </w:rPr>
        <w:t>Benefit</w:t>
      </w:r>
      <w:r w:rsidR="003F12A2">
        <w:rPr>
          <w:rFonts w:ascii="Verdana" w:hAnsi="Verdana" w:cs="MS Shell Dlg 2"/>
          <w:bCs/>
          <w:color w:val="000000"/>
        </w:rPr>
        <w:t xml:space="preserve"> </w:t>
      </w:r>
      <w:r>
        <w:rPr>
          <w:rFonts w:ascii="Verdana" w:hAnsi="Verdana" w:cs="MS Shell Dlg 2"/>
          <w:bCs/>
          <w:color w:val="000000"/>
        </w:rPr>
        <w:t>Manager).</w:t>
      </w:r>
      <w:r w:rsidR="003F12A2">
        <w:rPr>
          <w:rFonts w:ascii="Verdana" w:hAnsi="Verdana" w:cs="MS Shell Dlg 2"/>
          <w:bCs/>
          <w:color w:val="000000"/>
        </w:rPr>
        <w:t xml:space="preserve"> </w:t>
      </w:r>
    </w:p>
    <w:p w14:paraId="6B3676E3" w14:textId="77777777" w:rsidR="00E81E55" w:rsidRDefault="00E81E55" w:rsidP="00E81E55">
      <w:pPr>
        <w:numPr>
          <w:ilvl w:val="0"/>
          <w:numId w:val="23"/>
        </w:numPr>
        <w:rPr>
          <w:rFonts w:ascii="Verdana" w:hAnsi="Verdana" w:cs="MS Shell Dlg 2"/>
          <w:color w:val="000000"/>
        </w:rPr>
      </w:pPr>
      <w:r>
        <w:rPr>
          <w:rFonts w:ascii="Verdana" w:hAnsi="Verdana" w:cs="MS Shell Dlg 2"/>
          <w:color w:val="000000"/>
        </w:rPr>
        <w:t>Dual</w:t>
      </w:r>
      <w:r w:rsidR="003F12A2">
        <w:rPr>
          <w:rFonts w:ascii="Verdana" w:hAnsi="Verdana" w:cs="MS Shell Dlg 2"/>
          <w:color w:val="000000"/>
        </w:rPr>
        <w:t xml:space="preserve"> </w:t>
      </w:r>
      <w:r>
        <w:rPr>
          <w:rFonts w:ascii="Verdana" w:hAnsi="Verdana" w:cs="MS Shell Dlg 2"/>
          <w:color w:val="000000"/>
        </w:rPr>
        <w:t>members</w:t>
      </w:r>
      <w:r w:rsidR="003F12A2">
        <w:rPr>
          <w:rFonts w:ascii="Verdana" w:hAnsi="Verdana" w:cs="MS Shell Dlg 2"/>
          <w:color w:val="000000"/>
        </w:rPr>
        <w:t xml:space="preserve"> </w:t>
      </w:r>
      <w:r>
        <w:rPr>
          <w:rFonts w:ascii="Verdana" w:hAnsi="Verdana" w:cs="MS Shell Dlg 2"/>
          <w:color w:val="000000"/>
        </w:rPr>
        <w:t>will</w:t>
      </w:r>
      <w:r w:rsidR="003F12A2">
        <w:rPr>
          <w:rFonts w:ascii="Verdana" w:hAnsi="Verdana" w:cs="MS Shell Dlg 2"/>
          <w:color w:val="000000"/>
        </w:rPr>
        <w:t xml:space="preserve"> </w:t>
      </w:r>
      <w:r w:rsidR="003E6646">
        <w:rPr>
          <w:rFonts w:ascii="Verdana" w:hAnsi="Verdana" w:cs="MS Shell Dlg 2"/>
          <w:color w:val="000000"/>
        </w:rPr>
        <w:t>pay</w:t>
      </w:r>
      <w:r w:rsidR="003F12A2">
        <w:rPr>
          <w:rFonts w:ascii="Verdana" w:hAnsi="Verdana" w:cs="MS Shell Dlg 2"/>
          <w:color w:val="000000"/>
        </w:rPr>
        <w:t xml:space="preserve"> </w:t>
      </w:r>
      <w:r w:rsidR="00B63EC8">
        <w:rPr>
          <w:rFonts w:ascii="Verdana" w:hAnsi="Verdana" w:cs="MS Shell Dlg 2"/>
          <w:color w:val="000000"/>
        </w:rPr>
        <w:t>a</w:t>
      </w:r>
      <w:r w:rsidR="003F12A2">
        <w:rPr>
          <w:rFonts w:ascii="Verdana" w:hAnsi="Verdana" w:cs="MS Shell Dlg 2"/>
          <w:color w:val="000000"/>
        </w:rPr>
        <w:t xml:space="preserve"> </w:t>
      </w:r>
      <w:r w:rsidR="003E6646">
        <w:rPr>
          <w:rFonts w:ascii="Verdana" w:hAnsi="Verdana" w:cs="MS Shell Dlg 2"/>
          <w:color w:val="000000"/>
        </w:rPr>
        <w:t>little</w:t>
      </w:r>
      <w:r w:rsidR="00B63EC8">
        <w:rPr>
          <w:rFonts w:ascii="Verdana" w:hAnsi="Verdana" w:cs="MS Shell Dlg 2"/>
          <w:color w:val="000000"/>
        </w:rPr>
        <w:t>-</w:t>
      </w:r>
      <w:r w:rsidR="003E6646">
        <w:rPr>
          <w:rFonts w:ascii="Verdana" w:hAnsi="Verdana" w:cs="MS Shell Dlg 2"/>
          <w:color w:val="000000"/>
        </w:rPr>
        <w:t>to</w:t>
      </w:r>
      <w:r w:rsidR="00B63EC8">
        <w:rPr>
          <w:rFonts w:ascii="Verdana" w:hAnsi="Verdana" w:cs="MS Shell Dlg 2"/>
          <w:color w:val="000000"/>
        </w:rPr>
        <w:t>-</w:t>
      </w:r>
      <w:r w:rsidR="003E6646">
        <w:rPr>
          <w:rFonts w:ascii="Verdana" w:hAnsi="Verdana" w:cs="MS Shell Dlg 2"/>
          <w:color w:val="000000"/>
        </w:rPr>
        <w:t>no</w:t>
      </w:r>
      <w:r w:rsidR="003F12A2">
        <w:rPr>
          <w:rFonts w:ascii="Verdana" w:hAnsi="Verdana" w:cs="MS Shell Dlg 2"/>
          <w:color w:val="000000"/>
        </w:rPr>
        <w:t xml:space="preserve"> </w:t>
      </w:r>
      <w:r w:rsidR="003E6646">
        <w:rPr>
          <w:rFonts w:ascii="Verdana" w:hAnsi="Verdana" w:cs="MS Shell Dlg 2"/>
          <w:color w:val="000000"/>
        </w:rPr>
        <w:t>copay</w:t>
      </w:r>
      <w:r>
        <w:rPr>
          <w:rFonts w:ascii="Verdana" w:hAnsi="Verdana" w:cs="MS Shell Dlg 2"/>
          <w:color w:val="000000"/>
        </w:rPr>
        <w:t>,</w:t>
      </w:r>
      <w:r w:rsidR="003F12A2">
        <w:rPr>
          <w:rFonts w:ascii="Verdana" w:hAnsi="Verdana" w:cs="MS Shell Dlg 2"/>
          <w:color w:val="000000"/>
        </w:rPr>
        <w:t xml:space="preserve"> </w:t>
      </w:r>
      <w:r>
        <w:rPr>
          <w:rFonts w:ascii="Verdana" w:hAnsi="Verdana" w:cs="MS Shell Dlg 2"/>
          <w:color w:val="000000"/>
        </w:rPr>
        <w:t>for</w:t>
      </w:r>
      <w:r w:rsidR="003F12A2">
        <w:rPr>
          <w:rFonts w:ascii="Verdana" w:hAnsi="Verdana" w:cs="MS Shell Dlg 2"/>
          <w:color w:val="000000"/>
        </w:rPr>
        <w:t xml:space="preserve"> </w:t>
      </w:r>
      <w:r>
        <w:rPr>
          <w:rFonts w:ascii="Verdana" w:hAnsi="Verdana" w:cs="MS Shell Dlg 2"/>
          <w:color w:val="000000"/>
        </w:rPr>
        <w:t>covered</w:t>
      </w:r>
      <w:r w:rsidR="003F12A2">
        <w:rPr>
          <w:rFonts w:ascii="Verdana" w:hAnsi="Verdana" w:cs="MS Shell Dlg 2"/>
          <w:color w:val="000000"/>
        </w:rPr>
        <w:t xml:space="preserve"> </w:t>
      </w:r>
      <w:r>
        <w:rPr>
          <w:rFonts w:ascii="Verdana" w:hAnsi="Verdana" w:cs="MS Shell Dlg 2"/>
          <w:color w:val="000000"/>
        </w:rPr>
        <w:t>medications.</w:t>
      </w:r>
      <w:r w:rsidR="003F12A2">
        <w:rPr>
          <w:rFonts w:ascii="Verdana" w:hAnsi="Verdana" w:cs="MS Shell Dlg 2"/>
          <w:color w:val="000000"/>
        </w:rPr>
        <w:t xml:space="preserve"> </w:t>
      </w:r>
    </w:p>
    <w:p w14:paraId="237BD1F6" w14:textId="77777777" w:rsidR="00E81E55" w:rsidRDefault="00E81E55" w:rsidP="00E81E55">
      <w:pPr>
        <w:numPr>
          <w:ilvl w:val="0"/>
          <w:numId w:val="23"/>
        </w:numPr>
        <w:rPr>
          <w:rFonts w:ascii="Verdana" w:hAnsi="Verdana" w:cs="MS Shell Dlg 2"/>
          <w:color w:val="000000"/>
        </w:rPr>
      </w:pPr>
      <w:r>
        <w:rPr>
          <w:rFonts w:ascii="Verdana" w:hAnsi="Verdana" w:cs="MS Shell Dlg 2"/>
          <w:color w:val="000000"/>
        </w:rPr>
        <w:t>Dual</w:t>
      </w:r>
      <w:r w:rsidR="003F12A2">
        <w:rPr>
          <w:rFonts w:ascii="Verdana" w:hAnsi="Verdana" w:cs="MS Shell Dlg 2"/>
          <w:color w:val="000000"/>
        </w:rPr>
        <w:t xml:space="preserve"> </w:t>
      </w:r>
      <w:r>
        <w:rPr>
          <w:rFonts w:ascii="Verdana" w:hAnsi="Verdana" w:cs="MS Shell Dlg 2"/>
          <w:color w:val="000000"/>
        </w:rPr>
        <w:t>Demo</w:t>
      </w:r>
      <w:r w:rsidR="003F12A2">
        <w:rPr>
          <w:rFonts w:ascii="Verdana" w:hAnsi="Verdana" w:cs="MS Shell Dlg 2"/>
          <w:color w:val="000000"/>
        </w:rPr>
        <w:t xml:space="preserve"> </w:t>
      </w:r>
      <w:r>
        <w:rPr>
          <w:rFonts w:ascii="Verdana" w:hAnsi="Verdana" w:cs="MS Shell Dlg 2"/>
          <w:color w:val="000000"/>
        </w:rPr>
        <w:t>Plans</w:t>
      </w:r>
      <w:r w:rsidR="003F12A2">
        <w:rPr>
          <w:rFonts w:ascii="Verdana" w:hAnsi="Verdana" w:cs="MS Shell Dlg 2"/>
          <w:color w:val="000000"/>
        </w:rPr>
        <w:t xml:space="preserve"> </w:t>
      </w:r>
      <w:r>
        <w:rPr>
          <w:rFonts w:ascii="Verdana" w:hAnsi="Verdana" w:cs="MS Shell Dlg 2"/>
          <w:color w:val="000000"/>
        </w:rPr>
        <w:t>will</w:t>
      </w:r>
      <w:r w:rsidR="003F12A2">
        <w:rPr>
          <w:rFonts w:ascii="Verdana" w:hAnsi="Verdana" w:cs="MS Shell Dlg 2"/>
          <w:color w:val="000000"/>
        </w:rPr>
        <w:t xml:space="preserve"> </w:t>
      </w:r>
      <w:r>
        <w:rPr>
          <w:rFonts w:ascii="Verdana" w:hAnsi="Verdana" w:cs="MS Shell Dlg 2"/>
          <w:color w:val="000000"/>
        </w:rPr>
        <w:t>never</w:t>
      </w:r>
      <w:r w:rsidR="003F12A2">
        <w:rPr>
          <w:rFonts w:ascii="Verdana" w:hAnsi="Verdana" w:cs="MS Shell Dlg 2"/>
          <w:color w:val="000000"/>
        </w:rPr>
        <w:t xml:space="preserve"> </w:t>
      </w:r>
      <w:r>
        <w:rPr>
          <w:rFonts w:ascii="Verdana" w:hAnsi="Verdana" w:cs="MS Shell Dlg 2"/>
          <w:color w:val="000000"/>
        </w:rPr>
        <w:t>have</w:t>
      </w:r>
      <w:r w:rsidR="003F12A2">
        <w:rPr>
          <w:rFonts w:ascii="Verdana" w:hAnsi="Verdana" w:cs="MS Shell Dlg 2"/>
          <w:color w:val="000000"/>
        </w:rPr>
        <w:t xml:space="preserve"> </w:t>
      </w:r>
      <w:r>
        <w:rPr>
          <w:rFonts w:ascii="Verdana" w:hAnsi="Verdana" w:cs="MS Shell Dlg 2"/>
          <w:color w:val="000000"/>
        </w:rPr>
        <w:t>a</w:t>
      </w:r>
      <w:r w:rsidR="003F12A2">
        <w:rPr>
          <w:rFonts w:ascii="Verdana" w:hAnsi="Verdana" w:cs="MS Shell Dlg 2"/>
          <w:color w:val="000000"/>
        </w:rPr>
        <w:t xml:space="preserve"> </w:t>
      </w:r>
      <w:r>
        <w:rPr>
          <w:rFonts w:ascii="Verdana" w:hAnsi="Verdana" w:cs="MS Shell Dlg 2"/>
          <w:color w:val="000000"/>
        </w:rPr>
        <w:t>deductible.</w:t>
      </w:r>
      <w:r w:rsidR="003F12A2">
        <w:rPr>
          <w:rFonts w:ascii="Verdana" w:hAnsi="Verdana" w:cs="MS Shell Dlg 2"/>
          <w:color w:val="000000"/>
        </w:rPr>
        <w:t xml:space="preserve"> </w:t>
      </w:r>
    </w:p>
    <w:p w14:paraId="603288A2" w14:textId="77777777" w:rsidR="00E81E55" w:rsidRDefault="00B63EC8" w:rsidP="00E81E55">
      <w:pPr>
        <w:numPr>
          <w:ilvl w:val="0"/>
          <w:numId w:val="23"/>
        </w:numPr>
        <w:rPr>
          <w:rFonts w:ascii="Verdana" w:hAnsi="Verdana" w:cs="MS Shell Dlg 2"/>
          <w:color w:val="000000"/>
        </w:rPr>
      </w:pPr>
      <w:r>
        <w:rPr>
          <w:rFonts w:ascii="Verdana" w:hAnsi="Verdana" w:cs="MS Shell Dlg 2"/>
          <w:color w:val="000000"/>
        </w:rPr>
        <w:t>Medications</w:t>
      </w:r>
      <w:r w:rsidR="003F12A2">
        <w:rPr>
          <w:rFonts w:ascii="Verdana" w:hAnsi="Verdana" w:cs="MS Shell Dlg 2"/>
          <w:color w:val="000000"/>
        </w:rPr>
        <w:t xml:space="preserve"> </w:t>
      </w:r>
      <w:r>
        <w:rPr>
          <w:rFonts w:ascii="Verdana" w:hAnsi="Verdana" w:cs="MS Shell Dlg 2"/>
          <w:color w:val="000000"/>
        </w:rPr>
        <w:t>that</w:t>
      </w:r>
      <w:r w:rsidR="003F12A2">
        <w:rPr>
          <w:rFonts w:ascii="Verdana" w:hAnsi="Verdana" w:cs="MS Shell Dlg 2"/>
          <w:color w:val="000000"/>
        </w:rPr>
        <w:t xml:space="preserve"> </w:t>
      </w:r>
      <w:r>
        <w:rPr>
          <w:rFonts w:ascii="Verdana" w:hAnsi="Verdana" w:cs="MS Shell Dlg 2"/>
          <w:color w:val="000000"/>
        </w:rPr>
        <w:t>are</w:t>
      </w:r>
      <w:r w:rsidR="003F12A2">
        <w:rPr>
          <w:rFonts w:ascii="Verdana" w:hAnsi="Verdana" w:cs="MS Shell Dlg 2"/>
          <w:color w:val="000000"/>
        </w:rPr>
        <w:t xml:space="preserve"> </w:t>
      </w:r>
      <w:r>
        <w:rPr>
          <w:rFonts w:ascii="Verdana" w:hAnsi="Verdana" w:cs="MS Shell Dlg 2"/>
          <w:color w:val="000000"/>
        </w:rPr>
        <w:t>excluded</w:t>
      </w:r>
      <w:r w:rsidR="003F12A2">
        <w:rPr>
          <w:rFonts w:ascii="Verdana" w:hAnsi="Verdana" w:cs="MS Shell Dlg 2"/>
          <w:color w:val="000000"/>
        </w:rPr>
        <w:t xml:space="preserve"> </w:t>
      </w:r>
      <w:r>
        <w:rPr>
          <w:rFonts w:ascii="Verdana" w:hAnsi="Verdana" w:cs="MS Shell Dlg 2"/>
          <w:color w:val="000000"/>
        </w:rPr>
        <w:t>by</w:t>
      </w:r>
      <w:r w:rsidR="003F12A2">
        <w:rPr>
          <w:rFonts w:ascii="Verdana" w:hAnsi="Verdana" w:cs="MS Shell Dlg 2"/>
          <w:color w:val="000000"/>
        </w:rPr>
        <w:t xml:space="preserve"> </w:t>
      </w:r>
      <w:r>
        <w:rPr>
          <w:rFonts w:ascii="Verdana" w:hAnsi="Verdana" w:cs="MS Shell Dlg 2"/>
          <w:color w:val="000000"/>
        </w:rPr>
        <w:t>Medicare</w:t>
      </w:r>
      <w:r w:rsidR="003F12A2">
        <w:rPr>
          <w:rFonts w:ascii="Verdana" w:hAnsi="Verdana" w:cs="MS Shell Dlg 2"/>
          <w:color w:val="000000"/>
        </w:rPr>
        <w:t xml:space="preserve"> </w:t>
      </w:r>
      <w:r>
        <w:rPr>
          <w:rFonts w:ascii="Verdana" w:hAnsi="Verdana" w:cs="MS Shell Dlg 2"/>
          <w:color w:val="000000"/>
        </w:rPr>
        <w:t>could</w:t>
      </w:r>
      <w:r w:rsidR="003F12A2">
        <w:rPr>
          <w:rFonts w:ascii="Verdana" w:hAnsi="Verdana" w:cs="MS Shell Dlg 2"/>
          <w:color w:val="000000"/>
        </w:rPr>
        <w:t xml:space="preserve"> </w:t>
      </w:r>
      <w:r>
        <w:rPr>
          <w:rFonts w:ascii="Verdana" w:hAnsi="Verdana" w:cs="MS Shell Dlg 2"/>
          <w:color w:val="000000"/>
        </w:rPr>
        <w:t>be</w:t>
      </w:r>
      <w:r w:rsidR="003F12A2">
        <w:rPr>
          <w:rFonts w:ascii="Verdana" w:hAnsi="Verdana" w:cs="MS Shell Dlg 2"/>
          <w:color w:val="000000"/>
        </w:rPr>
        <w:t xml:space="preserve"> </w:t>
      </w:r>
      <w:r>
        <w:rPr>
          <w:rFonts w:ascii="Verdana" w:hAnsi="Verdana" w:cs="MS Shell Dlg 2"/>
          <w:color w:val="000000"/>
        </w:rPr>
        <w:t>covered</w:t>
      </w:r>
      <w:r w:rsidR="003F12A2">
        <w:rPr>
          <w:rFonts w:ascii="Verdana" w:hAnsi="Verdana" w:cs="MS Shell Dlg 2"/>
          <w:color w:val="000000"/>
        </w:rPr>
        <w:t xml:space="preserve"> </w:t>
      </w:r>
      <w:r>
        <w:rPr>
          <w:rFonts w:ascii="Verdana" w:hAnsi="Verdana" w:cs="MS Shell Dlg 2"/>
          <w:color w:val="000000"/>
        </w:rPr>
        <w:t>under</w:t>
      </w:r>
      <w:r w:rsidR="003F12A2">
        <w:rPr>
          <w:rFonts w:ascii="Verdana" w:hAnsi="Verdana" w:cs="MS Shell Dlg 2"/>
          <w:color w:val="000000"/>
        </w:rPr>
        <w:t xml:space="preserve"> </w:t>
      </w:r>
      <w:r>
        <w:rPr>
          <w:rFonts w:ascii="Verdana" w:hAnsi="Verdana" w:cs="MS Shell Dlg 2"/>
          <w:color w:val="000000"/>
        </w:rPr>
        <w:t>the</w:t>
      </w:r>
      <w:r w:rsidR="003F12A2">
        <w:rPr>
          <w:rFonts w:ascii="Verdana" w:hAnsi="Verdana" w:cs="MS Shell Dlg 2"/>
          <w:color w:val="000000"/>
        </w:rPr>
        <w:t xml:space="preserve"> </w:t>
      </w:r>
      <w:r>
        <w:rPr>
          <w:rFonts w:ascii="Verdana" w:hAnsi="Verdana" w:cs="MS Shell Dlg 2"/>
          <w:color w:val="000000"/>
        </w:rPr>
        <w:t>Medicaid</w:t>
      </w:r>
      <w:r w:rsidR="003F12A2">
        <w:rPr>
          <w:rFonts w:ascii="Verdana" w:hAnsi="Verdana" w:cs="MS Shell Dlg 2"/>
          <w:color w:val="000000"/>
        </w:rPr>
        <w:t xml:space="preserve"> </w:t>
      </w:r>
      <w:r>
        <w:rPr>
          <w:rFonts w:ascii="Verdana" w:hAnsi="Verdana" w:cs="MS Shell Dlg 2"/>
          <w:color w:val="000000"/>
        </w:rPr>
        <w:t>portion</w:t>
      </w:r>
      <w:r w:rsidR="003F12A2">
        <w:rPr>
          <w:rFonts w:ascii="Verdana" w:hAnsi="Verdana" w:cs="MS Shell Dlg 2"/>
          <w:color w:val="000000"/>
        </w:rPr>
        <w:t xml:space="preserve"> </w:t>
      </w:r>
      <w:r>
        <w:rPr>
          <w:rFonts w:ascii="Verdana" w:hAnsi="Verdana" w:cs="MS Shell Dlg 2"/>
          <w:color w:val="000000"/>
        </w:rPr>
        <w:t>of</w:t>
      </w:r>
      <w:r w:rsidR="003F12A2">
        <w:rPr>
          <w:rFonts w:ascii="Verdana" w:hAnsi="Verdana" w:cs="MS Shell Dlg 2"/>
          <w:color w:val="000000"/>
        </w:rPr>
        <w:t xml:space="preserve"> </w:t>
      </w:r>
      <w:r>
        <w:rPr>
          <w:rFonts w:ascii="Verdana" w:hAnsi="Verdana" w:cs="MS Shell Dlg 2"/>
          <w:color w:val="000000"/>
        </w:rPr>
        <w:t>the</w:t>
      </w:r>
      <w:r w:rsidR="003F12A2">
        <w:rPr>
          <w:rFonts w:ascii="Verdana" w:hAnsi="Verdana" w:cs="MS Shell Dlg 2"/>
          <w:color w:val="000000"/>
        </w:rPr>
        <w:t xml:space="preserve"> </w:t>
      </w:r>
      <w:r>
        <w:rPr>
          <w:rFonts w:ascii="Verdana" w:hAnsi="Verdana" w:cs="MS Shell Dlg 2"/>
          <w:color w:val="000000"/>
        </w:rPr>
        <w:t>plan.</w:t>
      </w:r>
    </w:p>
    <w:p w14:paraId="0DB08685" w14:textId="77777777" w:rsidR="00B63EC8" w:rsidRPr="00B63EC8" w:rsidRDefault="00F4346E" w:rsidP="00B63EC8">
      <w:pPr>
        <w:numPr>
          <w:ilvl w:val="0"/>
          <w:numId w:val="17"/>
        </w:numPr>
        <w:autoSpaceDE w:val="0"/>
        <w:autoSpaceDN w:val="0"/>
        <w:adjustRightInd w:val="0"/>
      </w:pPr>
      <w:r>
        <w:rPr>
          <w:rFonts w:ascii="Verdana" w:eastAsia="Calibri" w:hAnsi="Verdana" w:cs="Verdana"/>
        </w:rPr>
        <w:t>STCOB</w:t>
      </w:r>
      <w:r w:rsidR="003F12A2">
        <w:rPr>
          <w:rFonts w:ascii="Verdana" w:eastAsia="Calibri" w:hAnsi="Verdana" w:cs="Verdana"/>
        </w:rPr>
        <w:t xml:space="preserve"> </w:t>
      </w:r>
      <w:r w:rsidR="00CD7A4C">
        <w:rPr>
          <w:rFonts w:ascii="Verdana" w:eastAsia="Calibri" w:hAnsi="Verdana" w:cs="Verdana"/>
        </w:rPr>
        <w:t>b</w:t>
      </w:r>
      <w:r>
        <w:rPr>
          <w:rFonts w:ascii="Verdana" w:eastAsia="Calibri" w:hAnsi="Verdana" w:cs="Verdana"/>
        </w:rPr>
        <w:t>eneficiaries</w:t>
      </w:r>
      <w:r w:rsidR="003F12A2">
        <w:rPr>
          <w:rFonts w:ascii="Verdana" w:eastAsia="Calibri" w:hAnsi="Verdana" w:cs="Verdana"/>
        </w:rPr>
        <w:t xml:space="preserve"> </w:t>
      </w:r>
      <w:r>
        <w:rPr>
          <w:rFonts w:ascii="Verdana" w:eastAsia="Calibri" w:hAnsi="Verdana" w:cs="Verdana"/>
        </w:rPr>
        <w:t>do</w:t>
      </w:r>
      <w:r w:rsidR="003F12A2">
        <w:rPr>
          <w:rFonts w:ascii="Verdana" w:eastAsia="Calibri" w:hAnsi="Verdana" w:cs="Verdana"/>
        </w:rPr>
        <w:t xml:space="preserve"> </w:t>
      </w:r>
      <w:r w:rsidR="00CD7A4C">
        <w:rPr>
          <w:rFonts w:ascii="Verdana" w:eastAsia="Calibri" w:hAnsi="Verdana" w:cs="Verdana"/>
        </w:rPr>
        <w:t>not</w:t>
      </w:r>
      <w:r w:rsidR="003F12A2">
        <w:rPr>
          <w:rFonts w:ascii="Verdana" w:eastAsia="Calibri" w:hAnsi="Verdana" w:cs="Verdana"/>
        </w:rPr>
        <w:t xml:space="preserve"> </w:t>
      </w:r>
      <w:r w:rsidR="00CD7A4C">
        <w:rPr>
          <w:rFonts w:ascii="Verdana" w:eastAsia="Calibri" w:hAnsi="Verdana" w:cs="Verdana"/>
        </w:rPr>
        <w:t>need</w:t>
      </w:r>
      <w:r w:rsidR="003F12A2">
        <w:rPr>
          <w:rFonts w:ascii="Verdana" w:eastAsia="Calibri" w:hAnsi="Verdana" w:cs="Verdana"/>
        </w:rPr>
        <w:t xml:space="preserve"> </w:t>
      </w:r>
      <w:r w:rsidR="00CD7A4C">
        <w:rPr>
          <w:rFonts w:ascii="Verdana" w:eastAsia="Calibri" w:hAnsi="Verdana" w:cs="Verdana"/>
        </w:rPr>
        <w:t>to</w:t>
      </w:r>
      <w:r w:rsidR="003F12A2">
        <w:rPr>
          <w:rFonts w:ascii="Verdana" w:eastAsia="Calibri" w:hAnsi="Verdana" w:cs="Verdana"/>
        </w:rPr>
        <w:t xml:space="preserve"> </w:t>
      </w:r>
      <w:r w:rsidR="00CD7A4C">
        <w:rPr>
          <w:rFonts w:ascii="Verdana" w:eastAsia="Calibri" w:hAnsi="Verdana" w:cs="Verdana"/>
        </w:rPr>
        <w:t>take</w:t>
      </w:r>
      <w:r w:rsidR="003F12A2">
        <w:rPr>
          <w:rFonts w:ascii="Verdana" w:eastAsia="Calibri" w:hAnsi="Verdana" w:cs="Verdana"/>
        </w:rPr>
        <w:t xml:space="preserve"> </w:t>
      </w:r>
      <w:r w:rsidR="00CD7A4C">
        <w:rPr>
          <w:rFonts w:ascii="Verdana" w:eastAsia="Calibri" w:hAnsi="Verdana" w:cs="Verdana"/>
        </w:rPr>
        <w:t>any</w:t>
      </w:r>
      <w:r w:rsidR="003F12A2">
        <w:rPr>
          <w:rFonts w:ascii="Verdana" w:eastAsia="Calibri" w:hAnsi="Verdana" w:cs="Verdana"/>
        </w:rPr>
        <w:t xml:space="preserve"> </w:t>
      </w:r>
      <w:r w:rsidR="00CD7A4C">
        <w:rPr>
          <w:rFonts w:ascii="Verdana" w:eastAsia="Calibri" w:hAnsi="Verdana" w:cs="Verdana"/>
        </w:rPr>
        <w:t>action</w:t>
      </w:r>
      <w:r w:rsidR="003F12A2">
        <w:rPr>
          <w:rFonts w:ascii="Verdana" w:eastAsia="Calibri" w:hAnsi="Verdana" w:cs="Verdana"/>
        </w:rPr>
        <w:t xml:space="preserve"> </w:t>
      </w:r>
      <w:r w:rsidR="00CD7A4C">
        <w:rPr>
          <w:rFonts w:ascii="Verdana" w:eastAsia="Calibri" w:hAnsi="Verdana" w:cs="Verdana"/>
        </w:rPr>
        <w:t>to</w:t>
      </w:r>
      <w:r w:rsidR="003F12A2">
        <w:rPr>
          <w:rFonts w:ascii="Verdana" w:eastAsia="Calibri" w:hAnsi="Verdana" w:cs="Verdana"/>
        </w:rPr>
        <w:t xml:space="preserve"> </w:t>
      </w:r>
      <w:r>
        <w:rPr>
          <w:rFonts w:ascii="Verdana" w:eastAsia="Calibri" w:hAnsi="Verdana" w:cs="Verdana"/>
        </w:rPr>
        <w:t>hav</w:t>
      </w:r>
      <w:r w:rsidR="002F1FD0">
        <w:rPr>
          <w:rFonts w:ascii="Verdana" w:eastAsia="Calibri" w:hAnsi="Verdana" w:cs="Verdana"/>
        </w:rPr>
        <w:t>e</w:t>
      </w:r>
      <w:r w:rsidR="003F12A2">
        <w:rPr>
          <w:rFonts w:ascii="Verdana" w:eastAsia="Calibri" w:hAnsi="Verdana" w:cs="Verdana"/>
        </w:rPr>
        <w:t xml:space="preserve"> </w:t>
      </w:r>
      <w:r w:rsidR="002F1FD0">
        <w:rPr>
          <w:rFonts w:ascii="Verdana" w:eastAsia="Calibri" w:hAnsi="Verdana" w:cs="Verdana"/>
        </w:rPr>
        <w:t>their</w:t>
      </w:r>
      <w:r w:rsidR="003F12A2">
        <w:rPr>
          <w:rFonts w:ascii="Verdana" w:eastAsia="Calibri" w:hAnsi="Verdana" w:cs="Verdana"/>
        </w:rPr>
        <w:t xml:space="preserve"> </w:t>
      </w:r>
      <w:r w:rsidR="002F1FD0">
        <w:rPr>
          <w:rFonts w:ascii="Verdana" w:eastAsia="Calibri" w:hAnsi="Verdana" w:cs="Verdana"/>
        </w:rPr>
        <w:t>benefits</w:t>
      </w:r>
      <w:r w:rsidR="003F12A2">
        <w:rPr>
          <w:rFonts w:ascii="Verdana" w:eastAsia="Calibri" w:hAnsi="Verdana" w:cs="Verdana"/>
        </w:rPr>
        <w:t xml:space="preserve"> </w:t>
      </w:r>
      <w:r w:rsidR="002F1FD0">
        <w:rPr>
          <w:rFonts w:ascii="Verdana" w:eastAsia="Calibri" w:hAnsi="Verdana" w:cs="Verdana"/>
        </w:rPr>
        <w:t>coordinated.</w:t>
      </w:r>
      <w:r w:rsidR="003F12A2">
        <w:rPr>
          <w:rFonts w:ascii="Verdana" w:eastAsia="Calibri" w:hAnsi="Verdana" w:cs="Verdana"/>
        </w:rPr>
        <w:t xml:space="preserve"> </w:t>
      </w:r>
      <w:r w:rsidR="002F1FD0">
        <w:rPr>
          <w:rFonts w:ascii="Verdana" w:eastAsia="Calibri" w:hAnsi="Verdana" w:cs="Verdana"/>
        </w:rPr>
        <w:t>T</w:t>
      </w:r>
      <w:r>
        <w:rPr>
          <w:rFonts w:ascii="Verdana" w:eastAsia="Calibri" w:hAnsi="Verdana" w:cs="Verdana"/>
        </w:rPr>
        <w:t>h</w:t>
      </w:r>
      <w:r w:rsidR="00CD7A4C">
        <w:rPr>
          <w:rFonts w:ascii="Verdana" w:eastAsia="Calibri" w:hAnsi="Verdana" w:cs="Verdana"/>
        </w:rPr>
        <w:t>is</w:t>
      </w:r>
      <w:r w:rsidR="003F12A2">
        <w:rPr>
          <w:rFonts w:ascii="Verdana" w:eastAsia="Calibri" w:hAnsi="Verdana" w:cs="Verdana"/>
        </w:rPr>
        <w:t xml:space="preserve"> </w:t>
      </w:r>
      <w:r w:rsidR="00CD7A4C">
        <w:rPr>
          <w:rFonts w:ascii="Verdana" w:eastAsia="Calibri" w:hAnsi="Verdana" w:cs="Verdana"/>
        </w:rPr>
        <w:t>is</w:t>
      </w:r>
      <w:r w:rsidR="003F12A2">
        <w:rPr>
          <w:rFonts w:ascii="Verdana" w:eastAsia="Calibri" w:hAnsi="Verdana" w:cs="Verdana"/>
        </w:rPr>
        <w:t xml:space="preserve"> </w:t>
      </w:r>
      <w:r w:rsidR="00CD7A4C">
        <w:rPr>
          <w:rFonts w:ascii="Verdana" w:eastAsia="Calibri" w:hAnsi="Verdana" w:cs="Verdana"/>
        </w:rPr>
        <w:t>set</w:t>
      </w:r>
      <w:r w:rsidR="003F12A2">
        <w:rPr>
          <w:rFonts w:ascii="Verdana" w:eastAsia="Calibri" w:hAnsi="Verdana" w:cs="Verdana"/>
        </w:rPr>
        <w:t xml:space="preserve"> </w:t>
      </w:r>
      <w:r w:rsidR="00CD7A4C">
        <w:rPr>
          <w:rFonts w:ascii="Verdana" w:eastAsia="Calibri" w:hAnsi="Verdana" w:cs="Verdana"/>
        </w:rPr>
        <w:t>up</w:t>
      </w:r>
      <w:r w:rsidR="003F12A2">
        <w:rPr>
          <w:rFonts w:ascii="Verdana" w:eastAsia="Calibri" w:hAnsi="Verdana" w:cs="Verdana"/>
        </w:rPr>
        <w:t xml:space="preserve"> </w:t>
      </w:r>
      <w:r w:rsidR="00CD7A4C">
        <w:rPr>
          <w:rFonts w:ascii="Verdana" w:eastAsia="Calibri" w:hAnsi="Verdana" w:cs="Verdana"/>
        </w:rPr>
        <w:t>on</w:t>
      </w:r>
      <w:r w:rsidR="003F12A2">
        <w:rPr>
          <w:rFonts w:ascii="Verdana" w:eastAsia="Calibri" w:hAnsi="Verdana" w:cs="Verdana"/>
        </w:rPr>
        <w:t xml:space="preserve"> </w:t>
      </w:r>
      <w:r w:rsidR="00CD7A4C">
        <w:rPr>
          <w:rFonts w:ascii="Verdana" w:eastAsia="Calibri" w:hAnsi="Verdana" w:cs="Verdana"/>
        </w:rPr>
        <w:t>their</w:t>
      </w:r>
      <w:r w:rsidR="003F12A2">
        <w:rPr>
          <w:rFonts w:ascii="Verdana" w:eastAsia="Calibri" w:hAnsi="Verdana" w:cs="Verdana"/>
        </w:rPr>
        <w:t xml:space="preserve"> </w:t>
      </w:r>
      <w:r w:rsidR="00CD7A4C">
        <w:rPr>
          <w:rFonts w:ascii="Verdana" w:eastAsia="Calibri" w:hAnsi="Verdana" w:cs="Verdana"/>
        </w:rPr>
        <w:t>behalf</w:t>
      </w:r>
      <w:r w:rsidR="003F12A2">
        <w:rPr>
          <w:rFonts w:ascii="Verdana" w:eastAsia="Calibri" w:hAnsi="Verdana" w:cs="Verdana"/>
        </w:rPr>
        <w:t xml:space="preserve"> </w:t>
      </w:r>
      <w:r w:rsidR="00CD7A4C">
        <w:rPr>
          <w:rFonts w:ascii="Verdana" w:eastAsia="Calibri" w:hAnsi="Verdana" w:cs="Verdana"/>
        </w:rPr>
        <w:t>by</w:t>
      </w:r>
      <w:r w:rsidR="003F12A2">
        <w:rPr>
          <w:rFonts w:ascii="Verdana" w:eastAsia="Calibri" w:hAnsi="Verdana" w:cs="Verdana"/>
        </w:rPr>
        <w:t xml:space="preserve"> </w:t>
      </w:r>
      <w:r>
        <w:rPr>
          <w:rFonts w:ascii="Verdana" w:eastAsia="Calibri" w:hAnsi="Verdana" w:cs="Verdana"/>
        </w:rPr>
        <w:t>their</w:t>
      </w:r>
      <w:r w:rsidR="003F12A2">
        <w:rPr>
          <w:rFonts w:ascii="Verdana" w:eastAsia="Calibri" w:hAnsi="Verdana" w:cs="Verdana"/>
        </w:rPr>
        <w:t xml:space="preserve"> </w:t>
      </w:r>
      <w:r>
        <w:rPr>
          <w:rFonts w:ascii="Verdana" w:eastAsia="Calibri" w:hAnsi="Verdana" w:cs="Verdana"/>
        </w:rPr>
        <w:t>plan</w:t>
      </w:r>
      <w:r w:rsidR="00316B2F">
        <w:rPr>
          <w:rFonts w:ascii="Verdana" w:eastAsia="Calibri" w:hAnsi="Verdana" w:cs="Verdana"/>
        </w:rPr>
        <w:t>.</w:t>
      </w:r>
      <w:r w:rsidR="003F12A2">
        <w:rPr>
          <w:rFonts w:ascii="Verdana" w:eastAsia="Calibri" w:hAnsi="Verdana" w:cs="Verdana"/>
        </w:rPr>
        <w:t xml:space="preserve"> </w:t>
      </w:r>
    </w:p>
    <w:p w14:paraId="482563B9" w14:textId="77777777" w:rsidR="00557BE1" w:rsidRDefault="00CD7A4C" w:rsidP="00B63EC8">
      <w:pPr>
        <w:numPr>
          <w:ilvl w:val="0"/>
          <w:numId w:val="17"/>
        </w:numPr>
        <w:autoSpaceDE w:val="0"/>
        <w:autoSpaceDN w:val="0"/>
        <w:adjustRightInd w:val="0"/>
      </w:pPr>
      <w:r w:rsidRPr="00B63EC8">
        <w:rPr>
          <w:rFonts w:ascii="Verdana" w:eastAsia="Calibri" w:hAnsi="Verdana" w:cs="Verdana"/>
        </w:rPr>
        <w:t>STCOB</w:t>
      </w:r>
      <w:r w:rsidR="003F12A2">
        <w:rPr>
          <w:rFonts w:ascii="Verdana" w:eastAsia="Calibri" w:hAnsi="Verdana" w:cs="Verdana"/>
        </w:rPr>
        <w:t xml:space="preserve"> </w:t>
      </w:r>
      <w:r w:rsidRPr="00B63EC8">
        <w:rPr>
          <w:rFonts w:ascii="Verdana" w:eastAsia="Calibri" w:hAnsi="Verdana" w:cs="Verdana"/>
        </w:rPr>
        <w:t>beneficiaries</w:t>
      </w:r>
      <w:r w:rsidR="003F12A2">
        <w:rPr>
          <w:rFonts w:ascii="Verdana" w:eastAsia="Calibri" w:hAnsi="Verdana" w:cs="Verdana"/>
        </w:rPr>
        <w:t xml:space="preserve"> </w:t>
      </w:r>
      <w:r w:rsidR="00FE2D94" w:rsidRPr="00B63EC8">
        <w:rPr>
          <w:rFonts w:ascii="Verdana" w:eastAsia="Calibri" w:hAnsi="Verdana" w:cs="Verdana"/>
        </w:rPr>
        <w:t>who</w:t>
      </w:r>
      <w:r w:rsidR="003F12A2">
        <w:rPr>
          <w:rFonts w:ascii="Verdana" w:eastAsia="Calibri" w:hAnsi="Verdana" w:cs="Verdana"/>
        </w:rPr>
        <w:t xml:space="preserve"> </w:t>
      </w:r>
      <w:r w:rsidR="00FE2D94" w:rsidRPr="00B63EC8">
        <w:rPr>
          <w:rFonts w:ascii="Verdana" w:eastAsia="Calibri" w:hAnsi="Verdana" w:cs="Verdana"/>
        </w:rPr>
        <w:t>have</w:t>
      </w:r>
      <w:r w:rsidR="003F12A2">
        <w:rPr>
          <w:rFonts w:ascii="Verdana" w:eastAsia="Calibri" w:hAnsi="Verdana" w:cs="Verdana"/>
        </w:rPr>
        <w:t xml:space="preserve"> </w:t>
      </w:r>
      <w:r w:rsidR="00FE2D94" w:rsidRPr="00B63EC8">
        <w:rPr>
          <w:rFonts w:ascii="Verdana" w:eastAsia="Calibri" w:hAnsi="Verdana" w:cs="Verdana"/>
        </w:rPr>
        <w:t>Medicare</w:t>
      </w:r>
      <w:r w:rsidR="003F12A2">
        <w:rPr>
          <w:rFonts w:ascii="Verdana" w:eastAsia="Calibri" w:hAnsi="Verdana" w:cs="Verdana"/>
        </w:rPr>
        <w:t xml:space="preserve"> </w:t>
      </w:r>
      <w:r w:rsidR="00FE2D94" w:rsidRPr="00B63EC8">
        <w:rPr>
          <w:rFonts w:ascii="Verdana" w:eastAsia="Calibri" w:hAnsi="Verdana" w:cs="Verdana"/>
        </w:rPr>
        <w:t>D</w:t>
      </w:r>
      <w:r w:rsidR="003F12A2">
        <w:rPr>
          <w:rFonts w:ascii="Verdana" w:eastAsia="Calibri" w:hAnsi="Verdana" w:cs="Verdana"/>
        </w:rPr>
        <w:t xml:space="preserve"> </w:t>
      </w:r>
      <w:r w:rsidR="00FE2D94" w:rsidRPr="00B63EC8">
        <w:rPr>
          <w:rFonts w:ascii="Verdana" w:eastAsia="Calibri" w:hAnsi="Verdana" w:cs="Verdana"/>
        </w:rPr>
        <w:t>and</w:t>
      </w:r>
      <w:r w:rsidR="003F12A2">
        <w:rPr>
          <w:rFonts w:ascii="Verdana" w:eastAsia="Calibri" w:hAnsi="Verdana" w:cs="Verdana"/>
        </w:rPr>
        <w:t xml:space="preserve"> </w:t>
      </w:r>
      <w:r w:rsidR="00FE2D94" w:rsidRPr="00B63EC8">
        <w:rPr>
          <w:rFonts w:ascii="Verdana" w:eastAsia="Calibri" w:hAnsi="Verdana" w:cs="Verdana"/>
        </w:rPr>
        <w:t>Medicaid</w:t>
      </w:r>
      <w:r w:rsidR="003F12A2">
        <w:rPr>
          <w:rFonts w:ascii="Verdana" w:eastAsia="Calibri" w:hAnsi="Verdana" w:cs="Verdana"/>
        </w:rPr>
        <w:t xml:space="preserve"> </w:t>
      </w:r>
      <w:r w:rsidR="00FE2D94" w:rsidRPr="00B63EC8">
        <w:rPr>
          <w:rFonts w:ascii="Verdana" w:eastAsia="Calibri" w:hAnsi="Verdana" w:cs="Verdana"/>
        </w:rPr>
        <w:t>coverage</w:t>
      </w:r>
      <w:r w:rsidR="003F12A2">
        <w:rPr>
          <w:rFonts w:ascii="Verdana" w:eastAsia="Calibri" w:hAnsi="Verdana" w:cs="Verdana"/>
        </w:rPr>
        <w:t xml:space="preserve"> </w:t>
      </w:r>
      <w:r w:rsidR="00FE2D94" w:rsidRPr="00B63EC8">
        <w:rPr>
          <w:rFonts w:ascii="Verdana" w:eastAsia="Calibri" w:hAnsi="Verdana" w:cs="Verdana"/>
        </w:rPr>
        <w:t>through</w:t>
      </w:r>
      <w:r w:rsidR="003F12A2">
        <w:rPr>
          <w:rFonts w:ascii="Verdana" w:eastAsia="Calibri" w:hAnsi="Verdana" w:cs="Verdana"/>
        </w:rPr>
        <w:t xml:space="preserve"> </w:t>
      </w:r>
      <w:r w:rsidR="00FE2D94" w:rsidRPr="00B63EC8">
        <w:rPr>
          <w:rFonts w:ascii="Verdana" w:eastAsia="Calibri" w:hAnsi="Verdana" w:cs="Verdana"/>
        </w:rPr>
        <w:t>CVS</w:t>
      </w:r>
      <w:r w:rsidR="003F12A2">
        <w:rPr>
          <w:rFonts w:ascii="Verdana" w:eastAsia="Calibri" w:hAnsi="Verdana" w:cs="Verdana"/>
        </w:rPr>
        <w:t xml:space="preserve"> </w:t>
      </w:r>
      <w:r w:rsidR="00FE2D94" w:rsidRPr="00B63EC8">
        <w:rPr>
          <w:rFonts w:ascii="Verdana" w:eastAsia="Calibri" w:hAnsi="Verdana" w:cs="Verdana"/>
        </w:rPr>
        <w:t>Caremark,</w:t>
      </w:r>
      <w:r w:rsidR="003F12A2">
        <w:rPr>
          <w:rFonts w:ascii="Verdana" w:eastAsia="Calibri" w:hAnsi="Verdana" w:cs="Verdana"/>
        </w:rPr>
        <w:t xml:space="preserve"> </w:t>
      </w:r>
      <w:r w:rsidR="00FE2D94" w:rsidRPr="00B63EC8">
        <w:rPr>
          <w:rFonts w:ascii="Verdana" w:eastAsia="Calibri" w:hAnsi="Verdana" w:cs="Verdana"/>
        </w:rPr>
        <w:t>will</w:t>
      </w:r>
      <w:r w:rsidR="003F12A2">
        <w:rPr>
          <w:rFonts w:ascii="Verdana" w:eastAsia="Calibri" w:hAnsi="Verdana" w:cs="Verdana"/>
        </w:rPr>
        <w:t xml:space="preserve"> </w:t>
      </w:r>
      <w:r w:rsidRPr="00B63EC8">
        <w:rPr>
          <w:rFonts w:ascii="Verdana" w:eastAsia="Calibri" w:hAnsi="Verdana" w:cs="Verdana"/>
        </w:rPr>
        <w:t>receive</w:t>
      </w:r>
      <w:r w:rsidR="003F12A2">
        <w:rPr>
          <w:rFonts w:ascii="Verdana" w:eastAsia="Calibri" w:hAnsi="Verdana" w:cs="Verdana"/>
        </w:rPr>
        <w:t xml:space="preserve"> </w:t>
      </w:r>
      <w:r w:rsidRPr="00B63EC8">
        <w:rPr>
          <w:rFonts w:ascii="Verdana" w:eastAsia="Calibri" w:hAnsi="Verdana" w:cs="Verdana"/>
        </w:rPr>
        <w:t>only</w:t>
      </w:r>
      <w:r w:rsidR="003F12A2">
        <w:rPr>
          <w:rFonts w:ascii="Verdana" w:eastAsia="Calibri" w:hAnsi="Verdana" w:cs="Verdana"/>
        </w:rPr>
        <w:t xml:space="preserve"> </w:t>
      </w:r>
      <w:r w:rsidRPr="00B63EC8">
        <w:rPr>
          <w:rFonts w:ascii="Verdana" w:eastAsia="Calibri" w:hAnsi="Verdana" w:cs="Verdana"/>
        </w:rPr>
        <w:t>one</w:t>
      </w:r>
      <w:r w:rsidR="003F12A2">
        <w:rPr>
          <w:rFonts w:ascii="Verdana" w:eastAsia="Calibri" w:hAnsi="Verdana" w:cs="Verdana"/>
        </w:rPr>
        <w:t xml:space="preserve"> </w:t>
      </w:r>
      <w:r w:rsidRPr="00B63EC8">
        <w:rPr>
          <w:rFonts w:ascii="Verdana" w:eastAsia="Calibri" w:hAnsi="Verdana" w:cs="Verdana"/>
        </w:rPr>
        <w:t>ID</w:t>
      </w:r>
      <w:r w:rsidR="003F12A2">
        <w:rPr>
          <w:rFonts w:ascii="Verdana" w:eastAsia="Calibri" w:hAnsi="Verdana" w:cs="Verdana"/>
        </w:rPr>
        <w:t xml:space="preserve"> </w:t>
      </w:r>
      <w:r w:rsidRPr="00B63EC8">
        <w:rPr>
          <w:rFonts w:ascii="Verdana" w:eastAsia="Calibri" w:hAnsi="Verdana" w:cs="Verdana"/>
        </w:rPr>
        <w:t>card.</w:t>
      </w:r>
      <w:r w:rsidR="003F12A2">
        <w:rPr>
          <w:rFonts w:ascii="Verdana" w:eastAsia="Calibri" w:hAnsi="Verdana" w:cs="Verdana"/>
        </w:rPr>
        <w:t xml:space="preserve"> </w:t>
      </w:r>
    </w:p>
    <w:p w14:paraId="5D6F8E04" w14:textId="77777777" w:rsidR="00250C64" w:rsidRDefault="00250C64" w:rsidP="0015397A">
      <w:pPr>
        <w:autoSpaceDE w:val="0"/>
        <w:autoSpaceDN w:val="0"/>
        <w:adjustRightInd w:val="0"/>
        <w:rPr>
          <w:rFonts w:ascii="Verdana" w:hAnsi="Verdana"/>
        </w:rPr>
      </w:pPr>
    </w:p>
    <w:p w14:paraId="1BA8192E" w14:textId="4267F300" w:rsidR="00462E07" w:rsidRDefault="00E87D3F" w:rsidP="00E87D3F">
      <w:pPr>
        <w:rPr>
          <w:rFonts w:ascii="Verdana" w:hAnsi="Verdana" w:cs="MS Shell Dlg 2"/>
          <w:bCs/>
          <w:color w:val="000000"/>
        </w:rPr>
      </w:pPr>
      <w:r w:rsidRPr="00E87D3F">
        <w:rPr>
          <w:rFonts w:ascii="Verdana" w:hAnsi="Verdana" w:cs="MS Shell Dlg 2"/>
          <w:bCs/>
          <w:color w:val="000000"/>
        </w:rPr>
        <w:t xml:space="preserve">There are currently 9 participating states: </w:t>
      </w:r>
      <w:r>
        <w:rPr>
          <w:rFonts w:ascii="Verdana" w:hAnsi="Verdana" w:cs="MS Shell Dlg 2"/>
          <w:bCs/>
          <w:color w:val="000000"/>
        </w:rPr>
        <w:t xml:space="preserve"> </w:t>
      </w:r>
    </w:p>
    <w:p w14:paraId="1ADAB881" w14:textId="77777777" w:rsidR="00462E07" w:rsidRDefault="00E87D3F" w:rsidP="00462E07">
      <w:pPr>
        <w:numPr>
          <w:ilvl w:val="0"/>
          <w:numId w:val="33"/>
        </w:numPr>
        <w:rPr>
          <w:rFonts w:ascii="Verdana" w:hAnsi="Verdana" w:cs="MS Shell Dlg 2"/>
          <w:bCs/>
          <w:color w:val="000000"/>
        </w:rPr>
      </w:pPr>
      <w:r w:rsidRPr="00E87D3F">
        <w:rPr>
          <w:rFonts w:ascii="Verdana" w:hAnsi="Verdana" w:cs="MS Shell Dlg 2"/>
          <w:bCs/>
          <w:color w:val="000000"/>
        </w:rPr>
        <w:t>California</w:t>
      </w:r>
    </w:p>
    <w:p w14:paraId="53E4E895" w14:textId="77777777" w:rsidR="00462E07" w:rsidRDefault="00E87D3F" w:rsidP="00462E07">
      <w:pPr>
        <w:numPr>
          <w:ilvl w:val="0"/>
          <w:numId w:val="33"/>
        </w:numPr>
        <w:rPr>
          <w:rFonts w:ascii="Verdana" w:hAnsi="Verdana" w:cs="MS Shell Dlg 2"/>
          <w:bCs/>
          <w:color w:val="000000"/>
        </w:rPr>
      </w:pPr>
      <w:r w:rsidRPr="00E87D3F">
        <w:rPr>
          <w:rFonts w:ascii="Verdana" w:hAnsi="Verdana" w:cs="MS Shell Dlg 2"/>
          <w:bCs/>
          <w:color w:val="000000"/>
        </w:rPr>
        <w:t>Illinois</w:t>
      </w:r>
    </w:p>
    <w:p w14:paraId="0FBB6D0E" w14:textId="77777777" w:rsidR="00462E07" w:rsidRDefault="00E87D3F" w:rsidP="00462E07">
      <w:pPr>
        <w:numPr>
          <w:ilvl w:val="0"/>
          <w:numId w:val="33"/>
        </w:numPr>
        <w:rPr>
          <w:rFonts w:ascii="Verdana" w:hAnsi="Verdana" w:cs="MS Shell Dlg 2"/>
          <w:bCs/>
          <w:color w:val="000000"/>
        </w:rPr>
      </w:pPr>
      <w:r w:rsidRPr="00E87D3F">
        <w:rPr>
          <w:rFonts w:ascii="Verdana" w:hAnsi="Verdana" w:cs="MS Shell Dlg 2"/>
          <w:bCs/>
          <w:color w:val="000000"/>
        </w:rPr>
        <w:t>Massachusetts</w:t>
      </w:r>
    </w:p>
    <w:p w14:paraId="24536C28" w14:textId="77777777" w:rsidR="00462E07" w:rsidRDefault="00E87D3F" w:rsidP="00462E07">
      <w:pPr>
        <w:numPr>
          <w:ilvl w:val="0"/>
          <w:numId w:val="33"/>
        </w:numPr>
        <w:rPr>
          <w:rFonts w:ascii="Verdana" w:hAnsi="Verdana" w:cs="MS Shell Dlg 2"/>
          <w:bCs/>
          <w:color w:val="000000"/>
        </w:rPr>
      </w:pPr>
      <w:r w:rsidRPr="00E87D3F">
        <w:rPr>
          <w:rFonts w:ascii="Verdana" w:hAnsi="Verdana" w:cs="MS Shell Dlg 2"/>
          <w:bCs/>
          <w:color w:val="000000"/>
        </w:rPr>
        <w:t>Michigan</w:t>
      </w:r>
    </w:p>
    <w:p w14:paraId="2F690B9B" w14:textId="77777777" w:rsidR="00462E07" w:rsidRDefault="00E87D3F" w:rsidP="00462E07">
      <w:pPr>
        <w:numPr>
          <w:ilvl w:val="0"/>
          <w:numId w:val="33"/>
        </w:numPr>
        <w:rPr>
          <w:rFonts w:ascii="Verdana" w:hAnsi="Verdana" w:cs="MS Shell Dlg 2"/>
          <w:bCs/>
          <w:color w:val="000000"/>
        </w:rPr>
      </w:pPr>
      <w:r w:rsidRPr="00E87D3F">
        <w:rPr>
          <w:rFonts w:ascii="Verdana" w:hAnsi="Verdana" w:cs="MS Shell Dlg 2"/>
          <w:bCs/>
          <w:color w:val="000000"/>
        </w:rPr>
        <w:t>New York</w:t>
      </w:r>
    </w:p>
    <w:p w14:paraId="6BEF0150" w14:textId="77777777" w:rsidR="00462E07" w:rsidRDefault="00E87D3F" w:rsidP="00462E07">
      <w:pPr>
        <w:numPr>
          <w:ilvl w:val="0"/>
          <w:numId w:val="33"/>
        </w:numPr>
        <w:rPr>
          <w:rFonts w:ascii="Verdana" w:hAnsi="Verdana" w:cs="MS Shell Dlg 2"/>
          <w:bCs/>
          <w:color w:val="000000"/>
        </w:rPr>
      </w:pPr>
      <w:r w:rsidRPr="00E87D3F">
        <w:rPr>
          <w:rFonts w:ascii="Verdana" w:hAnsi="Verdana" w:cs="MS Shell Dlg 2"/>
          <w:bCs/>
          <w:color w:val="000000"/>
        </w:rPr>
        <w:t>Ohio</w:t>
      </w:r>
    </w:p>
    <w:p w14:paraId="4B124941" w14:textId="77777777" w:rsidR="00462E07" w:rsidRDefault="00E87D3F" w:rsidP="00462E07">
      <w:pPr>
        <w:numPr>
          <w:ilvl w:val="0"/>
          <w:numId w:val="33"/>
        </w:numPr>
        <w:rPr>
          <w:rFonts w:ascii="Verdana" w:hAnsi="Verdana" w:cs="MS Shell Dlg 2"/>
          <w:bCs/>
          <w:color w:val="000000"/>
        </w:rPr>
      </w:pPr>
      <w:r w:rsidRPr="00E87D3F">
        <w:rPr>
          <w:rFonts w:ascii="Verdana" w:hAnsi="Verdana" w:cs="MS Shell Dlg 2"/>
          <w:bCs/>
          <w:color w:val="000000"/>
        </w:rPr>
        <w:t>Rhode Island</w:t>
      </w:r>
    </w:p>
    <w:p w14:paraId="179131BC" w14:textId="77777777" w:rsidR="00462E07" w:rsidRDefault="00E87D3F" w:rsidP="00462E07">
      <w:pPr>
        <w:numPr>
          <w:ilvl w:val="0"/>
          <w:numId w:val="33"/>
        </w:numPr>
        <w:rPr>
          <w:rFonts w:ascii="Verdana" w:hAnsi="Verdana" w:cs="MS Shell Dlg 2"/>
          <w:bCs/>
          <w:color w:val="000000"/>
        </w:rPr>
      </w:pPr>
      <w:r w:rsidRPr="00E87D3F">
        <w:rPr>
          <w:rFonts w:ascii="Verdana" w:hAnsi="Verdana" w:cs="MS Shell Dlg 2"/>
          <w:bCs/>
          <w:color w:val="000000"/>
        </w:rPr>
        <w:t>South Carolina</w:t>
      </w:r>
    </w:p>
    <w:p w14:paraId="382DBB16" w14:textId="77777777" w:rsidR="00462E07" w:rsidRDefault="00E87D3F" w:rsidP="00462E07">
      <w:pPr>
        <w:numPr>
          <w:ilvl w:val="0"/>
          <w:numId w:val="33"/>
        </w:numPr>
        <w:rPr>
          <w:rFonts w:ascii="Verdana" w:hAnsi="Verdana" w:cs="MS Shell Dlg 2"/>
          <w:bCs/>
          <w:color w:val="000000"/>
        </w:rPr>
      </w:pPr>
      <w:r w:rsidRPr="00E87D3F">
        <w:rPr>
          <w:rFonts w:ascii="Verdana" w:hAnsi="Verdana" w:cs="MS Shell Dlg 2"/>
          <w:bCs/>
          <w:color w:val="000000"/>
        </w:rPr>
        <w:t>Texas</w:t>
      </w:r>
    </w:p>
    <w:p w14:paraId="4D6F00E6" w14:textId="77777777" w:rsidR="00462E07" w:rsidRDefault="00462E07" w:rsidP="00462E07">
      <w:pPr>
        <w:rPr>
          <w:rFonts w:ascii="Verdana" w:hAnsi="Verdana" w:cs="MS Shell Dlg 2"/>
          <w:bCs/>
          <w:color w:val="000000"/>
        </w:rPr>
      </w:pPr>
    </w:p>
    <w:p w14:paraId="36826374" w14:textId="178F3300" w:rsidR="00E87D3F" w:rsidRDefault="00E87D3F" w:rsidP="00462E07">
      <w:pPr>
        <w:rPr>
          <w:rFonts w:ascii="Verdana" w:hAnsi="Verdana" w:cs="MS Shell Dlg 2"/>
          <w:bCs/>
          <w:color w:val="000000"/>
        </w:rPr>
      </w:pPr>
      <w:r w:rsidRPr="00E87D3F">
        <w:rPr>
          <w:rFonts w:ascii="Verdana" w:hAnsi="Verdana" w:cs="MS Shell Dlg 2"/>
          <w:bCs/>
          <w:color w:val="000000"/>
        </w:rPr>
        <w:t>Each of these states has begun either voluntary or passive enrollment of duals into fully integrated plans providing both Medicaid and Medicare benefits (“Medicare-Medicaid Plans,” or “MMPs”) under three-way contracts between the state, the Centers for Medicare &amp; Medicaid Services (CMS), and the MMP.</w:t>
      </w:r>
    </w:p>
    <w:p w14:paraId="432E2232" w14:textId="77777777" w:rsidR="00E87D3F" w:rsidRDefault="00E87D3F" w:rsidP="00770627">
      <w:pPr>
        <w:autoSpaceDE w:val="0"/>
        <w:autoSpaceDN w:val="0"/>
        <w:adjustRightInd w:val="0"/>
        <w:jc w:val="right"/>
        <w:rPr>
          <w:rFonts w:ascii="Verdana" w:hAnsi="Verdana"/>
        </w:rPr>
      </w:pPr>
    </w:p>
    <w:p w14:paraId="5BE2B5D3" w14:textId="77777777" w:rsidR="00770627" w:rsidRPr="00D74452" w:rsidRDefault="00000000" w:rsidP="00770627">
      <w:pPr>
        <w:autoSpaceDE w:val="0"/>
        <w:autoSpaceDN w:val="0"/>
        <w:adjustRightInd w:val="0"/>
        <w:jc w:val="right"/>
        <w:rPr>
          <w:rFonts w:ascii="Verdana" w:hAnsi="Verdana"/>
        </w:rPr>
      </w:pPr>
      <w:hyperlink w:anchor="_top" w:history="1">
        <w:r w:rsidR="00770627" w:rsidRPr="00D74452">
          <w:rPr>
            <w:rStyle w:val="Hyperlink"/>
            <w:rFonts w:ascii="Verdana" w:hAnsi="Verdana"/>
          </w:rPr>
          <w:t>Top</w:t>
        </w:r>
        <w:r w:rsidR="003F12A2">
          <w:rPr>
            <w:rStyle w:val="Hyperlink"/>
            <w:rFonts w:ascii="Verdana" w:hAnsi="Verdana"/>
          </w:rPr>
          <w:t xml:space="preserve"> </w:t>
        </w:r>
        <w:r w:rsidR="00770627" w:rsidRPr="00D74452">
          <w:rPr>
            <w:rStyle w:val="Hyperlink"/>
            <w:rFonts w:ascii="Verdana" w:hAnsi="Verdana"/>
          </w:rPr>
          <w:t>of</w:t>
        </w:r>
        <w:r w:rsidR="003F12A2">
          <w:rPr>
            <w:rStyle w:val="Hyperlink"/>
            <w:rFonts w:ascii="Verdana" w:hAnsi="Verdana"/>
          </w:rPr>
          <w:t xml:space="preserve"> </w:t>
        </w:r>
        <w:r w:rsidR="00770627" w:rsidRPr="00D74452">
          <w:rPr>
            <w:rStyle w:val="Hyperlink"/>
            <w:rFonts w:ascii="Verdana" w:hAnsi="Verdana"/>
          </w:rPr>
          <w:t>the</w:t>
        </w:r>
        <w:r w:rsidR="003F12A2">
          <w:rPr>
            <w:rStyle w:val="Hyperlink"/>
            <w:rFonts w:ascii="Verdana" w:hAnsi="Verdana"/>
          </w:rPr>
          <w:t xml:space="preserve"> </w:t>
        </w:r>
        <w:r w:rsidR="00770627" w:rsidRPr="00D74452">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70627" w:rsidRPr="00BF74E9" w14:paraId="24032516" w14:textId="77777777" w:rsidTr="00FF52CE">
        <w:tc>
          <w:tcPr>
            <w:tcW w:w="5000" w:type="pct"/>
            <w:shd w:val="clear" w:color="auto" w:fill="C0C0C0"/>
          </w:tcPr>
          <w:p w14:paraId="23663B71" w14:textId="0B6B9D26" w:rsidR="00770627" w:rsidRPr="00586CD9" w:rsidRDefault="00770627" w:rsidP="00FF52CE">
            <w:pPr>
              <w:pStyle w:val="Heading2"/>
              <w:rPr>
                <w:rFonts w:ascii="Verdana" w:hAnsi="Verdana"/>
                <w:i w:val="0"/>
              </w:rPr>
            </w:pPr>
            <w:bookmarkStart w:id="11" w:name="_Toc157421733"/>
            <w:r w:rsidRPr="00D74452">
              <w:rPr>
                <w:rFonts w:ascii="Verdana" w:hAnsi="Verdana"/>
                <w:i w:val="0"/>
              </w:rPr>
              <w:t>How</w:t>
            </w:r>
            <w:r w:rsidR="003F12A2">
              <w:rPr>
                <w:rFonts w:ascii="Verdana" w:hAnsi="Verdana"/>
                <w:i w:val="0"/>
              </w:rPr>
              <w:t xml:space="preserve"> </w:t>
            </w:r>
            <w:r w:rsidRPr="00D74452">
              <w:rPr>
                <w:rFonts w:ascii="Verdana" w:hAnsi="Verdana"/>
                <w:i w:val="0"/>
              </w:rPr>
              <w:t>to</w:t>
            </w:r>
            <w:r w:rsidR="003F12A2">
              <w:rPr>
                <w:rFonts w:ascii="Verdana" w:hAnsi="Verdana"/>
                <w:i w:val="0"/>
              </w:rPr>
              <w:t xml:space="preserve"> </w:t>
            </w:r>
            <w:r w:rsidRPr="00D74452">
              <w:rPr>
                <w:rFonts w:ascii="Verdana" w:hAnsi="Verdana"/>
                <w:i w:val="0"/>
              </w:rPr>
              <w:t>Identify</w:t>
            </w:r>
            <w:r w:rsidR="003F12A2">
              <w:rPr>
                <w:rFonts w:ascii="Verdana" w:hAnsi="Verdana"/>
                <w:i w:val="0"/>
              </w:rPr>
              <w:t xml:space="preserve"> </w:t>
            </w:r>
            <w:r w:rsidRPr="00D74452">
              <w:rPr>
                <w:rFonts w:ascii="Verdana" w:hAnsi="Verdana"/>
                <w:i w:val="0"/>
              </w:rPr>
              <w:t>a</w:t>
            </w:r>
            <w:r w:rsidR="003F12A2">
              <w:rPr>
                <w:rFonts w:ascii="Verdana" w:hAnsi="Verdana"/>
                <w:i w:val="0"/>
              </w:rPr>
              <w:t xml:space="preserve"> </w:t>
            </w:r>
            <w:r w:rsidRPr="00D74452">
              <w:rPr>
                <w:rFonts w:ascii="Verdana" w:hAnsi="Verdana"/>
                <w:i w:val="0"/>
              </w:rPr>
              <w:t>Dual</w:t>
            </w:r>
            <w:r w:rsidR="003F12A2">
              <w:rPr>
                <w:rFonts w:ascii="Verdana" w:hAnsi="Verdana"/>
                <w:i w:val="0"/>
              </w:rPr>
              <w:t xml:space="preserve"> </w:t>
            </w:r>
            <w:r w:rsidRPr="00D74452">
              <w:rPr>
                <w:rFonts w:ascii="Verdana" w:hAnsi="Verdana"/>
                <w:i w:val="0"/>
              </w:rPr>
              <w:t>Demo/MMP/DSNIP</w:t>
            </w:r>
            <w:r w:rsidR="003F12A2">
              <w:rPr>
                <w:rFonts w:ascii="Verdana" w:hAnsi="Verdana"/>
                <w:i w:val="0"/>
              </w:rPr>
              <w:t xml:space="preserve"> </w:t>
            </w:r>
            <w:r w:rsidRPr="00D74452">
              <w:rPr>
                <w:rFonts w:ascii="Verdana" w:hAnsi="Verdana"/>
                <w:i w:val="0"/>
              </w:rPr>
              <w:t>Plan</w:t>
            </w:r>
            <w:r w:rsidR="003F12A2">
              <w:rPr>
                <w:rFonts w:ascii="Verdana" w:hAnsi="Verdana"/>
                <w:i w:val="0"/>
              </w:rPr>
              <w:t xml:space="preserve"> </w:t>
            </w:r>
            <w:r w:rsidRPr="00D74452">
              <w:rPr>
                <w:rFonts w:ascii="Verdana" w:hAnsi="Verdana"/>
                <w:i w:val="0"/>
              </w:rPr>
              <w:t>in</w:t>
            </w:r>
            <w:r w:rsidR="003F12A2">
              <w:rPr>
                <w:rFonts w:ascii="Verdana" w:hAnsi="Verdana"/>
                <w:i w:val="0"/>
              </w:rPr>
              <w:t xml:space="preserve"> </w:t>
            </w:r>
            <w:r w:rsidR="00DE30AE" w:rsidRPr="00DE30AE">
              <w:rPr>
                <w:rFonts w:ascii="Verdana" w:hAnsi="Verdana"/>
                <w:i w:val="0"/>
              </w:rPr>
              <w:t>C</w:t>
            </w:r>
            <w:r w:rsidR="00DE30AE" w:rsidRPr="009D7E0B">
              <w:rPr>
                <w:rFonts w:ascii="Verdana" w:hAnsi="Verdana"/>
                <w:i w:val="0"/>
              </w:rPr>
              <w:t>ompass</w:t>
            </w:r>
            <w:bookmarkEnd w:id="11"/>
          </w:p>
        </w:tc>
      </w:tr>
    </w:tbl>
    <w:p w14:paraId="27B277F6" w14:textId="77777777" w:rsidR="00770627" w:rsidRPr="00770627" w:rsidRDefault="00770627" w:rsidP="00770627">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3"/>
        <w:gridCol w:w="10987"/>
      </w:tblGrid>
      <w:tr w:rsidR="00533BBB" w:rsidRPr="00770627" w14:paraId="003F051B" w14:textId="77777777" w:rsidTr="00E920C7">
        <w:tc>
          <w:tcPr>
            <w:tcW w:w="758" w:type="pct"/>
          </w:tcPr>
          <w:p w14:paraId="04B0F056" w14:textId="77777777" w:rsidR="00533BBB" w:rsidRPr="00770627" w:rsidRDefault="00533BBB" w:rsidP="0018239B">
            <w:pPr>
              <w:rPr>
                <w:rFonts w:ascii="Verdana" w:hAnsi="Verdana"/>
                <w:b/>
                <w:bCs/>
              </w:rPr>
            </w:pPr>
            <w:r w:rsidRPr="00770627">
              <w:rPr>
                <w:rFonts w:ascii="Verdana" w:hAnsi="Verdana"/>
                <w:b/>
                <w:iCs/>
              </w:rPr>
              <w:t>MED</w:t>
            </w:r>
            <w:r w:rsidR="003F12A2">
              <w:rPr>
                <w:rFonts w:ascii="Verdana" w:hAnsi="Verdana"/>
                <w:b/>
                <w:iCs/>
              </w:rPr>
              <w:t xml:space="preserve"> </w:t>
            </w:r>
            <w:r w:rsidRPr="00770627">
              <w:rPr>
                <w:rFonts w:ascii="Verdana" w:hAnsi="Verdana"/>
                <w:b/>
                <w:iCs/>
              </w:rPr>
              <w:t>D</w:t>
            </w:r>
            <w:r w:rsidR="003F12A2">
              <w:rPr>
                <w:rFonts w:ascii="Verdana" w:hAnsi="Verdana"/>
                <w:b/>
                <w:iCs/>
              </w:rPr>
              <w:t xml:space="preserve"> </w:t>
            </w:r>
            <w:r w:rsidRPr="00770627">
              <w:rPr>
                <w:rFonts w:ascii="Verdana" w:hAnsi="Verdana"/>
                <w:b/>
                <w:iCs/>
              </w:rPr>
              <w:t>&amp;</w:t>
            </w:r>
            <w:r w:rsidR="003F12A2">
              <w:rPr>
                <w:rFonts w:ascii="Verdana" w:hAnsi="Verdana"/>
                <w:b/>
                <w:iCs/>
              </w:rPr>
              <w:t xml:space="preserve"> </w:t>
            </w:r>
            <w:r w:rsidRPr="00770627">
              <w:rPr>
                <w:rFonts w:ascii="Verdana" w:hAnsi="Verdana"/>
                <w:b/>
                <w:iCs/>
              </w:rPr>
              <w:t>Medicaid</w:t>
            </w:r>
            <w:r w:rsidR="003F12A2">
              <w:rPr>
                <w:rFonts w:ascii="Verdana" w:hAnsi="Verdana"/>
                <w:b/>
                <w:iCs/>
              </w:rPr>
              <w:t xml:space="preserve"> </w:t>
            </w:r>
            <w:r w:rsidRPr="00770627">
              <w:rPr>
                <w:rFonts w:ascii="Verdana" w:hAnsi="Verdana"/>
                <w:b/>
                <w:iCs/>
              </w:rPr>
              <w:t>Dual</w:t>
            </w:r>
            <w:r w:rsidR="003F12A2">
              <w:rPr>
                <w:rFonts w:ascii="Verdana" w:hAnsi="Verdana"/>
                <w:b/>
                <w:iCs/>
              </w:rPr>
              <w:t xml:space="preserve"> </w:t>
            </w:r>
            <w:r w:rsidRPr="00770627">
              <w:rPr>
                <w:rFonts w:ascii="Verdana" w:hAnsi="Verdana"/>
                <w:b/>
                <w:iCs/>
              </w:rPr>
              <w:t>Demo</w:t>
            </w:r>
            <w:r w:rsidR="003F12A2">
              <w:rPr>
                <w:rFonts w:ascii="Verdana" w:hAnsi="Verdana"/>
                <w:b/>
                <w:iCs/>
              </w:rPr>
              <w:t xml:space="preserve"> </w:t>
            </w:r>
            <w:r w:rsidRPr="00770627">
              <w:rPr>
                <w:rFonts w:ascii="Verdana" w:hAnsi="Verdana"/>
                <w:b/>
                <w:iCs/>
              </w:rPr>
              <w:t>STCOB</w:t>
            </w:r>
          </w:p>
        </w:tc>
        <w:tc>
          <w:tcPr>
            <w:tcW w:w="4242" w:type="pct"/>
          </w:tcPr>
          <w:p w14:paraId="1300D029" w14:textId="0719D5EA" w:rsidR="00533BBB" w:rsidRDefault="00410539" w:rsidP="009A30B7">
            <w:pPr>
              <w:rPr>
                <w:rFonts w:ascii="Verdana" w:hAnsi="Verdana"/>
                <w:noProof/>
              </w:rPr>
            </w:pPr>
            <w:r>
              <w:rPr>
                <w:rFonts w:ascii="Verdana" w:hAnsi="Verdana"/>
                <w:noProof/>
              </w:rPr>
              <w:t>From the Member Snapshot Landing Page, r</w:t>
            </w:r>
            <w:r w:rsidR="009A30B7">
              <w:rPr>
                <w:rFonts w:ascii="Verdana" w:hAnsi="Verdana"/>
                <w:noProof/>
              </w:rPr>
              <w:t xml:space="preserve">eview the the Member Details </w:t>
            </w:r>
            <w:r>
              <w:rPr>
                <w:rFonts w:ascii="Verdana" w:hAnsi="Verdana"/>
                <w:noProof/>
              </w:rPr>
              <w:t>p</w:t>
            </w:r>
            <w:r w:rsidR="009A30B7">
              <w:rPr>
                <w:rFonts w:ascii="Verdana" w:hAnsi="Verdana"/>
                <w:noProof/>
              </w:rPr>
              <w:t xml:space="preserve">anel </w:t>
            </w:r>
          </w:p>
          <w:p w14:paraId="676CE26D" w14:textId="77777777" w:rsidR="005C2CBC" w:rsidRDefault="005C2CBC" w:rsidP="009A30B7">
            <w:pPr>
              <w:rPr>
                <w:rFonts w:ascii="Verdana" w:hAnsi="Verdana"/>
                <w:noProof/>
              </w:rPr>
            </w:pPr>
          </w:p>
          <w:p w14:paraId="5E5F3481" w14:textId="3CC8A439" w:rsidR="005C2CBC" w:rsidRDefault="005C2CBC" w:rsidP="005C2CBC">
            <w:pPr>
              <w:numPr>
                <w:ilvl w:val="0"/>
                <w:numId w:val="34"/>
              </w:numPr>
              <w:rPr>
                <w:rFonts w:ascii="Verdana" w:eastAsia="Calibri" w:hAnsi="Verdana"/>
              </w:rPr>
            </w:pPr>
            <w:r>
              <w:rPr>
                <w:rFonts w:ascii="Verdana" w:eastAsia="Calibri" w:hAnsi="Verdana"/>
              </w:rPr>
              <w:t xml:space="preserve">Click the </w:t>
            </w:r>
            <w:r>
              <w:rPr>
                <w:rFonts w:ascii="Verdana" w:eastAsia="Calibri" w:hAnsi="Verdana"/>
                <w:b/>
              </w:rPr>
              <w:t>V</w:t>
            </w:r>
            <w:r w:rsidRPr="009D7E0B">
              <w:rPr>
                <w:rFonts w:ascii="Verdana" w:eastAsia="Calibri" w:hAnsi="Verdana"/>
                <w:b/>
              </w:rPr>
              <w:t xml:space="preserve">iew Additional </w:t>
            </w:r>
            <w:r>
              <w:rPr>
                <w:rFonts w:ascii="Verdana" w:eastAsia="Calibri" w:hAnsi="Verdana"/>
                <w:bCs/>
              </w:rPr>
              <w:t xml:space="preserve">(Coverage) </w:t>
            </w:r>
            <w:r w:rsidRPr="009D7E0B">
              <w:rPr>
                <w:rFonts w:ascii="Verdana" w:eastAsia="Calibri" w:hAnsi="Verdana"/>
                <w:bCs/>
              </w:rPr>
              <w:t>hyperlink</w:t>
            </w:r>
            <w:r>
              <w:rPr>
                <w:rFonts w:ascii="Verdana" w:eastAsia="Calibri" w:hAnsi="Verdana"/>
              </w:rPr>
              <w:t xml:space="preserve"> </w:t>
            </w:r>
            <w:r>
              <w:rPr>
                <w:rFonts w:ascii="Verdana" w:eastAsia="Calibri" w:hAnsi="Verdana"/>
                <w:bCs/>
              </w:rPr>
              <w:t xml:space="preserve">and review the </w:t>
            </w:r>
            <w:r w:rsidRPr="009D7E0B">
              <w:rPr>
                <w:rFonts w:ascii="Verdana" w:eastAsia="Calibri" w:hAnsi="Verdana"/>
                <w:b/>
                <w:bCs/>
              </w:rPr>
              <w:t>Open Different Account</w:t>
            </w:r>
            <w:r w:rsidRPr="009D7E0B">
              <w:rPr>
                <w:rFonts w:ascii="Verdana" w:eastAsia="Calibri" w:hAnsi="Verdana"/>
              </w:rPr>
              <w:t xml:space="preserve"> popup</w:t>
            </w:r>
            <w:r>
              <w:rPr>
                <w:rFonts w:ascii="Verdana" w:eastAsia="Calibri" w:hAnsi="Verdana"/>
              </w:rPr>
              <w:t xml:space="preserve"> to determine if there is an active Member ID</w:t>
            </w:r>
            <w:r w:rsidR="00D92D9A">
              <w:rPr>
                <w:rFonts w:ascii="Verdana" w:eastAsia="Calibri" w:hAnsi="Verdana"/>
              </w:rPr>
              <w:t>.</w:t>
            </w:r>
            <w:r>
              <w:rPr>
                <w:rFonts w:ascii="Verdana" w:eastAsia="Calibri" w:hAnsi="Verdana"/>
              </w:rPr>
              <w:t xml:space="preserve"> </w:t>
            </w:r>
            <w:r w:rsidR="00D92D9A">
              <w:rPr>
                <w:rFonts w:ascii="Verdana" w:eastAsia="Calibri" w:hAnsi="Verdana"/>
              </w:rPr>
              <w:t>I</w:t>
            </w:r>
            <w:r>
              <w:rPr>
                <w:rFonts w:ascii="Verdana" w:eastAsia="Calibri" w:hAnsi="Verdana"/>
              </w:rPr>
              <w:t>f so, then the beneficiary has STCOB.</w:t>
            </w:r>
          </w:p>
          <w:p w14:paraId="056E219E" w14:textId="6B9333B4" w:rsidR="005C2CBC" w:rsidRDefault="005B54BD" w:rsidP="005C2CBC">
            <w:pPr>
              <w:numPr>
                <w:ilvl w:val="1"/>
                <w:numId w:val="34"/>
              </w:numPr>
              <w:rPr>
                <w:rFonts w:ascii="Verdana" w:eastAsia="Calibri" w:hAnsi="Verdana"/>
              </w:rPr>
            </w:pPr>
            <w:r>
              <w:rPr>
                <w:rFonts w:ascii="Verdana" w:eastAsia="Calibri" w:hAnsi="Verdana"/>
              </w:rPr>
              <w:t>The ID in the Member ID column</w:t>
            </w:r>
            <w:r w:rsidR="005C2CBC">
              <w:rPr>
                <w:rFonts w:ascii="Verdana" w:eastAsia="Calibri" w:hAnsi="Verdana"/>
              </w:rPr>
              <w:t xml:space="preserve"> is the beneficiary</w:t>
            </w:r>
            <w:r>
              <w:rPr>
                <w:rFonts w:ascii="Verdana" w:eastAsia="Calibri" w:hAnsi="Verdana"/>
              </w:rPr>
              <w:t>’s</w:t>
            </w:r>
            <w:r w:rsidR="005C2CBC">
              <w:rPr>
                <w:rFonts w:ascii="Verdana" w:eastAsia="Calibri" w:hAnsi="Verdana"/>
              </w:rPr>
              <w:t xml:space="preserve"> secondary </w:t>
            </w:r>
            <w:r>
              <w:rPr>
                <w:rFonts w:ascii="Verdana" w:eastAsia="Calibri" w:hAnsi="Verdana"/>
              </w:rPr>
              <w:t>plan</w:t>
            </w:r>
            <w:r w:rsidR="005C2CBC">
              <w:rPr>
                <w:rFonts w:ascii="Verdana" w:eastAsia="Calibri" w:hAnsi="Verdana"/>
              </w:rPr>
              <w:t xml:space="preserve"> ID.</w:t>
            </w:r>
          </w:p>
          <w:p w14:paraId="6D0C5B53" w14:textId="77777777" w:rsidR="005C2CBC" w:rsidRDefault="005C2CBC" w:rsidP="005C2CBC">
            <w:pPr>
              <w:numPr>
                <w:ilvl w:val="0"/>
                <w:numId w:val="34"/>
              </w:numPr>
              <w:rPr>
                <w:rFonts w:ascii="Verdana" w:eastAsia="Calibri" w:hAnsi="Verdana"/>
              </w:rPr>
            </w:pPr>
            <w:r>
              <w:rPr>
                <w:rFonts w:ascii="Verdana" w:eastAsia="Calibri" w:hAnsi="Verdana"/>
              </w:rPr>
              <w:t>The hyperlink will open the alternate account, allowing you to switch between the primary and secondary accounts.</w:t>
            </w:r>
          </w:p>
          <w:p w14:paraId="0E187073" w14:textId="77777777" w:rsidR="005C2CBC" w:rsidRDefault="005C2CBC" w:rsidP="005C2CBC">
            <w:pPr>
              <w:numPr>
                <w:ilvl w:val="0"/>
                <w:numId w:val="34"/>
              </w:numPr>
              <w:rPr>
                <w:rFonts w:ascii="Verdana" w:hAnsi="Verdana"/>
                <w:iCs/>
              </w:rPr>
            </w:pPr>
            <w:r>
              <w:rPr>
                <w:rFonts w:ascii="Verdana" w:hAnsi="Verdana"/>
                <w:iCs/>
              </w:rPr>
              <w:t>When quoting information such as drug coverage and pricing, order status, and refills, CCRs must ensure they are working within the beneficiary’s primary Medicare D account.</w:t>
            </w:r>
          </w:p>
          <w:p w14:paraId="021CBBEE" w14:textId="77777777" w:rsidR="005C2CBC" w:rsidRDefault="005C2CBC" w:rsidP="009A30B7">
            <w:pPr>
              <w:rPr>
                <w:rFonts w:ascii="Verdana" w:hAnsi="Verdana"/>
                <w:noProof/>
              </w:rPr>
            </w:pPr>
          </w:p>
          <w:p w14:paraId="33F34689" w14:textId="77777777" w:rsidR="009A30B7" w:rsidRDefault="009A30B7" w:rsidP="0018239B">
            <w:pPr>
              <w:jc w:val="center"/>
              <w:rPr>
                <w:rFonts w:ascii="Verdana" w:hAnsi="Verdana"/>
                <w:noProof/>
              </w:rPr>
            </w:pPr>
          </w:p>
          <w:p w14:paraId="213E8239" w14:textId="7850F41F" w:rsidR="00770627" w:rsidRPr="00770627" w:rsidRDefault="009E772B" w:rsidP="0018239B">
            <w:pPr>
              <w:jc w:val="center"/>
              <w:rPr>
                <w:rFonts w:ascii="Verdana" w:hAnsi="Verdana"/>
                <w:b/>
              </w:rPr>
            </w:pPr>
            <w:r>
              <w:rPr>
                <w:noProof/>
              </w:rPr>
              <w:drawing>
                <wp:inline distT="0" distB="0" distL="0" distR="0" wp14:anchorId="531AEB96" wp14:editId="1F55FE01">
                  <wp:extent cx="3714750" cy="4752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4752975"/>
                          </a:xfrm>
                          <a:prstGeom prst="rect">
                            <a:avLst/>
                          </a:prstGeom>
                          <a:noFill/>
                          <a:ln>
                            <a:noFill/>
                          </a:ln>
                        </pic:spPr>
                      </pic:pic>
                    </a:graphicData>
                  </a:graphic>
                </wp:inline>
              </w:drawing>
            </w:r>
          </w:p>
          <w:p w14:paraId="76168990" w14:textId="77777777" w:rsidR="00A81550" w:rsidRDefault="00A81550" w:rsidP="00A81550">
            <w:pPr>
              <w:ind w:left="720"/>
              <w:rPr>
                <w:rFonts w:ascii="Verdana" w:eastAsia="Calibri" w:hAnsi="Verdana"/>
              </w:rPr>
            </w:pPr>
          </w:p>
          <w:p w14:paraId="025D524C" w14:textId="2D092EF4" w:rsidR="001F4448" w:rsidRDefault="009E772B" w:rsidP="00E920C7">
            <w:pPr>
              <w:rPr>
                <w:noProof/>
              </w:rPr>
            </w:pPr>
            <w:r w:rsidRPr="003C6899">
              <w:rPr>
                <w:noProof/>
              </w:rPr>
              <w:drawing>
                <wp:inline distT="0" distB="0" distL="0" distR="0" wp14:anchorId="251BBD23" wp14:editId="16A2719B">
                  <wp:extent cx="9144000" cy="9736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973629"/>
                          </a:xfrm>
                          <a:prstGeom prst="rect">
                            <a:avLst/>
                          </a:prstGeom>
                          <a:noFill/>
                          <a:ln>
                            <a:noFill/>
                          </a:ln>
                        </pic:spPr>
                      </pic:pic>
                    </a:graphicData>
                  </a:graphic>
                </wp:inline>
              </w:drawing>
            </w:r>
          </w:p>
          <w:p w14:paraId="6AB456BC" w14:textId="77777777" w:rsidR="001F4448" w:rsidRPr="00770627" w:rsidRDefault="001F4448" w:rsidP="001F4448">
            <w:pPr>
              <w:ind w:left="720"/>
              <w:jc w:val="center"/>
              <w:rPr>
                <w:rFonts w:ascii="Verdana" w:eastAsia="Calibri" w:hAnsi="Verdana"/>
              </w:rPr>
            </w:pPr>
          </w:p>
          <w:p w14:paraId="7228A75A" w14:textId="77777777" w:rsidR="00533BBB" w:rsidRPr="00770627" w:rsidRDefault="00533BBB" w:rsidP="0018239B">
            <w:pPr>
              <w:pStyle w:val="ListParagraph"/>
              <w:ind w:left="0"/>
              <w:jc w:val="center"/>
              <w:rPr>
                <w:rFonts w:ascii="Verdana" w:hAnsi="Verdana"/>
                <w:noProof/>
              </w:rPr>
            </w:pPr>
          </w:p>
          <w:p w14:paraId="395D1779" w14:textId="59719245" w:rsidR="001E0D4E" w:rsidRDefault="00770627" w:rsidP="0018239B">
            <w:pPr>
              <w:pStyle w:val="ListParagraph"/>
              <w:ind w:left="0"/>
              <w:rPr>
                <w:rFonts w:ascii="Verdana" w:hAnsi="Verdana"/>
              </w:rPr>
            </w:pPr>
            <w:r>
              <w:rPr>
                <w:rFonts w:ascii="Verdana" w:hAnsi="Verdana"/>
                <w:b/>
                <w:bCs/>
              </w:rPr>
              <w:t>Note</w:t>
            </w:r>
            <w:r w:rsidR="001E0D4E">
              <w:rPr>
                <w:rFonts w:ascii="Verdana" w:hAnsi="Verdana"/>
                <w:b/>
                <w:bCs/>
              </w:rPr>
              <w:t>:</w:t>
            </w:r>
            <w:r w:rsidR="00D92D9A">
              <w:rPr>
                <w:rFonts w:ascii="Verdana" w:hAnsi="Verdana"/>
              </w:rPr>
              <w:t xml:space="preserve">  </w:t>
            </w:r>
            <w:r w:rsidR="001E0D4E">
              <w:rPr>
                <w:rFonts w:ascii="Verdana" w:hAnsi="Verdana"/>
              </w:rPr>
              <w:t xml:space="preserve">When accessing the secondary account from the </w:t>
            </w:r>
            <w:r w:rsidR="001E0D4E" w:rsidRPr="00D92D9A">
              <w:rPr>
                <w:rFonts w:ascii="Verdana" w:hAnsi="Verdana"/>
                <w:b/>
                <w:bCs/>
              </w:rPr>
              <w:t>View Additional</w:t>
            </w:r>
            <w:r w:rsidR="001E0D4E">
              <w:rPr>
                <w:rFonts w:ascii="Verdana" w:hAnsi="Verdana"/>
              </w:rPr>
              <w:t xml:space="preserve"> </w:t>
            </w:r>
            <w:r w:rsidR="00D92D9A">
              <w:rPr>
                <w:rFonts w:ascii="Verdana" w:hAnsi="Verdana"/>
              </w:rPr>
              <w:t>(</w:t>
            </w:r>
            <w:r w:rsidR="001E0D4E">
              <w:rPr>
                <w:rFonts w:ascii="Verdana" w:hAnsi="Verdana"/>
              </w:rPr>
              <w:t>Coverage</w:t>
            </w:r>
            <w:r w:rsidR="00D92D9A">
              <w:rPr>
                <w:rFonts w:ascii="Verdana" w:hAnsi="Verdana"/>
              </w:rPr>
              <w:t>)</w:t>
            </w:r>
            <w:r w:rsidR="001E0D4E">
              <w:rPr>
                <w:rFonts w:ascii="Verdana" w:hAnsi="Verdana"/>
              </w:rPr>
              <w:t xml:space="preserve"> hyperlink, the secondary account will be read only.</w:t>
            </w:r>
          </w:p>
          <w:p w14:paraId="709ABAED" w14:textId="663B763C" w:rsidR="001E0D4E" w:rsidRPr="001E0D4E" w:rsidRDefault="001E0D4E" w:rsidP="001E0D4E">
            <w:pPr>
              <w:rPr>
                <w:rFonts w:ascii="Helvetica" w:hAnsi="Helvetica" w:cs="Helvetica"/>
                <w:b/>
                <w:bCs/>
                <w:color w:val="000000"/>
              </w:rPr>
            </w:pPr>
            <w:r>
              <w:rPr>
                <w:rFonts w:ascii="Verdana" w:hAnsi="Verdana"/>
              </w:rPr>
              <w:t>To enter an override on the secondar</w:t>
            </w:r>
            <w:r w:rsidR="002D0CFE">
              <w:rPr>
                <w:rFonts w:ascii="Verdana" w:hAnsi="Verdana"/>
              </w:rPr>
              <w:t>y</w:t>
            </w:r>
            <w:r>
              <w:rPr>
                <w:rFonts w:ascii="Verdana" w:hAnsi="Verdana"/>
              </w:rPr>
              <w:t xml:space="preserve"> account, re</w:t>
            </w:r>
            <w:r w:rsidRPr="0028131C">
              <w:rPr>
                <w:rFonts w:ascii="Verdana" w:hAnsi="Verdana"/>
              </w:rPr>
              <w:t xml:space="preserve">fer to </w:t>
            </w:r>
            <w:hyperlink r:id="rId13" w:anchor="!/view?docid=a5f2957c-56aa-435c-a83a-5e9e59d62c8c" w:history="1">
              <w:r w:rsidRPr="0028131C">
                <w:rPr>
                  <w:rStyle w:val="Hyperlink"/>
                  <w:rFonts w:ascii="Verdana" w:hAnsi="Verdana" w:cs="Helvetica"/>
                </w:rPr>
                <w:t>Compass – Override for Secondary Coverage</w:t>
              </w:r>
            </w:hyperlink>
            <w:r w:rsidR="0028131C">
              <w:rPr>
                <w:rFonts w:ascii="Verdana" w:hAnsi="Verdana" w:cs="Helvetica"/>
                <w:color w:val="000000"/>
              </w:rPr>
              <w:t>.</w:t>
            </w:r>
          </w:p>
          <w:p w14:paraId="6FF97A8B" w14:textId="7B01FE65" w:rsidR="001E0D4E" w:rsidRPr="00770627" w:rsidRDefault="001E0D4E" w:rsidP="0018239B">
            <w:pPr>
              <w:pStyle w:val="ListParagraph"/>
              <w:ind w:left="0"/>
              <w:rPr>
                <w:rFonts w:ascii="Verdana" w:hAnsi="Verdana"/>
              </w:rPr>
            </w:pPr>
          </w:p>
          <w:p w14:paraId="1CDA5D6E" w14:textId="77777777" w:rsidR="00533BBB" w:rsidRPr="00770627" w:rsidRDefault="00533BBB" w:rsidP="0018239B">
            <w:pPr>
              <w:pStyle w:val="ListParagraph"/>
              <w:ind w:left="0"/>
              <w:rPr>
                <w:rFonts w:ascii="Verdana" w:hAnsi="Verdana"/>
              </w:rPr>
            </w:pPr>
          </w:p>
        </w:tc>
      </w:tr>
    </w:tbl>
    <w:p w14:paraId="0CB37C82" w14:textId="77777777" w:rsidR="00533BBB" w:rsidRPr="00306FC7" w:rsidRDefault="00533BBB" w:rsidP="00306FC7"/>
    <w:p w14:paraId="5CBC3455" w14:textId="77777777" w:rsidR="00770627" w:rsidRPr="00CD7A4C" w:rsidRDefault="00000000" w:rsidP="00770627">
      <w:pPr>
        <w:jc w:val="right"/>
        <w:rPr>
          <w:rFonts w:ascii="Verdana" w:hAnsi="Verdana"/>
        </w:rPr>
      </w:pPr>
      <w:hyperlink w:anchor="_top" w:history="1">
        <w:r w:rsidR="00770627" w:rsidRPr="00343C40">
          <w:rPr>
            <w:rStyle w:val="Hyperlink"/>
            <w:rFonts w:ascii="Verdana" w:hAnsi="Verdana"/>
          </w:rPr>
          <w:t>Top</w:t>
        </w:r>
        <w:r w:rsidR="003F12A2">
          <w:rPr>
            <w:rStyle w:val="Hyperlink"/>
            <w:rFonts w:ascii="Verdana" w:hAnsi="Verdana"/>
          </w:rPr>
          <w:t xml:space="preserve"> </w:t>
        </w:r>
        <w:r w:rsidR="00770627" w:rsidRPr="00343C40">
          <w:rPr>
            <w:rStyle w:val="Hyperlink"/>
            <w:rFonts w:ascii="Verdana" w:hAnsi="Verdana"/>
          </w:rPr>
          <w:t>of</w:t>
        </w:r>
        <w:r w:rsidR="003F12A2">
          <w:rPr>
            <w:rStyle w:val="Hyperlink"/>
            <w:rFonts w:ascii="Verdana" w:hAnsi="Verdana"/>
          </w:rPr>
          <w:t xml:space="preserve"> </w:t>
        </w:r>
        <w:r w:rsidR="00770627" w:rsidRPr="00343C40">
          <w:rPr>
            <w:rStyle w:val="Hyperlink"/>
            <w:rFonts w:ascii="Verdana" w:hAnsi="Verdana"/>
          </w:rPr>
          <w:t>the</w:t>
        </w:r>
        <w:r w:rsidR="003F12A2">
          <w:rPr>
            <w:rStyle w:val="Hyperlink"/>
            <w:rFonts w:ascii="Verdana" w:hAnsi="Verdana"/>
          </w:rPr>
          <w:t xml:space="preserve"> </w:t>
        </w:r>
        <w:r w:rsidR="00770627" w:rsidRPr="00343C40">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06D92" w:rsidRPr="00BF74E9" w14:paraId="5207EAA7" w14:textId="77777777" w:rsidTr="00793222">
        <w:tc>
          <w:tcPr>
            <w:tcW w:w="5000" w:type="pct"/>
            <w:shd w:val="clear" w:color="auto" w:fill="C0C0C0"/>
          </w:tcPr>
          <w:p w14:paraId="3B30966F" w14:textId="77777777" w:rsidR="00806D92" w:rsidRPr="00586CD9" w:rsidRDefault="00557BE1" w:rsidP="00586CD9">
            <w:pPr>
              <w:pStyle w:val="Heading2"/>
              <w:rPr>
                <w:rFonts w:ascii="Verdana" w:hAnsi="Verdana"/>
                <w:i w:val="0"/>
              </w:rPr>
            </w:pPr>
            <w:bookmarkStart w:id="12" w:name="_E-Learning_Questions_/"/>
            <w:bookmarkStart w:id="13" w:name="_Subheader"/>
            <w:bookmarkStart w:id="14" w:name="_Tips_and_Reminders"/>
            <w:bookmarkStart w:id="15" w:name="_Toc157421734"/>
            <w:bookmarkEnd w:id="12"/>
            <w:bookmarkEnd w:id="13"/>
            <w:bookmarkEnd w:id="14"/>
            <w:r w:rsidRPr="00586CD9">
              <w:rPr>
                <w:rFonts w:ascii="Verdana" w:hAnsi="Verdana"/>
                <w:i w:val="0"/>
              </w:rPr>
              <w:t>Tips</w:t>
            </w:r>
            <w:r w:rsidR="003F12A2">
              <w:rPr>
                <w:rFonts w:ascii="Verdana" w:hAnsi="Verdana"/>
                <w:i w:val="0"/>
              </w:rPr>
              <w:t xml:space="preserve"> </w:t>
            </w:r>
            <w:r w:rsidRPr="00586CD9">
              <w:rPr>
                <w:rFonts w:ascii="Verdana" w:hAnsi="Verdana"/>
                <w:i w:val="0"/>
              </w:rPr>
              <w:t>and</w:t>
            </w:r>
            <w:r w:rsidR="003F12A2">
              <w:rPr>
                <w:rFonts w:ascii="Verdana" w:hAnsi="Verdana"/>
                <w:i w:val="0"/>
              </w:rPr>
              <w:t xml:space="preserve"> </w:t>
            </w:r>
            <w:r w:rsidRPr="00586CD9">
              <w:rPr>
                <w:rFonts w:ascii="Verdana" w:hAnsi="Verdana"/>
                <w:i w:val="0"/>
              </w:rPr>
              <w:t>Reminders</w:t>
            </w:r>
            <w:bookmarkEnd w:id="15"/>
          </w:p>
        </w:tc>
      </w:tr>
    </w:tbl>
    <w:p w14:paraId="14C1E9B4" w14:textId="70ECF41D" w:rsidR="00320F11" w:rsidRPr="00770627" w:rsidRDefault="00320F11" w:rsidP="40C1B371">
      <w:pPr>
        <w:textAlignment w:val="top"/>
        <w:rPr>
          <w:rFonts w:ascii="Verdana" w:hAnsi="Verdana" w:cs="Arial"/>
          <w:color w:val="333333"/>
        </w:rPr>
      </w:pPr>
      <w:r w:rsidRPr="40C1B371">
        <w:rPr>
          <w:rFonts w:ascii="Verdana" w:hAnsi="Verdana" w:cs="Arial"/>
          <w:color w:val="333333"/>
        </w:rPr>
        <w:t>It</w:t>
      </w:r>
      <w:r w:rsidR="003F12A2" w:rsidRPr="40C1B371">
        <w:rPr>
          <w:rFonts w:ascii="Verdana" w:hAnsi="Verdana" w:cs="Arial"/>
          <w:color w:val="333333"/>
        </w:rPr>
        <w:t xml:space="preserve"> </w:t>
      </w:r>
      <w:r w:rsidRPr="40C1B371">
        <w:rPr>
          <w:rFonts w:ascii="Verdana" w:hAnsi="Verdana" w:cs="Arial"/>
          <w:color w:val="333333"/>
        </w:rPr>
        <w:t>is</w:t>
      </w:r>
      <w:r w:rsidR="003F12A2" w:rsidRPr="40C1B371">
        <w:rPr>
          <w:rFonts w:ascii="Verdana" w:hAnsi="Verdana" w:cs="Arial"/>
          <w:color w:val="333333"/>
        </w:rPr>
        <w:t xml:space="preserve"> </w:t>
      </w:r>
      <w:r w:rsidRPr="40C1B371">
        <w:rPr>
          <w:rFonts w:ascii="Verdana" w:hAnsi="Verdana" w:cs="Arial"/>
          <w:color w:val="333333"/>
        </w:rPr>
        <w:t>very</w:t>
      </w:r>
      <w:r w:rsidR="003F12A2" w:rsidRPr="40C1B371">
        <w:rPr>
          <w:rFonts w:ascii="Verdana" w:hAnsi="Verdana" w:cs="Arial"/>
          <w:color w:val="333333"/>
        </w:rPr>
        <w:t xml:space="preserve"> </w:t>
      </w:r>
      <w:r w:rsidRPr="40C1B371">
        <w:rPr>
          <w:rFonts w:ascii="Verdana" w:hAnsi="Verdana" w:cs="Arial"/>
          <w:color w:val="333333"/>
        </w:rPr>
        <w:t>important</w:t>
      </w:r>
      <w:r w:rsidR="003F12A2" w:rsidRPr="40C1B371">
        <w:rPr>
          <w:rFonts w:ascii="Verdana" w:hAnsi="Verdana" w:cs="Arial"/>
          <w:color w:val="333333"/>
        </w:rPr>
        <w:t xml:space="preserve"> </w:t>
      </w:r>
      <w:r w:rsidRPr="40C1B371">
        <w:rPr>
          <w:rFonts w:ascii="Verdana" w:hAnsi="Verdana" w:cs="Arial"/>
          <w:color w:val="333333"/>
        </w:rPr>
        <w:t>to</w:t>
      </w:r>
      <w:r w:rsidR="003F12A2" w:rsidRPr="40C1B371">
        <w:rPr>
          <w:rFonts w:ascii="Verdana" w:hAnsi="Verdana" w:cs="Arial"/>
          <w:color w:val="333333"/>
        </w:rPr>
        <w:t xml:space="preserve"> </w:t>
      </w:r>
      <w:r w:rsidRPr="40C1B371">
        <w:rPr>
          <w:rFonts w:ascii="Verdana" w:hAnsi="Verdana" w:cs="Arial"/>
          <w:color w:val="333333"/>
        </w:rPr>
        <w:t>check</w:t>
      </w:r>
      <w:r w:rsidR="003F12A2" w:rsidRPr="40C1B371">
        <w:rPr>
          <w:rFonts w:ascii="Verdana" w:hAnsi="Verdana" w:cs="Arial"/>
          <w:color w:val="333333"/>
        </w:rPr>
        <w:t xml:space="preserve"> </w:t>
      </w:r>
      <w:r w:rsidRPr="40C1B371">
        <w:rPr>
          <w:rFonts w:ascii="Verdana" w:hAnsi="Verdana" w:cs="Arial"/>
          <w:color w:val="333333"/>
        </w:rPr>
        <w:t>the</w:t>
      </w:r>
      <w:r w:rsidR="003F12A2" w:rsidRPr="40C1B371">
        <w:rPr>
          <w:rFonts w:ascii="Verdana" w:hAnsi="Verdana" w:cs="Arial"/>
          <w:color w:val="333333"/>
        </w:rPr>
        <w:t xml:space="preserve"> </w:t>
      </w:r>
      <w:r w:rsidR="00862B7D" w:rsidRPr="40C1B371">
        <w:rPr>
          <w:rFonts w:ascii="Verdana" w:hAnsi="Verdana" w:cs="Arial"/>
          <w:color w:val="333333"/>
        </w:rPr>
        <w:t xml:space="preserve">Member Alerts </w:t>
      </w:r>
      <w:r w:rsidRPr="40C1B371">
        <w:rPr>
          <w:rFonts w:ascii="Verdana" w:hAnsi="Verdana" w:cs="Arial"/>
          <w:color w:val="333333"/>
        </w:rPr>
        <w:t>and</w:t>
      </w:r>
      <w:r w:rsidR="003F12A2" w:rsidRPr="40C1B371">
        <w:rPr>
          <w:rFonts w:ascii="Verdana" w:hAnsi="Verdana" w:cs="Arial"/>
          <w:color w:val="333333"/>
        </w:rPr>
        <w:t xml:space="preserve"> </w:t>
      </w:r>
      <w:r w:rsidRPr="40C1B371">
        <w:rPr>
          <w:rFonts w:ascii="Verdana" w:hAnsi="Verdana" w:cs="Arial"/>
          <w:color w:val="333333"/>
        </w:rPr>
        <w:t>the</w:t>
      </w:r>
      <w:r w:rsidR="003F12A2" w:rsidRPr="40C1B371">
        <w:rPr>
          <w:rFonts w:ascii="Verdana" w:hAnsi="Verdana" w:cs="Arial"/>
          <w:color w:val="333333"/>
        </w:rPr>
        <w:t xml:space="preserve"> </w:t>
      </w:r>
      <w:r w:rsidRPr="40C1B371">
        <w:rPr>
          <w:rFonts w:ascii="Verdana" w:hAnsi="Verdana" w:cs="Arial"/>
          <w:color w:val="333333"/>
        </w:rPr>
        <w:t>CIF</w:t>
      </w:r>
      <w:r w:rsidR="003F12A2" w:rsidRPr="40C1B371">
        <w:rPr>
          <w:rFonts w:ascii="Verdana" w:hAnsi="Verdana" w:cs="Arial"/>
          <w:color w:val="333333"/>
        </w:rPr>
        <w:t xml:space="preserve"> </w:t>
      </w:r>
      <w:r w:rsidRPr="40C1B371">
        <w:rPr>
          <w:rFonts w:ascii="Verdana" w:hAnsi="Verdana" w:cs="Arial"/>
          <w:color w:val="333333"/>
        </w:rPr>
        <w:t>on</w:t>
      </w:r>
      <w:r w:rsidR="003F12A2" w:rsidRPr="40C1B371">
        <w:rPr>
          <w:rFonts w:ascii="Verdana" w:hAnsi="Verdana" w:cs="Arial"/>
          <w:color w:val="333333"/>
        </w:rPr>
        <w:t xml:space="preserve"> </w:t>
      </w:r>
      <w:r w:rsidRPr="40C1B371">
        <w:rPr>
          <w:rFonts w:ascii="Verdana" w:hAnsi="Verdana" w:cs="Arial"/>
          <w:color w:val="333333"/>
        </w:rPr>
        <w:t>every</w:t>
      </w:r>
      <w:r w:rsidR="003F12A2" w:rsidRPr="40C1B371">
        <w:rPr>
          <w:rFonts w:ascii="Verdana" w:hAnsi="Verdana" w:cs="Arial"/>
          <w:color w:val="333333"/>
        </w:rPr>
        <w:t xml:space="preserve"> </w:t>
      </w:r>
      <w:r w:rsidRPr="40C1B371">
        <w:rPr>
          <w:rFonts w:ascii="Verdana" w:hAnsi="Verdana" w:cs="Arial"/>
          <w:color w:val="333333"/>
        </w:rPr>
        <w:t>Dual</w:t>
      </w:r>
      <w:r w:rsidR="003F12A2" w:rsidRPr="40C1B371">
        <w:rPr>
          <w:rFonts w:ascii="Verdana" w:hAnsi="Verdana" w:cs="Arial"/>
          <w:color w:val="333333"/>
        </w:rPr>
        <w:t xml:space="preserve"> </w:t>
      </w:r>
      <w:r w:rsidRPr="40C1B371">
        <w:rPr>
          <w:rFonts w:ascii="Verdana" w:hAnsi="Verdana" w:cs="Arial"/>
          <w:color w:val="333333"/>
        </w:rPr>
        <w:t>Demo/MMP/DSNP</w:t>
      </w:r>
      <w:r w:rsidR="003F12A2" w:rsidRPr="40C1B371">
        <w:rPr>
          <w:rFonts w:ascii="Verdana" w:hAnsi="Verdana" w:cs="Arial"/>
          <w:color w:val="333333"/>
        </w:rPr>
        <w:t xml:space="preserve"> </w:t>
      </w:r>
      <w:r w:rsidRPr="40C1B371">
        <w:rPr>
          <w:rFonts w:ascii="Verdana" w:hAnsi="Verdana" w:cs="Arial"/>
          <w:color w:val="333333"/>
        </w:rPr>
        <w:t>call.</w:t>
      </w:r>
      <w:r w:rsidR="003F12A2" w:rsidRPr="40C1B371">
        <w:rPr>
          <w:rFonts w:ascii="Verdana" w:hAnsi="Verdana" w:cs="Arial"/>
          <w:color w:val="333333"/>
        </w:rPr>
        <w:t xml:space="preserve"> </w:t>
      </w:r>
      <w:r w:rsidRPr="40C1B371">
        <w:rPr>
          <w:rFonts w:ascii="Verdana" w:hAnsi="Verdana" w:cs="Arial"/>
          <w:color w:val="333333"/>
        </w:rPr>
        <w:t>Do</w:t>
      </w:r>
      <w:r w:rsidR="003F12A2" w:rsidRPr="40C1B371">
        <w:rPr>
          <w:rFonts w:ascii="Verdana" w:hAnsi="Verdana" w:cs="Arial"/>
          <w:color w:val="333333"/>
        </w:rPr>
        <w:t xml:space="preserve"> </w:t>
      </w:r>
      <w:r w:rsidRPr="40C1B371">
        <w:rPr>
          <w:rFonts w:ascii="Verdana" w:hAnsi="Verdana" w:cs="Arial"/>
          <w:color w:val="333333"/>
        </w:rPr>
        <w:t>NOT</w:t>
      </w:r>
      <w:r w:rsidR="003F12A2" w:rsidRPr="40C1B371">
        <w:rPr>
          <w:rFonts w:ascii="Verdana" w:hAnsi="Verdana" w:cs="Arial"/>
          <w:color w:val="333333"/>
        </w:rPr>
        <w:t xml:space="preserve"> </w:t>
      </w:r>
      <w:r w:rsidRPr="40C1B371">
        <w:rPr>
          <w:rFonts w:ascii="Verdana" w:hAnsi="Verdana" w:cs="Arial"/>
          <w:color w:val="333333"/>
        </w:rPr>
        <w:t>rely</w:t>
      </w:r>
      <w:r w:rsidR="003F12A2" w:rsidRPr="40C1B371">
        <w:rPr>
          <w:rFonts w:ascii="Verdana" w:hAnsi="Verdana" w:cs="Arial"/>
          <w:color w:val="333333"/>
        </w:rPr>
        <w:t xml:space="preserve"> </w:t>
      </w:r>
      <w:r w:rsidRPr="40C1B371">
        <w:rPr>
          <w:rFonts w:ascii="Verdana" w:hAnsi="Verdana" w:cs="Arial"/>
          <w:color w:val="333333"/>
        </w:rPr>
        <w:t>on</w:t>
      </w:r>
      <w:r w:rsidR="003F12A2" w:rsidRPr="40C1B371">
        <w:rPr>
          <w:rFonts w:ascii="Verdana" w:hAnsi="Verdana" w:cs="Arial"/>
          <w:color w:val="333333"/>
        </w:rPr>
        <w:t xml:space="preserve"> </w:t>
      </w:r>
      <w:r w:rsidR="006B4D0A" w:rsidRPr="40C1B371">
        <w:rPr>
          <w:rFonts w:ascii="Verdana" w:hAnsi="Verdana" w:cs="Arial"/>
          <w:color w:val="333333"/>
        </w:rPr>
        <w:t xml:space="preserve">Compass </w:t>
      </w:r>
      <w:r w:rsidRPr="40C1B371">
        <w:rPr>
          <w:rFonts w:ascii="Verdana" w:hAnsi="Verdana" w:cs="Arial"/>
          <w:color w:val="333333"/>
        </w:rPr>
        <w:t>alone.</w:t>
      </w:r>
      <w:r w:rsidR="003F12A2" w:rsidRPr="40C1B371">
        <w:rPr>
          <w:rFonts w:ascii="Verdana" w:hAnsi="Verdana" w:cs="Arial"/>
          <w:color w:val="333333"/>
        </w:rPr>
        <w:t xml:space="preserve"> </w:t>
      </w:r>
      <w:r w:rsidRPr="40C1B371">
        <w:rPr>
          <w:rFonts w:ascii="Verdana" w:hAnsi="Verdana" w:cs="Arial"/>
          <w:color w:val="333333"/>
        </w:rPr>
        <w:t>Before</w:t>
      </w:r>
      <w:r w:rsidR="003F12A2" w:rsidRPr="40C1B371">
        <w:rPr>
          <w:rFonts w:ascii="Verdana" w:hAnsi="Verdana" w:cs="Arial"/>
          <w:color w:val="333333"/>
        </w:rPr>
        <w:t xml:space="preserve"> </w:t>
      </w:r>
      <w:r w:rsidRPr="40C1B371">
        <w:rPr>
          <w:rFonts w:ascii="Verdana" w:hAnsi="Verdana" w:cs="Arial"/>
          <w:color w:val="333333"/>
        </w:rPr>
        <w:t>quoting</w:t>
      </w:r>
      <w:r w:rsidR="003F12A2" w:rsidRPr="40C1B371">
        <w:rPr>
          <w:rFonts w:ascii="Verdana" w:hAnsi="Verdana" w:cs="Arial"/>
          <w:color w:val="333333"/>
        </w:rPr>
        <w:t xml:space="preserve"> </w:t>
      </w:r>
      <w:r w:rsidRPr="40C1B371">
        <w:rPr>
          <w:rFonts w:ascii="Verdana" w:hAnsi="Verdana" w:cs="Arial"/>
          <w:color w:val="333333"/>
        </w:rPr>
        <w:t>cost/coverage</w:t>
      </w:r>
      <w:r w:rsidR="003F12A2" w:rsidRPr="40C1B371">
        <w:rPr>
          <w:rFonts w:ascii="Verdana" w:hAnsi="Verdana" w:cs="Arial"/>
          <w:color w:val="333333"/>
        </w:rPr>
        <w:t xml:space="preserve"> </w:t>
      </w:r>
      <w:r w:rsidRPr="40C1B371">
        <w:rPr>
          <w:rFonts w:ascii="Verdana" w:hAnsi="Verdana" w:cs="Arial"/>
          <w:color w:val="333333"/>
        </w:rPr>
        <w:t>to</w:t>
      </w:r>
      <w:r w:rsidR="003F12A2" w:rsidRPr="40C1B371">
        <w:rPr>
          <w:rFonts w:ascii="Verdana" w:hAnsi="Verdana" w:cs="Arial"/>
          <w:color w:val="333333"/>
        </w:rPr>
        <w:t xml:space="preserve"> </w:t>
      </w:r>
      <w:r w:rsidRPr="40C1B371">
        <w:rPr>
          <w:rFonts w:ascii="Verdana" w:hAnsi="Verdana" w:cs="Arial"/>
          <w:color w:val="333333"/>
        </w:rPr>
        <w:t>members,</w:t>
      </w:r>
      <w:r w:rsidR="003F12A2" w:rsidRPr="40C1B371">
        <w:rPr>
          <w:rFonts w:ascii="Verdana" w:hAnsi="Verdana" w:cs="Arial"/>
          <w:color w:val="333333"/>
        </w:rPr>
        <w:t xml:space="preserve"> </w:t>
      </w:r>
      <w:r w:rsidRPr="40C1B371">
        <w:rPr>
          <w:rFonts w:ascii="Verdana" w:hAnsi="Verdana" w:cs="Arial"/>
          <w:color w:val="333333"/>
        </w:rPr>
        <w:t>double</w:t>
      </w:r>
      <w:r w:rsidR="003F12A2" w:rsidRPr="40C1B371">
        <w:rPr>
          <w:rFonts w:ascii="Verdana" w:hAnsi="Verdana" w:cs="Arial"/>
          <w:color w:val="333333"/>
        </w:rPr>
        <w:t xml:space="preserve"> </w:t>
      </w:r>
      <w:r w:rsidRPr="40C1B371">
        <w:rPr>
          <w:rFonts w:ascii="Verdana" w:hAnsi="Verdana" w:cs="Arial"/>
          <w:color w:val="333333"/>
        </w:rPr>
        <w:t>check</w:t>
      </w:r>
      <w:r w:rsidR="003F12A2" w:rsidRPr="40C1B371">
        <w:rPr>
          <w:rFonts w:ascii="Verdana" w:hAnsi="Verdana" w:cs="Arial"/>
          <w:color w:val="333333"/>
        </w:rPr>
        <w:t xml:space="preserve"> </w:t>
      </w:r>
      <w:r w:rsidRPr="40C1B371">
        <w:rPr>
          <w:rFonts w:ascii="Verdana" w:hAnsi="Verdana" w:cs="Arial"/>
          <w:color w:val="333333"/>
        </w:rPr>
        <w:t>all</w:t>
      </w:r>
      <w:r w:rsidR="003F12A2" w:rsidRPr="40C1B371">
        <w:rPr>
          <w:rFonts w:ascii="Verdana" w:hAnsi="Verdana" w:cs="Arial"/>
          <w:color w:val="333333"/>
        </w:rPr>
        <w:t xml:space="preserve"> </w:t>
      </w:r>
      <w:r w:rsidRPr="40C1B371">
        <w:rPr>
          <w:rFonts w:ascii="Verdana" w:hAnsi="Verdana" w:cs="Arial"/>
          <w:color w:val="333333"/>
        </w:rPr>
        <w:t>other</w:t>
      </w:r>
      <w:r w:rsidR="003F12A2" w:rsidRPr="40C1B371">
        <w:rPr>
          <w:rFonts w:ascii="Verdana" w:hAnsi="Verdana" w:cs="Arial"/>
          <w:color w:val="333333"/>
        </w:rPr>
        <w:t xml:space="preserve"> </w:t>
      </w:r>
      <w:r w:rsidRPr="40C1B371">
        <w:rPr>
          <w:rFonts w:ascii="Verdana" w:hAnsi="Verdana" w:cs="Arial"/>
          <w:color w:val="333333"/>
        </w:rPr>
        <w:t>resources</w:t>
      </w:r>
      <w:r w:rsidR="003F12A2" w:rsidRPr="40C1B371">
        <w:rPr>
          <w:rFonts w:ascii="Verdana" w:hAnsi="Verdana" w:cs="Arial"/>
          <w:color w:val="333333"/>
        </w:rPr>
        <w:t xml:space="preserve"> </w:t>
      </w:r>
      <w:r w:rsidRPr="40C1B371">
        <w:rPr>
          <w:rFonts w:ascii="Verdana" w:hAnsi="Verdana" w:cs="Arial"/>
          <w:color w:val="333333"/>
        </w:rPr>
        <w:t>to</w:t>
      </w:r>
      <w:r w:rsidR="003F12A2" w:rsidRPr="40C1B371">
        <w:rPr>
          <w:rFonts w:ascii="Verdana" w:hAnsi="Verdana" w:cs="Arial"/>
          <w:color w:val="333333"/>
        </w:rPr>
        <w:t xml:space="preserve"> </w:t>
      </w:r>
      <w:r w:rsidRPr="40C1B371">
        <w:rPr>
          <w:rFonts w:ascii="Verdana" w:hAnsi="Verdana" w:cs="Arial"/>
          <w:color w:val="333333"/>
        </w:rPr>
        <w:t>ensure</w:t>
      </w:r>
      <w:r w:rsidR="003F12A2" w:rsidRPr="40C1B371">
        <w:rPr>
          <w:rFonts w:ascii="Verdana" w:hAnsi="Verdana" w:cs="Arial"/>
          <w:color w:val="333333"/>
        </w:rPr>
        <w:t xml:space="preserve"> </w:t>
      </w:r>
      <w:r w:rsidRPr="40C1B371">
        <w:rPr>
          <w:rFonts w:ascii="Verdana" w:hAnsi="Verdana" w:cs="Arial"/>
          <w:color w:val="333333"/>
        </w:rPr>
        <w:t>there</w:t>
      </w:r>
      <w:r w:rsidR="003F12A2" w:rsidRPr="40C1B371">
        <w:rPr>
          <w:rFonts w:ascii="Verdana" w:hAnsi="Verdana" w:cs="Arial"/>
          <w:color w:val="333333"/>
        </w:rPr>
        <w:t xml:space="preserve"> </w:t>
      </w:r>
      <w:r w:rsidRPr="40C1B371">
        <w:rPr>
          <w:rFonts w:ascii="Verdana" w:hAnsi="Verdana" w:cs="Arial"/>
          <w:color w:val="333333"/>
        </w:rPr>
        <w:t>isn’t</w:t>
      </w:r>
      <w:r w:rsidR="003F12A2" w:rsidRPr="40C1B371">
        <w:rPr>
          <w:rFonts w:ascii="Verdana" w:hAnsi="Verdana" w:cs="Arial"/>
          <w:color w:val="333333"/>
        </w:rPr>
        <w:t xml:space="preserve"> </w:t>
      </w:r>
      <w:r w:rsidRPr="40C1B371">
        <w:rPr>
          <w:rFonts w:ascii="Verdana" w:hAnsi="Verdana" w:cs="Arial"/>
          <w:color w:val="333333"/>
        </w:rPr>
        <w:t>a</w:t>
      </w:r>
      <w:r w:rsidR="003F12A2" w:rsidRPr="40C1B371">
        <w:rPr>
          <w:rFonts w:ascii="Verdana" w:hAnsi="Verdana" w:cs="Arial"/>
          <w:color w:val="333333"/>
        </w:rPr>
        <w:t xml:space="preserve"> </w:t>
      </w:r>
      <w:r w:rsidRPr="40C1B371">
        <w:rPr>
          <w:rFonts w:ascii="Verdana" w:hAnsi="Verdana" w:cs="Arial"/>
          <w:color w:val="333333"/>
        </w:rPr>
        <w:t>custom</w:t>
      </w:r>
      <w:r w:rsidR="003F12A2" w:rsidRPr="40C1B371">
        <w:rPr>
          <w:rFonts w:ascii="Verdana" w:hAnsi="Verdana" w:cs="Arial"/>
          <w:color w:val="333333"/>
        </w:rPr>
        <w:t xml:space="preserve"> </w:t>
      </w:r>
      <w:r w:rsidRPr="40C1B371">
        <w:rPr>
          <w:rFonts w:ascii="Verdana" w:hAnsi="Verdana" w:cs="Arial"/>
          <w:color w:val="333333"/>
        </w:rPr>
        <w:t>process</w:t>
      </w:r>
      <w:r w:rsidR="003F12A2" w:rsidRPr="40C1B371">
        <w:rPr>
          <w:rFonts w:ascii="Verdana" w:hAnsi="Verdana" w:cs="Arial"/>
          <w:color w:val="333333"/>
        </w:rPr>
        <w:t xml:space="preserve"> </w:t>
      </w:r>
      <w:r w:rsidRPr="40C1B371">
        <w:rPr>
          <w:rFonts w:ascii="Verdana" w:hAnsi="Verdana" w:cs="Arial"/>
          <w:color w:val="333333"/>
        </w:rPr>
        <w:t>that</w:t>
      </w:r>
      <w:r w:rsidR="003F12A2" w:rsidRPr="40C1B371">
        <w:rPr>
          <w:rFonts w:ascii="Verdana" w:hAnsi="Verdana" w:cs="Arial"/>
          <w:color w:val="333333"/>
        </w:rPr>
        <w:t xml:space="preserve"> </w:t>
      </w:r>
      <w:r w:rsidRPr="40C1B371">
        <w:rPr>
          <w:rFonts w:ascii="Verdana" w:hAnsi="Verdana" w:cs="Arial"/>
          <w:color w:val="333333"/>
        </w:rPr>
        <w:t>should</w:t>
      </w:r>
      <w:r w:rsidR="003F12A2" w:rsidRPr="40C1B371">
        <w:rPr>
          <w:rFonts w:ascii="Verdana" w:hAnsi="Verdana" w:cs="Arial"/>
          <w:color w:val="333333"/>
        </w:rPr>
        <w:t xml:space="preserve"> </w:t>
      </w:r>
      <w:r w:rsidRPr="40C1B371">
        <w:rPr>
          <w:rFonts w:ascii="Verdana" w:hAnsi="Verdana" w:cs="Arial"/>
          <w:color w:val="333333"/>
        </w:rPr>
        <w:t>be</w:t>
      </w:r>
      <w:r w:rsidR="003F12A2" w:rsidRPr="40C1B371">
        <w:rPr>
          <w:rFonts w:ascii="Verdana" w:hAnsi="Verdana" w:cs="Arial"/>
          <w:color w:val="333333"/>
        </w:rPr>
        <w:t xml:space="preserve"> </w:t>
      </w:r>
      <w:r w:rsidRPr="40C1B371">
        <w:rPr>
          <w:rFonts w:ascii="Verdana" w:hAnsi="Verdana" w:cs="Arial"/>
          <w:color w:val="333333"/>
        </w:rPr>
        <w:t>followed.</w:t>
      </w:r>
    </w:p>
    <w:p w14:paraId="6E2F5A7B" w14:textId="77777777" w:rsidR="00320F11" w:rsidRPr="00770627" w:rsidRDefault="00320F11" w:rsidP="0015397A">
      <w:pPr>
        <w:textAlignment w:val="top"/>
        <w:rPr>
          <w:rFonts w:ascii="Verdana" w:hAnsi="Verdana" w:cs="Arial"/>
          <w:bCs/>
          <w:color w:val="333333"/>
        </w:rPr>
      </w:pPr>
    </w:p>
    <w:p w14:paraId="29AF1473" w14:textId="77777777" w:rsidR="00806D92" w:rsidRPr="00770627" w:rsidRDefault="00557BE1" w:rsidP="0015397A">
      <w:pPr>
        <w:textAlignment w:val="top"/>
        <w:rPr>
          <w:rFonts w:ascii="Verdana" w:hAnsi="Verdana" w:cs="Arial"/>
          <w:bCs/>
          <w:color w:val="333333"/>
        </w:rPr>
      </w:pPr>
      <w:r w:rsidRPr="00770627">
        <w:rPr>
          <w:rFonts w:ascii="Verdana" w:hAnsi="Verdana" w:cs="Arial"/>
          <w:bCs/>
          <w:color w:val="333333"/>
        </w:rPr>
        <w:t>The</w:t>
      </w:r>
      <w:r w:rsidR="003F12A2">
        <w:rPr>
          <w:rFonts w:ascii="Verdana" w:hAnsi="Verdana" w:cs="Arial"/>
          <w:bCs/>
          <w:color w:val="333333"/>
        </w:rPr>
        <w:t xml:space="preserve"> </w:t>
      </w:r>
      <w:r w:rsidRPr="00770627">
        <w:rPr>
          <w:rFonts w:ascii="Verdana" w:hAnsi="Verdana" w:cs="Arial"/>
          <w:bCs/>
          <w:color w:val="333333"/>
        </w:rPr>
        <w:t>following</w:t>
      </w:r>
      <w:r w:rsidR="003F12A2">
        <w:rPr>
          <w:rFonts w:ascii="Verdana" w:hAnsi="Verdana" w:cs="Arial"/>
          <w:bCs/>
          <w:color w:val="333333"/>
        </w:rPr>
        <w:t xml:space="preserve"> </w:t>
      </w:r>
      <w:r w:rsidRPr="00770627">
        <w:rPr>
          <w:rFonts w:ascii="Verdana" w:hAnsi="Verdana" w:cs="Arial"/>
          <w:bCs/>
          <w:color w:val="333333"/>
        </w:rPr>
        <w:t>will</w:t>
      </w:r>
      <w:r w:rsidR="003F12A2">
        <w:rPr>
          <w:rFonts w:ascii="Verdana" w:hAnsi="Verdana" w:cs="Arial"/>
          <w:bCs/>
          <w:color w:val="333333"/>
        </w:rPr>
        <w:t xml:space="preserve"> </w:t>
      </w:r>
      <w:r w:rsidRPr="00770627">
        <w:rPr>
          <w:rFonts w:ascii="Verdana" w:hAnsi="Verdana" w:cs="Arial"/>
          <w:bCs/>
          <w:color w:val="333333"/>
        </w:rPr>
        <w:t>assist</w:t>
      </w:r>
      <w:r w:rsidR="003F12A2">
        <w:rPr>
          <w:rFonts w:ascii="Verdana" w:hAnsi="Verdana" w:cs="Arial"/>
          <w:bCs/>
          <w:color w:val="333333"/>
        </w:rPr>
        <w:t xml:space="preserve"> </w:t>
      </w:r>
      <w:r w:rsidRPr="00770627">
        <w:rPr>
          <w:rFonts w:ascii="Verdana" w:hAnsi="Verdana" w:cs="Arial"/>
          <w:bCs/>
          <w:color w:val="333333"/>
        </w:rPr>
        <w:t>the</w:t>
      </w:r>
      <w:r w:rsidR="003F12A2">
        <w:rPr>
          <w:rFonts w:ascii="Verdana" w:hAnsi="Verdana" w:cs="Arial"/>
          <w:bCs/>
          <w:color w:val="333333"/>
        </w:rPr>
        <w:t xml:space="preserve"> </w:t>
      </w:r>
      <w:r w:rsidRPr="00770627">
        <w:rPr>
          <w:rFonts w:ascii="Verdana" w:hAnsi="Verdana" w:cs="Arial"/>
          <w:bCs/>
          <w:color w:val="333333"/>
        </w:rPr>
        <w:t>CCR</w:t>
      </w:r>
      <w:r w:rsidR="003F12A2">
        <w:rPr>
          <w:rFonts w:ascii="Verdana" w:hAnsi="Verdana" w:cs="Arial"/>
          <w:bCs/>
          <w:color w:val="333333"/>
        </w:rPr>
        <w:t xml:space="preserve"> </w:t>
      </w:r>
      <w:r w:rsidRPr="00770627">
        <w:rPr>
          <w:rFonts w:ascii="Verdana" w:hAnsi="Verdana" w:cs="Arial"/>
          <w:bCs/>
          <w:color w:val="333333"/>
        </w:rPr>
        <w:t>when</w:t>
      </w:r>
      <w:r w:rsidR="003F12A2">
        <w:rPr>
          <w:rFonts w:ascii="Verdana" w:hAnsi="Verdana" w:cs="Arial"/>
          <w:bCs/>
          <w:color w:val="333333"/>
        </w:rPr>
        <w:t xml:space="preserve"> </w:t>
      </w:r>
      <w:r w:rsidRPr="00770627">
        <w:rPr>
          <w:rFonts w:ascii="Verdana" w:hAnsi="Verdana" w:cs="Arial"/>
          <w:bCs/>
          <w:color w:val="333333"/>
        </w:rPr>
        <w:t>addressing</w:t>
      </w:r>
      <w:r w:rsidR="003F12A2">
        <w:rPr>
          <w:rFonts w:ascii="Verdana" w:hAnsi="Verdana" w:cs="Arial"/>
          <w:bCs/>
          <w:color w:val="333333"/>
        </w:rPr>
        <w:t xml:space="preserve"> </w:t>
      </w:r>
      <w:r w:rsidR="00EF7E69" w:rsidRPr="00770627">
        <w:rPr>
          <w:rFonts w:ascii="Verdana" w:hAnsi="Verdana" w:cs="Arial"/>
          <w:bCs/>
          <w:color w:val="333333"/>
        </w:rPr>
        <w:t>Dual</w:t>
      </w:r>
      <w:r w:rsidR="003F12A2">
        <w:rPr>
          <w:rFonts w:ascii="Verdana" w:hAnsi="Verdana" w:cs="Arial"/>
          <w:bCs/>
          <w:color w:val="333333"/>
        </w:rPr>
        <w:t xml:space="preserve"> </w:t>
      </w:r>
      <w:r w:rsidR="00EF7E69" w:rsidRPr="00770627">
        <w:rPr>
          <w:rFonts w:ascii="Verdana" w:hAnsi="Verdana" w:cs="Arial"/>
          <w:bCs/>
          <w:color w:val="333333"/>
        </w:rPr>
        <w:t>Demo/MMP/DSNP</w:t>
      </w:r>
      <w:r w:rsidR="003F12A2">
        <w:rPr>
          <w:rFonts w:ascii="Verdana" w:hAnsi="Verdana" w:cs="Arial"/>
          <w:bCs/>
          <w:color w:val="333333"/>
        </w:rPr>
        <w:t xml:space="preserve"> </w:t>
      </w:r>
      <w:r w:rsidRPr="00770627">
        <w:rPr>
          <w:rFonts w:ascii="Verdana" w:hAnsi="Verdana" w:cs="Arial"/>
          <w:bCs/>
          <w:color w:val="333333"/>
        </w:rPr>
        <w:t>issues:</w:t>
      </w:r>
    </w:p>
    <w:p w14:paraId="3CB04BAE" w14:textId="77777777" w:rsidR="00557BE1" w:rsidRPr="00770627" w:rsidRDefault="00557BE1" w:rsidP="0015397A">
      <w:pPr>
        <w:textAlignment w:val="top"/>
        <w:rPr>
          <w:rFonts w:ascii="Verdana" w:hAnsi="Verdana" w:cs="Arial"/>
          <w:bCs/>
          <w:color w:val="33333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6"/>
        <w:gridCol w:w="11164"/>
      </w:tblGrid>
      <w:tr w:rsidR="00806D92" w:rsidRPr="00770627" w14:paraId="1326C71A" w14:textId="77777777" w:rsidTr="00A819AC">
        <w:tc>
          <w:tcPr>
            <w:tcW w:w="1462" w:type="pct"/>
          </w:tcPr>
          <w:p w14:paraId="52542C20" w14:textId="5F981775" w:rsidR="00557BE1" w:rsidRPr="00770627" w:rsidRDefault="00557BE1" w:rsidP="002F1FD0">
            <w:pPr>
              <w:rPr>
                <w:rFonts w:ascii="Verdana" w:hAnsi="Verdana"/>
              </w:rPr>
            </w:pPr>
            <w:r w:rsidRPr="00770627">
              <w:rPr>
                <w:rFonts w:ascii="Verdana" w:hAnsi="Verdana"/>
                <w:bCs/>
              </w:rPr>
              <w:t>From</w:t>
            </w:r>
            <w:r w:rsidR="003F12A2">
              <w:rPr>
                <w:rFonts w:ascii="Verdana" w:hAnsi="Verdana"/>
                <w:bCs/>
              </w:rPr>
              <w:t xml:space="preserve"> </w:t>
            </w:r>
            <w:r w:rsidRPr="00770627">
              <w:rPr>
                <w:rFonts w:ascii="Verdana" w:hAnsi="Verdana"/>
                <w:bCs/>
              </w:rPr>
              <w:t>the</w:t>
            </w:r>
            <w:r w:rsidR="003F12A2">
              <w:rPr>
                <w:rFonts w:ascii="Verdana" w:hAnsi="Verdana"/>
                <w:bCs/>
              </w:rPr>
              <w:t xml:space="preserve"> </w:t>
            </w:r>
            <w:r w:rsidR="00BF6E43" w:rsidRPr="00DC40DD">
              <w:rPr>
                <w:rFonts w:ascii="Verdana" w:hAnsi="Verdana"/>
                <w:b/>
                <w:bCs/>
              </w:rPr>
              <w:t>Mail</w:t>
            </w:r>
            <w:r w:rsidR="00747618">
              <w:rPr>
                <w:rFonts w:ascii="Verdana" w:hAnsi="Verdana"/>
              </w:rPr>
              <w:t xml:space="preserve"> or </w:t>
            </w:r>
            <w:r w:rsidR="00747618" w:rsidRPr="00747618">
              <w:rPr>
                <w:rFonts w:ascii="Verdana" w:hAnsi="Verdana"/>
                <w:b/>
                <w:bCs/>
              </w:rPr>
              <w:t>Retail</w:t>
            </w:r>
            <w:r w:rsidR="00BF6E43" w:rsidRPr="00BF6E43">
              <w:rPr>
                <w:rFonts w:ascii="Verdana" w:hAnsi="Verdana"/>
                <w:b/>
                <w:bCs/>
              </w:rPr>
              <w:t xml:space="preserve"> </w:t>
            </w:r>
            <w:proofErr w:type="spellStart"/>
            <w:r w:rsidR="00BF6E43" w:rsidRPr="00BF6E43">
              <w:rPr>
                <w:rFonts w:ascii="Verdana" w:hAnsi="Verdana"/>
                <w:b/>
                <w:bCs/>
              </w:rPr>
              <w:t>Mbr</w:t>
            </w:r>
            <w:proofErr w:type="spellEnd"/>
            <w:r w:rsidR="00BF6E43" w:rsidRPr="00BF6E43">
              <w:rPr>
                <w:rFonts w:ascii="Verdana" w:hAnsi="Verdana"/>
                <w:b/>
                <w:bCs/>
              </w:rPr>
              <w:t>. Pay</w:t>
            </w:r>
            <w:r w:rsidR="00BF6E43">
              <w:rPr>
                <w:rFonts w:ascii="Verdana" w:hAnsi="Verdana"/>
                <w:b/>
                <w:bCs/>
              </w:rPr>
              <w:t xml:space="preserve"> </w:t>
            </w:r>
            <w:r w:rsidR="00BF6E43">
              <w:rPr>
                <w:rFonts w:ascii="Verdana" w:hAnsi="Verdana"/>
              </w:rPr>
              <w:t>hyperlink</w:t>
            </w:r>
            <w:r w:rsidR="00DC40DD">
              <w:rPr>
                <w:rFonts w:ascii="Verdana" w:hAnsi="Verdana"/>
              </w:rPr>
              <w:t>s</w:t>
            </w:r>
            <w:r w:rsidR="00216BB4">
              <w:rPr>
                <w:rFonts w:ascii="Verdana" w:hAnsi="Verdana"/>
                <w:b/>
                <w:bCs/>
              </w:rPr>
              <w:t xml:space="preserve"> </w:t>
            </w:r>
            <w:r w:rsidRPr="00770627">
              <w:rPr>
                <w:rFonts w:ascii="Verdana" w:hAnsi="Verdana"/>
                <w:bCs/>
              </w:rPr>
              <w:t>on</w:t>
            </w:r>
            <w:r w:rsidR="003F12A2">
              <w:rPr>
                <w:rFonts w:ascii="Verdana" w:hAnsi="Verdana"/>
                <w:bCs/>
              </w:rPr>
              <w:t xml:space="preserve"> </w:t>
            </w:r>
            <w:r w:rsidRPr="00770627">
              <w:rPr>
                <w:rFonts w:ascii="Verdana" w:hAnsi="Verdana"/>
                <w:bCs/>
              </w:rPr>
              <w:t>the</w:t>
            </w:r>
            <w:r w:rsidR="003F12A2">
              <w:rPr>
                <w:rFonts w:ascii="Verdana" w:hAnsi="Verdana"/>
                <w:bCs/>
              </w:rPr>
              <w:t xml:space="preserve"> </w:t>
            </w:r>
            <w:r w:rsidR="00DC40DD" w:rsidRPr="009D7E0B">
              <w:rPr>
                <w:rFonts w:ascii="Verdana" w:hAnsi="Verdana"/>
                <w:b/>
              </w:rPr>
              <w:t>View</w:t>
            </w:r>
            <w:r w:rsidR="00DC40DD">
              <w:rPr>
                <w:rFonts w:ascii="Verdana" w:hAnsi="Verdana"/>
                <w:bCs/>
              </w:rPr>
              <w:t xml:space="preserve"> </w:t>
            </w:r>
            <w:r w:rsidR="00216BB4">
              <w:rPr>
                <w:rFonts w:ascii="Verdana" w:hAnsi="Verdana"/>
                <w:b/>
                <w:bCs/>
              </w:rPr>
              <w:t>Test Claim</w:t>
            </w:r>
            <w:r w:rsidR="003F12A2">
              <w:rPr>
                <w:rFonts w:ascii="Verdana" w:hAnsi="Verdana"/>
                <w:bCs/>
              </w:rPr>
              <w:t xml:space="preserve"> </w:t>
            </w:r>
            <w:r w:rsidR="00DC40DD" w:rsidRPr="009D7E0B">
              <w:rPr>
                <w:rFonts w:ascii="Verdana" w:hAnsi="Verdana"/>
                <w:b/>
              </w:rPr>
              <w:t>Results</w:t>
            </w:r>
            <w:r w:rsidR="00DC40DD">
              <w:rPr>
                <w:rFonts w:ascii="Verdana" w:hAnsi="Verdana"/>
                <w:bCs/>
              </w:rPr>
              <w:t xml:space="preserve"> </w:t>
            </w:r>
            <w:r w:rsidRPr="00770627">
              <w:rPr>
                <w:rFonts w:ascii="Verdana" w:hAnsi="Verdana"/>
                <w:bCs/>
              </w:rPr>
              <w:t>screen,</w:t>
            </w:r>
            <w:r w:rsidR="003F12A2">
              <w:rPr>
                <w:rFonts w:ascii="Verdana" w:hAnsi="Verdana"/>
                <w:b/>
                <w:bCs/>
              </w:rPr>
              <w:t xml:space="preserve"> </w:t>
            </w:r>
            <w:r w:rsidRPr="00770627">
              <w:rPr>
                <w:rFonts w:ascii="Verdana" w:hAnsi="Verdana"/>
                <w:bCs/>
              </w:rPr>
              <w:t>the</w:t>
            </w:r>
            <w:r w:rsidR="003F12A2">
              <w:rPr>
                <w:rFonts w:ascii="Verdana" w:hAnsi="Verdana"/>
                <w:bCs/>
              </w:rPr>
              <w:t xml:space="preserve"> </w:t>
            </w:r>
            <w:r w:rsidRPr="00770627">
              <w:rPr>
                <w:rFonts w:ascii="Verdana" w:hAnsi="Verdana"/>
                <w:bCs/>
              </w:rPr>
              <w:t>CCR</w:t>
            </w:r>
            <w:r w:rsidR="003F12A2">
              <w:rPr>
                <w:rFonts w:ascii="Verdana" w:hAnsi="Verdana"/>
                <w:bCs/>
              </w:rPr>
              <w:t xml:space="preserve"> </w:t>
            </w:r>
            <w:r w:rsidRPr="00770627">
              <w:rPr>
                <w:rFonts w:ascii="Verdana" w:hAnsi="Verdana"/>
                <w:bCs/>
              </w:rPr>
              <w:t>can</w:t>
            </w:r>
            <w:r w:rsidR="00793222">
              <w:rPr>
                <w:rFonts w:ascii="Verdana" w:hAnsi="Verdana"/>
                <w:bCs/>
              </w:rPr>
              <w:t>:</w:t>
            </w:r>
            <w:r w:rsidR="003F12A2">
              <w:rPr>
                <w:rFonts w:ascii="Verdana" w:hAnsi="Verdana"/>
                <w:bCs/>
              </w:rPr>
              <w:t xml:space="preserve"> </w:t>
            </w:r>
          </w:p>
          <w:p w14:paraId="022DA045" w14:textId="77777777" w:rsidR="00806D92" w:rsidRPr="00770627" w:rsidRDefault="00806D92" w:rsidP="0015397A">
            <w:pPr>
              <w:textAlignment w:val="top"/>
              <w:rPr>
                <w:rFonts w:ascii="Verdana" w:hAnsi="Verdana" w:cs="Arial"/>
                <w:b/>
                <w:bCs/>
                <w:color w:val="333333"/>
              </w:rPr>
            </w:pPr>
          </w:p>
        </w:tc>
        <w:tc>
          <w:tcPr>
            <w:tcW w:w="3538" w:type="pct"/>
          </w:tcPr>
          <w:p w14:paraId="2B6A25F9" w14:textId="740995A1" w:rsidR="00557BE1" w:rsidRPr="00770627" w:rsidRDefault="00557BE1" w:rsidP="0028131C">
            <w:pPr>
              <w:pStyle w:val="ListParagraph"/>
              <w:numPr>
                <w:ilvl w:val="0"/>
                <w:numId w:val="17"/>
              </w:numPr>
              <w:rPr>
                <w:rFonts w:ascii="Verdana" w:hAnsi="Verdana"/>
              </w:rPr>
            </w:pPr>
            <w:r w:rsidRPr="00770627">
              <w:rPr>
                <w:rFonts w:ascii="Verdana" w:hAnsi="Verdana"/>
              </w:rPr>
              <w:t>View</w:t>
            </w:r>
            <w:r w:rsidR="003F12A2">
              <w:rPr>
                <w:rFonts w:ascii="Verdana" w:hAnsi="Verdana"/>
              </w:rPr>
              <w:t xml:space="preserve"> </w:t>
            </w:r>
            <w:r w:rsidRPr="00770627">
              <w:rPr>
                <w:rFonts w:ascii="Verdana" w:hAnsi="Verdana"/>
              </w:rPr>
              <w:t>the</w:t>
            </w:r>
            <w:r w:rsidR="003F12A2">
              <w:rPr>
                <w:rFonts w:ascii="Verdana" w:hAnsi="Verdana"/>
              </w:rPr>
              <w:t xml:space="preserve"> </w:t>
            </w:r>
            <w:r w:rsidRPr="00770627">
              <w:rPr>
                <w:rFonts w:ascii="Verdana" w:hAnsi="Verdana"/>
              </w:rPr>
              <w:t>amount</w:t>
            </w:r>
            <w:r w:rsidR="003F12A2">
              <w:rPr>
                <w:rFonts w:ascii="Verdana" w:hAnsi="Verdana"/>
              </w:rPr>
              <w:t xml:space="preserve"> </w:t>
            </w:r>
            <w:r w:rsidRPr="00770627">
              <w:rPr>
                <w:rFonts w:ascii="Verdana" w:hAnsi="Verdana"/>
              </w:rPr>
              <w:t>the</w:t>
            </w:r>
            <w:r w:rsidR="003F12A2">
              <w:rPr>
                <w:rFonts w:ascii="Verdana" w:hAnsi="Verdana"/>
              </w:rPr>
              <w:t xml:space="preserve"> </w:t>
            </w:r>
            <w:r w:rsidRPr="00770627">
              <w:rPr>
                <w:rFonts w:ascii="Verdana" w:hAnsi="Verdana"/>
              </w:rPr>
              <w:t>secondary</w:t>
            </w:r>
            <w:r w:rsidR="003F12A2">
              <w:rPr>
                <w:rFonts w:ascii="Verdana" w:hAnsi="Verdana"/>
              </w:rPr>
              <w:t xml:space="preserve"> </w:t>
            </w:r>
            <w:r w:rsidRPr="00770627">
              <w:rPr>
                <w:rFonts w:ascii="Verdana" w:hAnsi="Verdana"/>
              </w:rPr>
              <w:t>plan</w:t>
            </w:r>
            <w:r w:rsidR="003F12A2">
              <w:rPr>
                <w:rFonts w:ascii="Verdana" w:hAnsi="Verdana"/>
              </w:rPr>
              <w:t xml:space="preserve"> </w:t>
            </w:r>
            <w:r w:rsidRPr="00770627">
              <w:rPr>
                <w:rFonts w:ascii="Verdana" w:hAnsi="Verdana"/>
              </w:rPr>
              <w:t>paid</w:t>
            </w:r>
            <w:r w:rsidR="003F12A2">
              <w:rPr>
                <w:rFonts w:ascii="Verdana" w:hAnsi="Verdana"/>
              </w:rPr>
              <w:t xml:space="preserve"> </w:t>
            </w:r>
            <w:r w:rsidRPr="00770627">
              <w:rPr>
                <w:rFonts w:ascii="Verdana" w:hAnsi="Verdana"/>
              </w:rPr>
              <w:t>on</w:t>
            </w:r>
            <w:r w:rsidR="003F12A2">
              <w:rPr>
                <w:rFonts w:ascii="Verdana" w:hAnsi="Verdana"/>
              </w:rPr>
              <w:t xml:space="preserve"> </w:t>
            </w:r>
            <w:r w:rsidRPr="00770627">
              <w:rPr>
                <w:rFonts w:ascii="Verdana" w:hAnsi="Verdana"/>
              </w:rPr>
              <w:t>the</w:t>
            </w:r>
            <w:r w:rsidR="003F12A2">
              <w:rPr>
                <w:rFonts w:ascii="Verdana" w:hAnsi="Verdana"/>
              </w:rPr>
              <w:t xml:space="preserve"> </w:t>
            </w:r>
            <w:r w:rsidRPr="00770627">
              <w:rPr>
                <w:rFonts w:ascii="Verdana" w:hAnsi="Verdana"/>
              </w:rPr>
              <w:t>claim</w:t>
            </w:r>
            <w:r w:rsidR="00216BB4">
              <w:rPr>
                <w:rFonts w:ascii="Verdana" w:hAnsi="Verdana"/>
              </w:rPr>
              <w:t xml:space="preserve">, </w:t>
            </w:r>
            <w:r w:rsidR="00CE448A">
              <w:rPr>
                <w:rFonts w:ascii="Verdana" w:hAnsi="Verdana"/>
              </w:rPr>
              <w:t xml:space="preserve">by clicking the </w:t>
            </w:r>
            <w:r w:rsidR="0028131C">
              <w:rPr>
                <w:rFonts w:ascii="Verdana" w:hAnsi="Verdana"/>
                <w:b/>
                <w:bCs/>
              </w:rPr>
              <w:t xml:space="preserve">$ amount </w:t>
            </w:r>
            <w:r w:rsidR="00153A6F">
              <w:rPr>
                <w:rFonts w:ascii="Verdana" w:hAnsi="Verdana"/>
              </w:rPr>
              <w:t xml:space="preserve">hyperlink under the </w:t>
            </w:r>
            <w:r w:rsidR="00153A6F" w:rsidRPr="0028131C">
              <w:rPr>
                <w:rFonts w:ascii="Verdana" w:hAnsi="Verdana"/>
                <w:b/>
                <w:bCs/>
              </w:rPr>
              <w:t xml:space="preserve">Retail </w:t>
            </w:r>
            <w:proofErr w:type="spellStart"/>
            <w:r w:rsidR="00153A6F" w:rsidRPr="0028131C">
              <w:rPr>
                <w:rFonts w:ascii="Verdana" w:hAnsi="Verdana"/>
                <w:b/>
                <w:bCs/>
              </w:rPr>
              <w:t>Mbr</w:t>
            </w:r>
            <w:proofErr w:type="spellEnd"/>
            <w:r w:rsidR="00153A6F" w:rsidRPr="0028131C">
              <w:rPr>
                <w:rFonts w:ascii="Verdana" w:hAnsi="Verdana"/>
                <w:b/>
                <w:bCs/>
              </w:rPr>
              <w:t>. Pay</w:t>
            </w:r>
            <w:r w:rsidR="00153A6F">
              <w:rPr>
                <w:rFonts w:ascii="Verdana" w:hAnsi="Verdana"/>
              </w:rPr>
              <w:t xml:space="preserve"> </w:t>
            </w:r>
            <w:r w:rsidR="00875BEB">
              <w:rPr>
                <w:rFonts w:ascii="Verdana" w:hAnsi="Verdana"/>
              </w:rPr>
              <w:t>c</w:t>
            </w:r>
            <w:r w:rsidR="00153A6F">
              <w:rPr>
                <w:rFonts w:ascii="Verdana" w:hAnsi="Verdana"/>
              </w:rPr>
              <w:t>olumn</w:t>
            </w:r>
            <w:r w:rsidR="00216BB4">
              <w:rPr>
                <w:rFonts w:ascii="Verdana" w:hAnsi="Verdana"/>
              </w:rPr>
              <w:t xml:space="preserve"> </w:t>
            </w:r>
            <w:r w:rsidR="0027130E">
              <w:rPr>
                <w:rFonts w:ascii="Verdana" w:hAnsi="Verdana"/>
              </w:rPr>
              <w:t xml:space="preserve">and then </w:t>
            </w:r>
            <w:r w:rsidR="005F01B6">
              <w:rPr>
                <w:rFonts w:ascii="Verdana" w:hAnsi="Verdana"/>
              </w:rPr>
              <w:t xml:space="preserve">reviewing the </w:t>
            </w:r>
            <w:r w:rsidR="005F01B6" w:rsidRPr="0028131C">
              <w:rPr>
                <w:rFonts w:ascii="Verdana" w:hAnsi="Verdana"/>
                <w:b/>
                <w:bCs/>
              </w:rPr>
              <w:t>Supplemental Payer Adjust Amount (+/-)</w:t>
            </w:r>
            <w:r w:rsidR="005F01B6">
              <w:rPr>
                <w:rFonts w:ascii="Verdana" w:hAnsi="Verdana"/>
              </w:rPr>
              <w:t xml:space="preserve"> field under the </w:t>
            </w:r>
            <w:r w:rsidR="005F01B6" w:rsidRPr="0028131C">
              <w:rPr>
                <w:rFonts w:ascii="Verdana" w:hAnsi="Verdana"/>
                <w:b/>
                <w:bCs/>
              </w:rPr>
              <w:t>Member Pay</w:t>
            </w:r>
            <w:r w:rsidR="005F01B6">
              <w:rPr>
                <w:rFonts w:ascii="Verdana" w:hAnsi="Verdana"/>
              </w:rPr>
              <w:t xml:space="preserve"> section</w:t>
            </w:r>
            <w:r w:rsidR="008B5E9C">
              <w:rPr>
                <w:rFonts w:ascii="Verdana" w:hAnsi="Verdana"/>
              </w:rPr>
              <w:t xml:space="preserve">. </w:t>
            </w:r>
          </w:p>
          <w:p w14:paraId="6F51043E" w14:textId="783A071F" w:rsidR="00216BB4" w:rsidRDefault="00B60288" w:rsidP="0015397A">
            <w:pPr>
              <w:widowControl w:val="0"/>
              <w:jc w:val="center"/>
              <w:rPr>
                <w:noProof/>
              </w:rPr>
            </w:pPr>
            <w:r>
              <w:rPr>
                <w:noProof/>
              </w:rPr>
              <w:t xml:space="preserve"> </w:t>
            </w:r>
          </w:p>
          <w:p w14:paraId="63AA3A1E" w14:textId="27A5D751" w:rsidR="0027130E" w:rsidRDefault="009E772B" w:rsidP="0015397A">
            <w:pPr>
              <w:widowControl w:val="0"/>
              <w:jc w:val="center"/>
              <w:rPr>
                <w:noProof/>
              </w:rPr>
            </w:pPr>
            <w:r w:rsidRPr="003C6899">
              <w:rPr>
                <w:noProof/>
              </w:rPr>
              <w:drawing>
                <wp:inline distT="0" distB="0" distL="0" distR="0" wp14:anchorId="2DED62EC" wp14:editId="16787ED1">
                  <wp:extent cx="11020425" cy="226695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20425" cy="2266950"/>
                          </a:xfrm>
                          <a:prstGeom prst="rect">
                            <a:avLst/>
                          </a:prstGeom>
                          <a:noFill/>
                          <a:ln>
                            <a:noFill/>
                          </a:ln>
                        </pic:spPr>
                      </pic:pic>
                    </a:graphicData>
                  </a:graphic>
                </wp:inline>
              </w:drawing>
            </w:r>
          </w:p>
          <w:p w14:paraId="74448F0E" w14:textId="77777777" w:rsidR="00923164" w:rsidRDefault="00923164" w:rsidP="0015397A">
            <w:pPr>
              <w:widowControl w:val="0"/>
              <w:jc w:val="center"/>
              <w:rPr>
                <w:noProof/>
              </w:rPr>
            </w:pPr>
          </w:p>
          <w:p w14:paraId="461E7FB7" w14:textId="0E4F5B56" w:rsidR="00923164" w:rsidRDefault="009E772B" w:rsidP="0015397A">
            <w:pPr>
              <w:widowControl w:val="0"/>
              <w:jc w:val="center"/>
              <w:rPr>
                <w:noProof/>
              </w:rPr>
            </w:pPr>
            <w:r w:rsidRPr="003C6899">
              <w:rPr>
                <w:noProof/>
              </w:rPr>
              <w:drawing>
                <wp:inline distT="0" distB="0" distL="0" distR="0" wp14:anchorId="528F9E8B" wp14:editId="66560D76">
                  <wp:extent cx="4448175" cy="402907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4029075"/>
                          </a:xfrm>
                          <a:prstGeom prst="rect">
                            <a:avLst/>
                          </a:prstGeom>
                          <a:noFill/>
                          <a:ln>
                            <a:noFill/>
                          </a:ln>
                        </pic:spPr>
                      </pic:pic>
                    </a:graphicData>
                  </a:graphic>
                </wp:inline>
              </w:drawing>
            </w:r>
          </w:p>
          <w:p w14:paraId="121CA242" w14:textId="77777777" w:rsidR="00216BB4" w:rsidRDefault="00216BB4" w:rsidP="0015397A">
            <w:pPr>
              <w:widowControl w:val="0"/>
              <w:jc w:val="center"/>
              <w:rPr>
                <w:noProof/>
              </w:rPr>
            </w:pPr>
          </w:p>
          <w:p w14:paraId="720CD15E" w14:textId="15ED26B4" w:rsidR="0030181F" w:rsidRDefault="0030181F" w:rsidP="0015397A">
            <w:pPr>
              <w:textAlignment w:val="top"/>
              <w:rPr>
                <w:rFonts w:ascii="Verdana" w:hAnsi="Verdana" w:cs="Arial"/>
                <w:color w:val="333333"/>
              </w:rPr>
            </w:pPr>
            <w:r w:rsidRPr="0030181F">
              <w:rPr>
                <w:rFonts w:ascii="Verdana" w:hAnsi="Verdana"/>
                <w:noProof/>
              </w:rPr>
              <w:t>Click</w:t>
            </w:r>
            <w:r w:rsidR="00216BB4" w:rsidRPr="00216BB4">
              <w:rPr>
                <w:rFonts w:ascii="Verdana" w:hAnsi="Verdana" w:cs="Arial"/>
                <w:color w:val="333333"/>
              </w:rPr>
              <w:t xml:space="preserve"> the </w:t>
            </w:r>
            <w:r w:rsidR="00742106">
              <w:rPr>
                <w:rFonts w:ascii="Verdana" w:hAnsi="Verdana" w:cs="Arial"/>
                <w:color w:val="333333"/>
              </w:rPr>
              <w:t xml:space="preserve">hyperlink in the </w:t>
            </w:r>
            <w:r w:rsidR="00422248">
              <w:rPr>
                <w:rFonts w:ascii="Verdana" w:hAnsi="Verdana" w:cs="Arial"/>
                <w:b/>
                <w:bCs/>
                <w:color w:val="333333"/>
              </w:rPr>
              <w:t>Mail</w:t>
            </w:r>
            <w:r w:rsidR="00742106">
              <w:rPr>
                <w:rFonts w:ascii="Verdana" w:hAnsi="Verdana" w:cs="Arial"/>
                <w:b/>
                <w:bCs/>
                <w:color w:val="333333"/>
              </w:rPr>
              <w:t xml:space="preserve"> Messages</w:t>
            </w:r>
            <w:r w:rsidR="00422248">
              <w:rPr>
                <w:rFonts w:ascii="Verdana" w:hAnsi="Verdana" w:cs="Arial"/>
                <w:b/>
                <w:bCs/>
                <w:color w:val="333333"/>
              </w:rPr>
              <w:t xml:space="preserve"> </w:t>
            </w:r>
            <w:r w:rsidR="002E6486" w:rsidRPr="000F0B85">
              <w:rPr>
                <w:rFonts w:ascii="Verdana" w:hAnsi="Verdana" w:cs="Arial"/>
                <w:color w:val="333333"/>
              </w:rPr>
              <w:t>or</w:t>
            </w:r>
            <w:r w:rsidR="002E6486">
              <w:rPr>
                <w:rFonts w:ascii="Verdana" w:hAnsi="Verdana" w:cs="Arial"/>
                <w:b/>
                <w:bCs/>
                <w:color w:val="333333"/>
              </w:rPr>
              <w:t xml:space="preserve"> Retail </w:t>
            </w:r>
            <w:r w:rsidR="00422248" w:rsidRPr="002E6486">
              <w:rPr>
                <w:rFonts w:ascii="Verdana" w:hAnsi="Verdana" w:cs="Arial"/>
                <w:b/>
                <w:bCs/>
                <w:color w:val="333333"/>
              </w:rPr>
              <w:t>Messages</w:t>
            </w:r>
            <w:r w:rsidR="00742106">
              <w:rPr>
                <w:rFonts w:ascii="Verdana" w:hAnsi="Verdana" w:cs="Arial"/>
                <w:b/>
                <w:bCs/>
                <w:color w:val="333333"/>
              </w:rPr>
              <w:t xml:space="preserve"> </w:t>
            </w:r>
            <w:r w:rsidR="00742106" w:rsidRPr="00742106">
              <w:rPr>
                <w:rFonts w:ascii="Verdana" w:hAnsi="Verdana" w:cs="Arial"/>
                <w:color w:val="333333"/>
              </w:rPr>
              <w:t>column</w:t>
            </w:r>
            <w:r>
              <w:rPr>
                <w:rFonts w:ascii="Verdana" w:hAnsi="Verdana" w:cs="Arial"/>
                <w:color w:val="333333"/>
              </w:rPr>
              <w:t xml:space="preserve"> to view STCOB messaging under the </w:t>
            </w:r>
            <w:r w:rsidRPr="0063064D">
              <w:rPr>
                <w:rFonts w:ascii="Verdana" w:hAnsi="Verdana" w:cs="Arial"/>
                <w:b/>
                <w:bCs/>
                <w:color w:val="333333"/>
              </w:rPr>
              <w:t>Additional Messages</w:t>
            </w:r>
            <w:r>
              <w:rPr>
                <w:rFonts w:ascii="Verdana" w:hAnsi="Verdana" w:cs="Arial"/>
                <w:color w:val="333333"/>
              </w:rPr>
              <w:t xml:space="preserve"> section.</w:t>
            </w:r>
          </w:p>
          <w:p w14:paraId="6ADA4222" w14:textId="77777777" w:rsidR="0030181F" w:rsidRDefault="0030181F" w:rsidP="0015397A">
            <w:pPr>
              <w:textAlignment w:val="top"/>
              <w:rPr>
                <w:rFonts w:ascii="Verdana" w:hAnsi="Verdana" w:cs="Arial"/>
                <w:color w:val="333333"/>
              </w:rPr>
            </w:pPr>
          </w:p>
          <w:p w14:paraId="1A0BA23A" w14:textId="08F3663C" w:rsidR="00216BB4" w:rsidRDefault="00A819AC" w:rsidP="00A819AC">
            <w:pPr>
              <w:jc w:val="center"/>
              <w:textAlignment w:val="top"/>
              <w:rPr>
                <w:rFonts w:ascii="Verdana" w:hAnsi="Verdana" w:cs="Arial"/>
                <w:color w:val="333333"/>
              </w:rPr>
            </w:pPr>
            <w:r>
              <w:rPr>
                <w:noProof/>
              </w:rPr>
              <w:t xml:space="preserve"> </w:t>
            </w:r>
            <w:r w:rsidR="009E772B" w:rsidRPr="003C6899">
              <w:rPr>
                <w:noProof/>
              </w:rPr>
              <w:drawing>
                <wp:inline distT="0" distB="0" distL="0" distR="0" wp14:anchorId="09769F57" wp14:editId="43BB7139">
                  <wp:extent cx="9496425" cy="302895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96425" cy="3028950"/>
                          </a:xfrm>
                          <a:prstGeom prst="rect">
                            <a:avLst/>
                          </a:prstGeom>
                          <a:noFill/>
                          <a:ln>
                            <a:noFill/>
                          </a:ln>
                        </pic:spPr>
                      </pic:pic>
                    </a:graphicData>
                  </a:graphic>
                </wp:inline>
              </w:drawing>
            </w:r>
          </w:p>
          <w:p w14:paraId="19ACBEF7" w14:textId="77777777" w:rsidR="00216BB4" w:rsidRPr="00770627" w:rsidRDefault="00216BB4" w:rsidP="0015397A">
            <w:pPr>
              <w:textAlignment w:val="top"/>
              <w:rPr>
                <w:rFonts w:ascii="Verdana" w:hAnsi="Verdana" w:cs="Arial"/>
                <w:b/>
                <w:bCs/>
                <w:color w:val="333333"/>
              </w:rPr>
            </w:pPr>
          </w:p>
        </w:tc>
      </w:tr>
      <w:tr w:rsidR="00CC4416" w:rsidRPr="00770627" w14:paraId="016A93E9" w14:textId="77777777" w:rsidTr="00A819AC">
        <w:tc>
          <w:tcPr>
            <w:tcW w:w="1462" w:type="pct"/>
          </w:tcPr>
          <w:p w14:paraId="51B0DADB" w14:textId="77777777" w:rsidR="00CC4416" w:rsidRPr="00770627" w:rsidRDefault="00EF7E69" w:rsidP="00426501">
            <w:pPr>
              <w:rPr>
                <w:rFonts w:ascii="Verdana" w:hAnsi="Verdana"/>
                <w:b/>
                <w:bCs/>
              </w:rPr>
            </w:pPr>
            <w:r w:rsidRPr="00770627">
              <w:rPr>
                <w:rFonts w:ascii="Verdana" w:hAnsi="Verdana"/>
                <w:b/>
                <w:bCs/>
              </w:rPr>
              <w:t>Dual</w:t>
            </w:r>
            <w:r w:rsidR="003F12A2">
              <w:rPr>
                <w:rFonts w:ascii="Verdana" w:hAnsi="Verdana"/>
                <w:b/>
                <w:bCs/>
              </w:rPr>
              <w:t xml:space="preserve"> </w:t>
            </w:r>
            <w:r w:rsidR="00344B2A" w:rsidRPr="00770627">
              <w:rPr>
                <w:rFonts w:ascii="Verdana" w:hAnsi="Verdana"/>
                <w:b/>
                <w:bCs/>
              </w:rPr>
              <w:t>Demo</w:t>
            </w:r>
            <w:r w:rsidRPr="00770627">
              <w:rPr>
                <w:rFonts w:ascii="Verdana" w:hAnsi="Verdana"/>
                <w:b/>
                <w:bCs/>
              </w:rPr>
              <w:t>/MMP/DSNP</w:t>
            </w:r>
            <w:r w:rsidR="003F12A2">
              <w:rPr>
                <w:rFonts w:ascii="Verdana" w:hAnsi="Verdana"/>
                <w:b/>
                <w:bCs/>
              </w:rPr>
              <w:t xml:space="preserve"> </w:t>
            </w:r>
            <w:r w:rsidR="00CC4416" w:rsidRPr="00770627">
              <w:rPr>
                <w:rFonts w:ascii="Verdana" w:hAnsi="Verdana"/>
                <w:b/>
                <w:bCs/>
              </w:rPr>
              <w:t>Accounts:</w:t>
            </w:r>
            <w:r w:rsidR="003F12A2">
              <w:rPr>
                <w:rFonts w:ascii="Verdana" w:hAnsi="Verdana"/>
                <w:b/>
                <w:bCs/>
              </w:rPr>
              <w:t xml:space="preserve">  </w:t>
            </w:r>
            <w:r w:rsidR="00CC4416" w:rsidRPr="00770627">
              <w:rPr>
                <w:rFonts w:ascii="Verdana" w:hAnsi="Verdana"/>
                <w:b/>
                <w:bCs/>
              </w:rPr>
              <w:t>Explaining</w:t>
            </w:r>
            <w:r w:rsidR="003F12A2">
              <w:rPr>
                <w:rFonts w:ascii="Verdana" w:hAnsi="Verdana"/>
                <w:b/>
                <w:bCs/>
              </w:rPr>
              <w:t xml:space="preserve"> </w:t>
            </w:r>
            <w:r w:rsidR="00CC4416" w:rsidRPr="00770627">
              <w:rPr>
                <w:rFonts w:ascii="Verdana" w:hAnsi="Verdana"/>
                <w:b/>
                <w:bCs/>
              </w:rPr>
              <w:t>to</w:t>
            </w:r>
            <w:r w:rsidR="003F12A2">
              <w:rPr>
                <w:rFonts w:ascii="Verdana" w:hAnsi="Verdana"/>
                <w:b/>
                <w:bCs/>
              </w:rPr>
              <w:t xml:space="preserve"> </w:t>
            </w:r>
            <w:r w:rsidR="002F1FD0" w:rsidRPr="00770627">
              <w:rPr>
                <w:rFonts w:ascii="Verdana" w:hAnsi="Verdana"/>
                <w:b/>
                <w:bCs/>
              </w:rPr>
              <w:t>Beneficiaries</w:t>
            </w:r>
            <w:r w:rsidR="003F12A2">
              <w:rPr>
                <w:rFonts w:ascii="Verdana" w:hAnsi="Verdana"/>
                <w:b/>
                <w:bCs/>
              </w:rPr>
              <w:t xml:space="preserve"> </w:t>
            </w:r>
          </w:p>
          <w:p w14:paraId="08C8D60F" w14:textId="77777777" w:rsidR="00CC4416" w:rsidRPr="00770627" w:rsidRDefault="00CC4416" w:rsidP="002F1FD0">
            <w:pPr>
              <w:rPr>
                <w:rFonts w:ascii="Verdana" w:hAnsi="Verdana"/>
                <w:b/>
                <w:bCs/>
              </w:rPr>
            </w:pPr>
          </w:p>
        </w:tc>
        <w:tc>
          <w:tcPr>
            <w:tcW w:w="3538" w:type="pct"/>
          </w:tcPr>
          <w:p w14:paraId="1BC8B067" w14:textId="77777777" w:rsidR="00523593" w:rsidRPr="00770627" w:rsidRDefault="00382085" w:rsidP="00770627">
            <w:pPr>
              <w:pStyle w:val="ListParagraph"/>
              <w:ind w:left="0"/>
              <w:rPr>
                <w:rFonts w:ascii="Verdana" w:hAnsi="Verdana"/>
              </w:rPr>
            </w:pPr>
            <w:r w:rsidRPr="00770627">
              <w:rPr>
                <w:rFonts w:ascii="Verdana" w:hAnsi="Verdana"/>
              </w:rPr>
              <w:t>The</w:t>
            </w:r>
            <w:r w:rsidR="003F12A2">
              <w:rPr>
                <w:rFonts w:ascii="Verdana" w:hAnsi="Verdana"/>
              </w:rPr>
              <w:t xml:space="preserve"> </w:t>
            </w:r>
            <w:r w:rsidRPr="00770627">
              <w:rPr>
                <w:rFonts w:ascii="Verdana" w:hAnsi="Verdana"/>
              </w:rPr>
              <w:t>following</w:t>
            </w:r>
            <w:r w:rsidR="003F12A2">
              <w:rPr>
                <w:rFonts w:ascii="Verdana" w:hAnsi="Verdana"/>
              </w:rPr>
              <w:t xml:space="preserve"> </w:t>
            </w:r>
            <w:r w:rsidRPr="00770627">
              <w:rPr>
                <w:rFonts w:ascii="Verdana" w:hAnsi="Verdana"/>
              </w:rPr>
              <w:t>are</w:t>
            </w:r>
            <w:r w:rsidR="003F12A2">
              <w:rPr>
                <w:rFonts w:ascii="Verdana" w:hAnsi="Verdana"/>
              </w:rPr>
              <w:t xml:space="preserve"> </w:t>
            </w:r>
            <w:r w:rsidRPr="00770627">
              <w:rPr>
                <w:rFonts w:ascii="Verdana" w:hAnsi="Verdana"/>
              </w:rPr>
              <w:t>tips</w:t>
            </w:r>
            <w:r w:rsidR="003F12A2">
              <w:rPr>
                <w:rFonts w:ascii="Verdana" w:hAnsi="Verdana"/>
              </w:rPr>
              <w:t xml:space="preserve"> </w:t>
            </w:r>
            <w:r w:rsidRPr="00770627">
              <w:rPr>
                <w:rFonts w:ascii="Verdana" w:hAnsi="Verdana"/>
              </w:rPr>
              <w:t>on</w:t>
            </w:r>
            <w:r w:rsidR="003F12A2">
              <w:rPr>
                <w:rFonts w:ascii="Verdana" w:hAnsi="Verdana"/>
              </w:rPr>
              <w:t xml:space="preserve"> </w:t>
            </w:r>
            <w:r w:rsidRPr="00770627">
              <w:rPr>
                <w:rFonts w:ascii="Verdana" w:hAnsi="Verdana"/>
              </w:rPr>
              <w:t>how</w:t>
            </w:r>
            <w:r w:rsidR="003F12A2">
              <w:rPr>
                <w:rFonts w:ascii="Verdana" w:hAnsi="Verdana"/>
              </w:rPr>
              <w:t xml:space="preserve"> </w:t>
            </w:r>
            <w:r w:rsidRPr="00770627">
              <w:rPr>
                <w:rFonts w:ascii="Verdana" w:hAnsi="Verdana"/>
              </w:rPr>
              <w:t>to</w:t>
            </w:r>
            <w:r w:rsidR="003F12A2">
              <w:rPr>
                <w:rFonts w:ascii="Verdana" w:hAnsi="Verdana"/>
              </w:rPr>
              <w:t xml:space="preserve"> </w:t>
            </w:r>
            <w:r w:rsidRPr="00770627">
              <w:rPr>
                <w:rFonts w:ascii="Verdana" w:hAnsi="Verdana"/>
              </w:rPr>
              <w:t>respond</w:t>
            </w:r>
            <w:r w:rsidR="003F12A2">
              <w:rPr>
                <w:rFonts w:ascii="Verdana" w:hAnsi="Verdana"/>
              </w:rPr>
              <w:t xml:space="preserve"> </w:t>
            </w:r>
            <w:r w:rsidRPr="00770627">
              <w:rPr>
                <w:rFonts w:ascii="Verdana" w:hAnsi="Verdana"/>
              </w:rPr>
              <w:t>to</w:t>
            </w:r>
            <w:r w:rsidR="003F12A2">
              <w:rPr>
                <w:rFonts w:ascii="Verdana" w:hAnsi="Verdana"/>
              </w:rPr>
              <w:t xml:space="preserve"> </w:t>
            </w:r>
            <w:r w:rsidRPr="00770627">
              <w:rPr>
                <w:rFonts w:ascii="Verdana" w:hAnsi="Verdana"/>
              </w:rPr>
              <w:t>inquiries</w:t>
            </w:r>
            <w:r w:rsidR="003F12A2">
              <w:rPr>
                <w:rFonts w:ascii="Verdana" w:hAnsi="Verdana"/>
              </w:rPr>
              <w:t xml:space="preserve"> </w:t>
            </w:r>
            <w:r w:rsidRPr="00770627">
              <w:rPr>
                <w:rFonts w:ascii="Verdana" w:hAnsi="Verdana"/>
              </w:rPr>
              <w:t>from</w:t>
            </w:r>
            <w:r w:rsidR="003F12A2">
              <w:rPr>
                <w:rFonts w:ascii="Verdana" w:hAnsi="Verdana"/>
              </w:rPr>
              <w:t xml:space="preserve"> </w:t>
            </w:r>
            <w:r w:rsidR="002F1FD0" w:rsidRPr="00770627">
              <w:rPr>
                <w:rFonts w:ascii="Verdana" w:hAnsi="Verdana"/>
              </w:rPr>
              <w:t>beneficiaries</w:t>
            </w:r>
            <w:r w:rsidR="003F12A2">
              <w:rPr>
                <w:rFonts w:ascii="Verdana" w:hAnsi="Verdana"/>
              </w:rPr>
              <w:t xml:space="preserve"> </w:t>
            </w:r>
            <w:r w:rsidRPr="00770627">
              <w:rPr>
                <w:rFonts w:ascii="Verdana" w:hAnsi="Verdana"/>
              </w:rPr>
              <w:t>on</w:t>
            </w:r>
            <w:r w:rsidR="003F12A2">
              <w:rPr>
                <w:rFonts w:ascii="Verdana" w:hAnsi="Verdana"/>
              </w:rPr>
              <w:t xml:space="preserve"> </w:t>
            </w:r>
            <w:r w:rsidRPr="00770627">
              <w:rPr>
                <w:rFonts w:ascii="Verdana" w:hAnsi="Verdana"/>
              </w:rPr>
              <w:t>common</w:t>
            </w:r>
            <w:r w:rsidR="003F12A2">
              <w:rPr>
                <w:rFonts w:ascii="Verdana" w:hAnsi="Verdana"/>
              </w:rPr>
              <w:t xml:space="preserve"> </w:t>
            </w:r>
            <w:r w:rsidR="00EF7E69" w:rsidRPr="00770627">
              <w:rPr>
                <w:rFonts w:ascii="Verdana" w:hAnsi="Verdana"/>
              </w:rPr>
              <w:t>Dual</w:t>
            </w:r>
            <w:r w:rsidR="003F12A2">
              <w:rPr>
                <w:rFonts w:ascii="Verdana" w:hAnsi="Verdana"/>
              </w:rPr>
              <w:t xml:space="preserve"> </w:t>
            </w:r>
            <w:r w:rsidR="00344B2A" w:rsidRPr="00770627">
              <w:rPr>
                <w:rFonts w:ascii="Verdana" w:hAnsi="Verdana"/>
              </w:rPr>
              <w:t>Demo</w:t>
            </w:r>
            <w:r w:rsidR="00EF7E69" w:rsidRPr="00770627">
              <w:rPr>
                <w:rFonts w:ascii="Verdana" w:hAnsi="Verdana"/>
              </w:rPr>
              <w:t>/MMP/DSNP</w:t>
            </w:r>
            <w:r w:rsidR="003F12A2">
              <w:rPr>
                <w:rFonts w:ascii="Verdana" w:hAnsi="Verdana"/>
              </w:rPr>
              <w:t xml:space="preserve"> </w:t>
            </w:r>
            <w:r w:rsidRPr="00770627">
              <w:rPr>
                <w:rFonts w:ascii="Verdana" w:hAnsi="Verdana"/>
              </w:rPr>
              <w:t>account</w:t>
            </w:r>
            <w:r w:rsidR="003F12A2">
              <w:rPr>
                <w:rFonts w:ascii="Verdana" w:hAnsi="Verdana"/>
              </w:rPr>
              <w:t xml:space="preserve"> </w:t>
            </w:r>
            <w:r w:rsidRPr="00770627">
              <w:rPr>
                <w:rFonts w:ascii="Verdana" w:hAnsi="Verdana"/>
              </w:rPr>
              <w:t>scenarios:</w:t>
            </w:r>
          </w:p>
          <w:p w14:paraId="7D2426AC" w14:textId="77777777" w:rsidR="008A6F63" w:rsidRPr="00770627" w:rsidRDefault="008A6F63" w:rsidP="008A6F63">
            <w:pPr>
              <w:pStyle w:val="ListParagraph"/>
              <w:ind w:left="0"/>
              <w:rPr>
                <w:rFonts w:ascii="Verdana" w:hAnsi="Verdana"/>
              </w:rPr>
            </w:pPr>
          </w:p>
          <w:p w14:paraId="509BA89B" w14:textId="4B27A52E" w:rsidR="00EF6AAB" w:rsidRPr="00770627" w:rsidRDefault="006F40D3" w:rsidP="00F14ECF">
            <w:pPr>
              <w:pStyle w:val="ListParagraph"/>
              <w:ind w:left="0"/>
              <w:rPr>
                <w:rFonts w:ascii="Verdana" w:hAnsi="Verdana"/>
              </w:rPr>
            </w:pPr>
            <w:r>
              <w:rPr>
                <w:rFonts w:ascii="Verdana" w:hAnsi="Verdana"/>
                <w:b/>
              </w:rPr>
              <w:t>Sc</w:t>
            </w:r>
            <w:r w:rsidR="00F14ECF" w:rsidRPr="00770627">
              <w:rPr>
                <w:rFonts w:ascii="Verdana" w:hAnsi="Verdana"/>
                <w:b/>
              </w:rPr>
              <w:t>enario:</w:t>
            </w:r>
            <w:r w:rsidR="003F12A2">
              <w:rPr>
                <w:rFonts w:ascii="Verdana" w:hAnsi="Verdana"/>
              </w:rPr>
              <w:t xml:space="preserve">  </w:t>
            </w:r>
            <w:r w:rsidR="005D2AB1" w:rsidRPr="00770627">
              <w:rPr>
                <w:rFonts w:ascii="Verdana" w:hAnsi="Verdana"/>
              </w:rPr>
              <w:t>Drug</w:t>
            </w:r>
            <w:r w:rsidR="003F12A2">
              <w:rPr>
                <w:rFonts w:ascii="Verdana" w:hAnsi="Verdana"/>
              </w:rPr>
              <w:t xml:space="preserve"> </w:t>
            </w:r>
            <w:r w:rsidR="005D2AB1" w:rsidRPr="00770627">
              <w:rPr>
                <w:rFonts w:ascii="Verdana" w:hAnsi="Verdana"/>
              </w:rPr>
              <w:t>requires</w:t>
            </w:r>
            <w:r w:rsidR="003F12A2">
              <w:rPr>
                <w:rFonts w:ascii="Verdana" w:hAnsi="Verdana"/>
              </w:rPr>
              <w:t xml:space="preserve"> </w:t>
            </w:r>
            <w:r w:rsidR="005D2AB1" w:rsidRPr="00770627">
              <w:rPr>
                <w:rFonts w:ascii="Verdana" w:hAnsi="Verdana"/>
              </w:rPr>
              <w:t>a</w:t>
            </w:r>
            <w:r w:rsidR="003F12A2">
              <w:rPr>
                <w:rFonts w:ascii="Verdana" w:hAnsi="Verdana"/>
              </w:rPr>
              <w:t xml:space="preserve"> </w:t>
            </w:r>
            <w:r w:rsidR="005D2AB1" w:rsidRPr="00770627">
              <w:rPr>
                <w:rFonts w:ascii="Verdana" w:hAnsi="Verdana"/>
              </w:rPr>
              <w:t>PA</w:t>
            </w:r>
            <w:r w:rsidR="003F12A2">
              <w:rPr>
                <w:rFonts w:ascii="Verdana" w:hAnsi="Verdana"/>
              </w:rPr>
              <w:t xml:space="preserve"> </w:t>
            </w:r>
            <w:r w:rsidR="005D2AB1" w:rsidRPr="00770627">
              <w:rPr>
                <w:rFonts w:ascii="Verdana" w:hAnsi="Verdana"/>
              </w:rPr>
              <w:t>or</w:t>
            </w:r>
            <w:r w:rsidR="003F12A2">
              <w:rPr>
                <w:rFonts w:ascii="Verdana" w:hAnsi="Verdana"/>
              </w:rPr>
              <w:t xml:space="preserve"> </w:t>
            </w:r>
            <w:r w:rsidR="005D2AB1" w:rsidRPr="00770627">
              <w:rPr>
                <w:rFonts w:ascii="Verdana" w:hAnsi="Verdana"/>
              </w:rPr>
              <w:t>has</w:t>
            </w:r>
            <w:r w:rsidR="003F12A2">
              <w:rPr>
                <w:rFonts w:ascii="Verdana" w:hAnsi="Verdana"/>
              </w:rPr>
              <w:t xml:space="preserve"> </w:t>
            </w:r>
            <w:r w:rsidR="00EF6AAB" w:rsidRPr="00770627">
              <w:rPr>
                <w:rFonts w:ascii="Verdana" w:hAnsi="Verdana"/>
              </w:rPr>
              <w:t>Quantity</w:t>
            </w:r>
            <w:r w:rsidR="003F12A2">
              <w:rPr>
                <w:rFonts w:ascii="Verdana" w:hAnsi="Verdana"/>
              </w:rPr>
              <w:t xml:space="preserve"> </w:t>
            </w:r>
            <w:r w:rsidR="00EF6AAB" w:rsidRPr="00770627">
              <w:rPr>
                <w:rFonts w:ascii="Verdana" w:hAnsi="Verdana"/>
              </w:rPr>
              <w:t>Limits</w:t>
            </w:r>
          </w:p>
          <w:p w14:paraId="7EA01853" w14:textId="77777777" w:rsidR="005D2AB1" w:rsidRPr="00770627" w:rsidRDefault="005D2AB1" w:rsidP="00793222">
            <w:pPr>
              <w:pStyle w:val="ListParagraph"/>
              <w:numPr>
                <w:ilvl w:val="0"/>
                <w:numId w:val="31"/>
              </w:numPr>
              <w:rPr>
                <w:rFonts w:ascii="Verdana" w:hAnsi="Verdana"/>
              </w:rPr>
            </w:pPr>
            <w:r w:rsidRPr="00770627">
              <w:rPr>
                <w:rFonts w:ascii="Verdana" w:hAnsi="Verdana"/>
              </w:rPr>
              <w:t>To</w:t>
            </w:r>
            <w:r w:rsidR="003F12A2">
              <w:rPr>
                <w:rFonts w:ascii="Verdana" w:hAnsi="Verdana"/>
              </w:rPr>
              <w:t xml:space="preserve"> </w:t>
            </w:r>
            <w:r w:rsidRPr="00770627">
              <w:rPr>
                <w:rFonts w:ascii="Verdana" w:hAnsi="Verdana"/>
              </w:rPr>
              <w:t>determine</w:t>
            </w:r>
            <w:r w:rsidR="003F12A2">
              <w:rPr>
                <w:rFonts w:ascii="Verdana" w:hAnsi="Verdana"/>
              </w:rPr>
              <w:t xml:space="preserve"> </w:t>
            </w:r>
            <w:r w:rsidRPr="00770627">
              <w:rPr>
                <w:rFonts w:ascii="Verdana" w:hAnsi="Verdana"/>
              </w:rPr>
              <w:t>if</w:t>
            </w:r>
            <w:r w:rsidR="003F12A2">
              <w:rPr>
                <w:rFonts w:ascii="Verdana" w:hAnsi="Verdana"/>
              </w:rPr>
              <w:t xml:space="preserve"> </w:t>
            </w:r>
            <w:r w:rsidRPr="00770627">
              <w:rPr>
                <w:rFonts w:ascii="Verdana" w:hAnsi="Verdana"/>
              </w:rPr>
              <w:t>a</w:t>
            </w:r>
            <w:r w:rsidR="003F12A2">
              <w:rPr>
                <w:rFonts w:ascii="Verdana" w:hAnsi="Verdana"/>
              </w:rPr>
              <w:t xml:space="preserve"> </w:t>
            </w:r>
            <w:r w:rsidRPr="00770627">
              <w:rPr>
                <w:rFonts w:ascii="Verdana" w:hAnsi="Verdana"/>
              </w:rPr>
              <w:t>drug</w:t>
            </w:r>
            <w:r w:rsidR="003F12A2">
              <w:rPr>
                <w:rFonts w:ascii="Verdana" w:hAnsi="Verdana"/>
              </w:rPr>
              <w:t xml:space="preserve"> </w:t>
            </w:r>
            <w:r w:rsidRPr="00770627">
              <w:rPr>
                <w:rFonts w:ascii="Verdana" w:hAnsi="Verdana"/>
              </w:rPr>
              <w:t>requires</w:t>
            </w:r>
            <w:r w:rsidR="003F12A2">
              <w:rPr>
                <w:rFonts w:ascii="Verdana" w:hAnsi="Verdana"/>
              </w:rPr>
              <w:t xml:space="preserve"> </w:t>
            </w:r>
            <w:r w:rsidRPr="00770627">
              <w:rPr>
                <w:rFonts w:ascii="Verdana" w:hAnsi="Verdana"/>
              </w:rPr>
              <w:t>PA</w:t>
            </w:r>
            <w:r w:rsidR="003F12A2">
              <w:rPr>
                <w:rFonts w:ascii="Verdana" w:hAnsi="Verdana"/>
              </w:rPr>
              <w:t xml:space="preserve"> </w:t>
            </w:r>
            <w:r w:rsidRPr="00770627">
              <w:rPr>
                <w:rFonts w:ascii="Verdana" w:hAnsi="Verdana"/>
              </w:rPr>
              <w:t>or</w:t>
            </w:r>
            <w:r w:rsidR="003F12A2">
              <w:rPr>
                <w:rFonts w:ascii="Verdana" w:hAnsi="Verdana"/>
              </w:rPr>
              <w:t xml:space="preserve"> </w:t>
            </w:r>
            <w:r w:rsidRPr="00770627">
              <w:rPr>
                <w:rFonts w:ascii="Verdana" w:hAnsi="Verdana"/>
              </w:rPr>
              <w:t>has</w:t>
            </w:r>
            <w:r w:rsidR="003F12A2">
              <w:rPr>
                <w:rFonts w:ascii="Verdana" w:hAnsi="Verdana"/>
              </w:rPr>
              <w:t xml:space="preserve"> </w:t>
            </w:r>
            <w:r w:rsidRPr="00770627">
              <w:rPr>
                <w:rFonts w:ascii="Verdana" w:hAnsi="Verdana"/>
              </w:rPr>
              <w:t>a</w:t>
            </w:r>
            <w:r w:rsidR="003F12A2">
              <w:rPr>
                <w:rFonts w:ascii="Verdana" w:hAnsi="Verdana"/>
              </w:rPr>
              <w:t xml:space="preserve"> </w:t>
            </w:r>
            <w:r w:rsidRPr="00770627">
              <w:rPr>
                <w:rFonts w:ascii="Verdana" w:hAnsi="Verdana"/>
              </w:rPr>
              <w:t>Quantity</w:t>
            </w:r>
            <w:r w:rsidR="003F12A2">
              <w:rPr>
                <w:rFonts w:ascii="Verdana" w:hAnsi="Verdana"/>
              </w:rPr>
              <w:t xml:space="preserve"> </w:t>
            </w:r>
            <w:r w:rsidRPr="00770627">
              <w:rPr>
                <w:rFonts w:ascii="Verdana" w:hAnsi="Verdana"/>
              </w:rPr>
              <w:t>Limit:</w:t>
            </w:r>
          </w:p>
          <w:p w14:paraId="2444E02F" w14:textId="77777777" w:rsidR="00E67EBF" w:rsidRDefault="005D2AB1" w:rsidP="00793222">
            <w:pPr>
              <w:pStyle w:val="ListParagraph"/>
              <w:numPr>
                <w:ilvl w:val="1"/>
                <w:numId w:val="31"/>
              </w:numPr>
              <w:rPr>
                <w:rFonts w:ascii="Verdana" w:hAnsi="Verdana"/>
              </w:rPr>
            </w:pPr>
            <w:r w:rsidRPr="00770627">
              <w:rPr>
                <w:rFonts w:ascii="Verdana" w:hAnsi="Verdana"/>
              </w:rPr>
              <w:t>Run</w:t>
            </w:r>
            <w:r w:rsidR="003F12A2">
              <w:rPr>
                <w:rFonts w:ascii="Verdana" w:hAnsi="Verdana"/>
              </w:rPr>
              <w:t xml:space="preserve"> </w:t>
            </w:r>
            <w:r w:rsidRPr="00770627">
              <w:rPr>
                <w:rFonts w:ascii="Verdana" w:hAnsi="Verdana"/>
              </w:rPr>
              <w:t>a</w:t>
            </w:r>
            <w:r w:rsidR="003F12A2">
              <w:rPr>
                <w:rFonts w:ascii="Verdana" w:hAnsi="Verdana"/>
              </w:rPr>
              <w:t xml:space="preserve"> </w:t>
            </w:r>
            <w:r w:rsidRPr="00770627">
              <w:rPr>
                <w:rFonts w:ascii="Verdana" w:hAnsi="Verdana"/>
              </w:rPr>
              <w:t>test</w:t>
            </w:r>
            <w:r w:rsidR="003F12A2">
              <w:rPr>
                <w:rFonts w:ascii="Verdana" w:hAnsi="Verdana"/>
              </w:rPr>
              <w:t xml:space="preserve"> </w:t>
            </w:r>
            <w:r w:rsidRPr="00770627">
              <w:rPr>
                <w:rFonts w:ascii="Verdana" w:hAnsi="Verdana"/>
              </w:rPr>
              <w:t>claim</w:t>
            </w:r>
            <w:r w:rsidR="003F12A2">
              <w:rPr>
                <w:rFonts w:ascii="Verdana" w:hAnsi="Verdana"/>
              </w:rPr>
              <w:t xml:space="preserve"> </w:t>
            </w:r>
            <w:r w:rsidRPr="00770627">
              <w:rPr>
                <w:rFonts w:ascii="Verdana" w:hAnsi="Verdana"/>
              </w:rPr>
              <w:t>and</w:t>
            </w:r>
            <w:r w:rsidR="003F12A2">
              <w:rPr>
                <w:rFonts w:ascii="Verdana" w:hAnsi="Verdana"/>
              </w:rPr>
              <w:t xml:space="preserve"> </w:t>
            </w:r>
            <w:r w:rsidRPr="00770627">
              <w:rPr>
                <w:rFonts w:ascii="Verdana" w:hAnsi="Verdana"/>
              </w:rPr>
              <w:t>click</w:t>
            </w:r>
            <w:r w:rsidR="003F12A2">
              <w:rPr>
                <w:rFonts w:ascii="Verdana" w:hAnsi="Verdana"/>
              </w:rPr>
              <w:t xml:space="preserve"> </w:t>
            </w:r>
            <w:r w:rsidRPr="00770627">
              <w:rPr>
                <w:rFonts w:ascii="Verdana" w:hAnsi="Verdana"/>
              </w:rPr>
              <w:t>on</w:t>
            </w:r>
            <w:r w:rsidR="007564CD">
              <w:rPr>
                <w:rFonts w:ascii="Verdana" w:hAnsi="Verdana"/>
              </w:rPr>
              <w:t xml:space="preserve"> the </w:t>
            </w:r>
            <w:r w:rsidR="00030132">
              <w:rPr>
                <w:rFonts w:ascii="Verdana" w:hAnsi="Verdana"/>
              </w:rPr>
              <w:t xml:space="preserve">reject code hyperlink under the Mail Messages or Retail Messages column and review </w:t>
            </w:r>
            <w:r w:rsidR="009A2F2A">
              <w:rPr>
                <w:rFonts w:ascii="Verdana" w:hAnsi="Verdana"/>
              </w:rPr>
              <w:t xml:space="preserve">reject messaging. </w:t>
            </w:r>
            <w:r w:rsidR="003F12A2">
              <w:rPr>
                <w:rFonts w:ascii="Verdana" w:hAnsi="Verdana"/>
              </w:rPr>
              <w:t xml:space="preserve"> </w:t>
            </w:r>
          </w:p>
          <w:p w14:paraId="54BEE455" w14:textId="435B3BC2" w:rsidR="00E67EBF" w:rsidRDefault="00247257" w:rsidP="00793222">
            <w:pPr>
              <w:pStyle w:val="ListParagraph"/>
              <w:numPr>
                <w:ilvl w:val="1"/>
                <w:numId w:val="31"/>
              </w:numPr>
              <w:rPr>
                <w:rFonts w:ascii="Verdana" w:hAnsi="Verdana"/>
              </w:rPr>
            </w:pPr>
            <w:r>
              <w:rPr>
                <w:rFonts w:ascii="Verdana" w:hAnsi="Verdana"/>
              </w:rPr>
              <w:t>From the Reject</w:t>
            </w:r>
            <w:r w:rsidR="0071434E">
              <w:rPr>
                <w:rFonts w:ascii="Verdana" w:hAnsi="Verdana"/>
              </w:rPr>
              <w:t xml:space="preserve"> Messaging pop-up, c</w:t>
            </w:r>
            <w:r w:rsidR="00E67EBF">
              <w:rPr>
                <w:rFonts w:ascii="Verdana" w:hAnsi="Verdana"/>
              </w:rPr>
              <w:t>lick the Continue button to simulate a test claim</w:t>
            </w:r>
          </w:p>
          <w:p w14:paraId="386C5DDF" w14:textId="45F2765F" w:rsidR="009855A1" w:rsidRPr="00937F58" w:rsidRDefault="009855A1" w:rsidP="009855A1">
            <w:pPr>
              <w:pStyle w:val="ListParagraph"/>
              <w:numPr>
                <w:ilvl w:val="0"/>
                <w:numId w:val="13"/>
              </w:numPr>
              <w:rPr>
                <w:rFonts w:ascii="Verdana" w:hAnsi="Verdana"/>
              </w:rPr>
            </w:pPr>
            <w:r w:rsidRPr="00770627">
              <w:rPr>
                <w:rFonts w:ascii="Verdana" w:hAnsi="Verdana"/>
              </w:rPr>
              <w:t>If</w:t>
            </w:r>
            <w:r w:rsidR="003F12A2">
              <w:rPr>
                <w:rFonts w:ascii="Verdana" w:hAnsi="Verdana"/>
              </w:rPr>
              <w:t xml:space="preserve"> </w:t>
            </w:r>
            <w:r w:rsidRPr="00770627">
              <w:rPr>
                <w:rFonts w:ascii="Verdana" w:hAnsi="Verdana"/>
              </w:rPr>
              <w:t>the</w:t>
            </w:r>
            <w:r w:rsidR="003F12A2">
              <w:rPr>
                <w:rFonts w:ascii="Verdana" w:hAnsi="Verdana"/>
              </w:rPr>
              <w:t xml:space="preserve"> </w:t>
            </w:r>
            <w:r w:rsidRPr="00770627">
              <w:rPr>
                <w:rFonts w:ascii="Verdana" w:hAnsi="Verdana"/>
              </w:rPr>
              <w:t>drug</w:t>
            </w:r>
            <w:r w:rsidR="003F12A2">
              <w:rPr>
                <w:rFonts w:ascii="Verdana" w:hAnsi="Verdana"/>
              </w:rPr>
              <w:t xml:space="preserve"> </w:t>
            </w:r>
            <w:r w:rsidR="005D2AB1" w:rsidRPr="00770627">
              <w:rPr>
                <w:rFonts w:ascii="Verdana" w:hAnsi="Verdana"/>
              </w:rPr>
              <w:t>has</w:t>
            </w:r>
            <w:r w:rsidR="003F12A2">
              <w:rPr>
                <w:rFonts w:ascii="Verdana" w:hAnsi="Verdana"/>
              </w:rPr>
              <w:t xml:space="preserve"> </w:t>
            </w:r>
            <w:r w:rsidR="005D2AB1" w:rsidRPr="00770627">
              <w:rPr>
                <w:rFonts w:ascii="Verdana" w:hAnsi="Verdana"/>
              </w:rPr>
              <w:t>a</w:t>
            </w:r>
            <w:r w:rsidR="003F12A2">
              <w:rPr>
                <w:rFonts w:ascii="Verdana" w:hAnsi="Verdana"/>
              </w:rPr>
              <w:t xml:space="preserve"> </w:t>
            </w:r>
            <w:r w:rsidR="005D2AB1" w:rsidRPr="00770627">
              <w:rPr>
                <w:rFonts w:ascii="Verdana" w:hAnsi="Verdana"/>
              </w:rPr>
              <w:t>PA</w:t>
            </w:r>
            <w:r w:rsidR="003F12A2">
              <w:rPr>
                <w:rFonts w:ascii="Verdana" w:hAnsi="Verdana"/>
              </w:rPr>
              <w:t xml:space="preserve"> </w:t>
            </w:r>
            <w:r w:rsidR="005D2AB1" w:rsidRPr="00770627">
              <w:rPr>
                <w:rFonts w:ascii="Verdana" w:hAnsi="Verdana"/>
              </w:rPr>
              <w:t>or</w:t>
            </w:r>
            <w:r w:rsidR="003F12A2">
              <w:rPr>
                <w:rFonts w:ascii="Verdana" w:hAnsi="Verdana"/>
              </w:rPr>
              <w:t xml:space="preserve"> </w:t>
            </w:r>
            <w:r w:rsidR="005D2AB1" w:rsidRPr="00770627">
              <w:rPr>
                <w:rFonts w:ascii="Verdana" w:hAnsi="Verdana"/>
              </w:rPr>
              <w:t>quantity</w:t>
            </w:r>
            <w:r w:rsidR="003F12A2">
              <w:rPr>
                <w:rFonts w:ascii="Verdana" w:hAnsi="Verdana"/>
              </w:rPr>
              <w:t xml:space="preserve"> </w:t>
            </w:r>
            <w:r w:rsidR="005D2AB1" w:rsidRPr="00770627">
              <w:rPr>
                <w:rFonts w:ascii="Verdana" w:hAnsi="Verdana"/>
              </w:rPr>
              <w:t>limit</w:t>
            </w:r>
            <w:r w:rsidR="003F12A2">
              <w:rPr>
                <w:rFonts w:ascii="Verdana" w:hAnsi="Verdana"/>
              </w:rPr>
              <w:t xml:space="preserve"> </w:t>
            </w:r>
            <w:r w:rsidR="005D2AB1" w:rsidRPr="00770627">
              <w:rPr>
                <w:rFonts w:ascii="Verdana" w:hAnsi="Verdana"/>
              </w:rPr>
              <w:t>that</w:t>
            </w:r>
            <w:r w:rsidR="003F12A2">
              <w:rPr>
                <w:rFonts w:ascii="Verdana" w:hAnsi="Verdana"/>
              </w:rPr>
              <w:t xml:space="preserve"> </w:t>
            </w:r>
            <w:r w:rsidR="005D2AB1" w:rsidRPr="00770627">
              <w:rPr>
                <w:rFonts w:ascii="Verdana" w:hAnsi="Verdana"/>
              </w:rPr>
              <w:t>is</w:t>
            </w:r>
            <w:r w:rsidR="003F12A2">
              <w:rPr>
                <w:rFonts w:ascii="Verdana" w:hAnsi="Verdana"/>
              </w:rPr>
              <w:t xml:space="preserve"> </w:t>
            </w:r>
            <w:r w:rsidR="005D2AB1" w:rsidRPr="00770627">
              <w:rPr>
                <w:rFonts w:ascii="Verdana" w:hAnsi="Verdana"/>
              </w:rPr>
              <w:t>Not</w:t>
            </w:r>
            <w:r w:rsidR="003F12A2">
              <w:rPr>
                <w:rFonts w:ascii="Verdana" w:hAnsi="Verdana"/>
              </w:rPr>
              <w:t xml:space="preserve"> </w:t>
            </w:r>
            <w:r w:rsidR="005D2AB1" w:rsidRPr="00770627">
              <w:rPr>
                <w:rFonts w:ascii="Verdana" w:hAnsi="Verdana"/>
              </w:rPr>
              <w:t>covered</w:t>
            </w:r>
            <w:r w:rsidR="003F12A2">
              <w:rPr>
                <w:rFonts w:ascii="Verdana" w:hAnsi="Verdana"/>
              </w:rPr>
              <w:t xml:space="preserve"> </w:t>
            </w:r>
            <w:r w:rsidR="005D2AB1" w:rsidRPr="00770627">
              <w:rPr>
                <w:rFonts w:ascii="Verdana" w:hAnsi="Verdana"/>
              </w:rPr>
              <w:t>on</w:t>
            </w:r>
            <w:r w:rsidR="003F12A2">
              <w:rPr>
                <w:rFonts w:ascii="Verdana" w:hAnsi="Verdana"/>
              </w:rPr>
              <w:t xml:space="preserve"> </w:t>
            </w:r>
            <w:r w:rsidR="005D2AB1" w:rsidRPr="00770627">
              <w:rPr>
                <w:rFonts w:ascii="Verdana" w:hAnsi="Verdana"/>
              </w:rPr>
              <w:t>the</w:t>
            </w:r>
            <w:r w:rsidR="003F12A2">
              <w:rPr>
                <w:rFonts w:ascii="Verdana" w:hAnsi="Verdana" w:cs="Arial"/>
              </w:rPr>
              <w:t xml:space="preserve"> </w:t>
            </w:r>
            <w:r w:rsidR="00B63EC8" w:rsidRPr="00770627">
              <w:rPr>
                <w:rFonts w:ascii="Verdana" w:hAnsi="Verdana" w:cs="Arial"/>
              </w:rPr>
              <w:t>Secondary</w:t>
            </w:r>
            <w:r w:rsidR="003F12A2">
              <w:rPr>
                <w:rFonts w:ascii="Verdana" w:hAnsi="Verdana" w:cs="Arial"/>
              </w:rPr>
              <w:t xml:space="preserve"> </w:t>
            </w:r>
            <w:r w:rsidR="00B63EC8" w:rsidRPr="00770627">
              <w:rPr>
                <w:rFonts w:ascii="Verdana" w:hAnsi="Verdana" w:cs="Arial"/>
              </w:rPr>
              <w:t>benefit</w:t>
            </w:r>
            <w:r w:rsidRPr="00770627">
              <w:rPr>
                <w:rFonts w:ascii="Verdana" w:hAnsi="Verdana"/>
              </w:rPr>
              <w:t>,</w:t>
            </w:r>
            <w:r w:rsidR="003F12A2">
              <w:rPr>
                <w:rFonts w:ascii="Verdana" w:hAnsi="Verdana"/>
              </w:rPr>
              <w:t xml:space="preserve"> </w:t>
            </w:r>
            <w:r w:rsidR="005D2AB1" w:rsidRPr="00770627">
              <w:rPr>
                <w:rFonts w:ascii="Verdana" w:hAnsi="Verdana"/>
              </w:rPr>
              <w:t>then</w:t>
            </w:r>
            <w:r w:rsidR="003F12A2">
              <w:rPr>
                <w:rFonts w:ascii="Verdana" w:hAnsi="Verdana"/>
              </w:rPr>
              <w:t xml:space="preserve"> </w:t>
            </w:r>
            <w:r w:rsidRPr="00770627">
              <w:rPr>
                <w:rFonts w:ascii="Verdana" w:hAnsi="Verdana"/>
              </w:rPr>
              <w:t>a</w:t>
            </w:r>
            <w:r w:rsidR="003F12A2">
              <w:rPr>
                <w:rFonts w:ascii="Verdana" w:hAnsi="Verdana"/>
              </w:rPr>
              <w:t xml:space="preserve"> </w:t>
            </w:r>
            <w:r w:rsidRPr="00770627">
              <w:rPr>
                <w:rFonts w:ascii="Verdana" w:hAnsi="Verdana"/>
              </w:rPr>
              <w:t>Coverage</w:t>
            </w:r>
            <w:r w:rsidR="003F12A2">
              <w:rPr>
                <w:rFonts w:ascii="Verdana" w:hAnsi="Verdana"/>
              </w:rPr>
              <w:t xml:space="preserve"> </w:t>
            </w:r>
            <w:r w:rsidRPr="00770627">
              <w:rPr>
                <w:rFonts w:ascii="Verdana" w:hAnsi="Verdana"/>
              </w:rPr>
              <w:t>Determination</w:t>
            </w:r>
            <w:r w:rsidR="003F12A2">
              <w:rPr>
                <w:rFonts w:ascii="Verdana" w:hAnsi="Verdana"/>
              </w:rPr>
              <w:t xml:space="preserve"> </w:t>
            </w:r>
            <w:r w:rsidRPr="00770627">
              <w:rPr>
                <w:rFonts w:ascii="Verdana" w:hAnsi="Verdana"/>
              </w:rPr>
              <w:t>can</w:t>
            </w:r>
            <w:r w:rsidR="003F12A2">
              <w:rPr>
                <w:rFonts w:ascii="Verdana" w:hAnsi="Verdana"/>
              </w:rPr>
              <w:t xml:space="preserve"> </w:t>
            </w:r>
            <w:r w:rsidRPr="00770627">
              <w:rPr>
                <w:rFonts w:ascii="Verdana" w:hAnsi="Verdana"/>
              </w:rPr>
              <w:t>be</w:t>
            </w:r>
            <w:r w:rsidR="003F12A2">
              <w:rPr>
                <w:rFonts w:ascii="Verdana" w:hAnsi="Verdana"/>
              </w:rPr>
              <w:t xml:space="preserve"> </w:t>
            </w:r>
            <w:r w:rsidRPr="00770627">
              <w:rPr>
                <w:rFonts w:ascii="Verdana" w:hAnsi="Verdana"/>
              </w:rPr>
              <w:t>filed.</w:t>
            </w:r>
            <w:r w:rsidR="003F12A2">
              <w:rPr>
                <w:rFonts w:ascii="Verdana" w:hAnsi="Verdana"/>
              </w:rPr>
              <w:t xml:space="preserve"> </w:t>
            </w:r>
            <w:r w:rsidR="009505B0" w:rsidRPr="00770627">
              <w:rPr>
                <w:rFonts w:ascii="Verdana" w:hAnsi="Verdana"/>
              </w:rPr>
              <w:t>Refer</w:t>
            </w:r>
            <w:r w:rsidR="003F12A2">
              <w:rPr>
                <w:rFonts w:ascii="Verdana" w:hAnsi="Verdana"/>
              </w:rPr>
              <w:t xml:space="preserve"> </w:t>
            </w:r>
            <w:r w:rsidR="009505B0" w:rsidRPr="00770627">
              <w:rPr>
                <w:rFonts w:ascii="Verdana" w:hAnsi="Verdana"/>
              </w:rPr>
              <w:t>to</w:t>
            </w:r>
            <w:r w:rsidR="003F12A2">
              <w:rPr>
                <w:rFonts w:ascii="Verdana" w:hAnsi="Verdana"/>
                <w:color w:val="FF0000"/>
              </w:rPr>
              <w:t xml:space="preserve"> </w:t>
            </w:r>
            <w:hyperlink r:id="rId17" w:anchor="!/view?docid=044a0a49-8050-4303-98a7-edf9cfda6065" w:history="1">
              <w:r w:rsidR="0010018E" w:rsidRPr="007A0278">
                <w:rPr>
                  <w:rStyle w:val="Hyperlink"/>
                  <w:rFonts w:ascii="Verdana" w:hAnsi="Verdana"/>
                </w:rPr>
                <w:t xml:space="preserve">Compass </w:t>
              </w:r>
              <w:r w:rsidR="0063064D" w:rsidRPr="007A0278">
                <w:rPr>
                  <w:rStyle w:val="Hyperlink"/>
                  <w:rFonts w:ascii="Verdana" w:hAnsi="Verdana"/>
                </w:rPr>
                <w:t xml:space="preserve">MED D </w:t>
              </w:r>
              <w:r w:rsidR="007A0278">
                <w:rPr>
                  <w:rStyle w:val="Hyperlink"/>
                  <w:rFonts w:ascii="Verdana" w:hAnsi="Verdana"/>
                </w:rPr>
                <w:t>-</w:t>
              </w:r>
              <w:r w:rsidR="0063064D" w:rsidRPr="007A0278">
                <w:rPr>
                  <w:rStyle w:val="Hyperlink"/>
                  <w:rFonts w:ascii="Verdana" w:hAnsi="Verdana"/>
                </w:rPr>
                <w:t xml:space="preserve"> </w:t>
              </w:r>
              <w:r w:rsidR="007A0278">
                <w:rPr>
                  <w:rStyle w:val="Hyperlink"/>
                  <w:rFonts w:ascii="Verdana" w:hAnsi="Verdana"/>
                </w:rPr>
                <w:t xml:space="preserve">CCR - </w:t>
              </w:r>
              <w:r w:rsidR="0063064D" w:rsidRPr="007A0278">
                <w:rPr>
                  <w:rStyle w:val="Hyperlink"/>
                  <w:rFonts w:ascii="Verdana" w:hAnsi="Verdana"/>
                </w:rPr>
                <w:t>Coverage Determinations and Redeterminations (Appeals)</w:t>
              </w:r>
            </w:hyperlink>
            <w:r w:rsidR="003F12A2" w:rsidRPr="00937F58">
              <w:rPr>
                <w:rFonts w:ascii="Verdana" w:hAnsi="Verdana"/>
              </w:rPr>
              <w:t xml:space="preserve"> </w:t>
            </w:r>
          </w:p>
          <w:p w14:paraId="305A15CB" w14:textId="77777777" w:rsidR="00814987" w:rsidRPr="00770627" w:rsidRDefault="00814987" w:rsidP="00770627">
            <w:pPr>
              <w:pStyle w:val="ListParagraph"/>
              <w:numPr>
                <w:ilvl w:val="1"/>
                <w:numId w:val="13"/>
              </w:numPr>
              <w:rPr>
                <w:rFonts w:ascii="Verdana" w:hAnsi="Verdana"/>
              </w:rPr>
            </w:pPr>
            <w:r w:rsidRPr="00770627">
              <w:rPr>
                <w:rFonts w:ascii="Verdana" w:hAnsi="Verdana"/>
              </w:rPr>
              <w:t>Review</w:t>
            </w:r>
            <w:r w:rsidR="003F12A2">
              <w:rPr>
                <w:rFonts w:ascii="Verdana" w:hAnsi="Verdana"/>
              </w:rPr>
              <w:t xml:space="preserve"> </w:t>
            </w:r>
            <w:r w:rsidRPr="00770627">
              <w:rPr>
                <w:rFonts w:ascii="Verdana" w:hAnsi="Verdana"/>
              </w:rPr>
              <w:t>the</w:t>
            </w:r>
            <w:r w:rsidR="003F12A2">
              <w:rPr>
                <w:rFonts w:ascii="Verdana" w:hAnsi="Verdana"/>
              </w:rPr>
              <w:t xml:space="preserve"> </w:t>
            </w:r>
            <w:r w:rsidRPr="00770627">
              <w:rPr>
                <w:rFonts w:ascii="Verdana" w:hAnsi="Verdana"/>
              </w:rPr>
              <w:t>CIF</w:t>
            </w:r>
            <w:r w:rsidR="003F12A2">
              <w:rPr>
                <w:rFonts w:ascii="Verdana" w:hAnsi="Verdana"/>
              </w:rPr>
              <w:t xml:space="preserve"> </w:t>
            </w:r>
            <w:r w:rsidRPr="00770627">
              <w:rPr>
                <w:rFonts w:ascii="Verdana" w:hAnsi="Verdana"/>
              </w:rPr>
              <w:t>to</w:t>
            </w:r>
            <w:r w:rsidR="003F12A2">
              <w:rPr>
                <w:rFonts w:ascii="Verdana" w:hAnsi="Verdana"/>
              </w:rPr>
              <w:t xml:space="preserve"> </w:t>
            </w:r>
            <w:r w:rsidRPr="00770627">
              <w:rPr>
                <w:rFonts w:ascii="Verdana" w:hAnsi="Verdana"/>
              </w:rPr>
              <w:t>determine</w:t>
            </w:r>
            <w:r w:rsidR="003F12A2">
              <w:rPr>
                <w:rFonts w:ascii="Verdana" w:hAnsi="Verdana"/>
              </w:rPr>
              <w:t xml:space="preserve"> </w:t>
            </w:r>
            <w:r w:rsidRPr="00770627">
              <w:rPr>
                <w:rFonts w:ascii="Verdana" w:hAnsi="Verdana"/>
              </w:rPr>
              <w:t>who</w:t>
            </w:r>
            <w:r w:rsidR="003F12A2">
              <w:rPr>
                <w:rFonts w:ascii="Verdana" w:hAnsi="Verdana"/>
              </w:rPr>
              <w:t xml:space="preserve"> </w:t>
            </w:r>
            <w:r w:rsidRPr="00770627">
              <w:rPr>
                <w:rFonts w:ascii="Verdana" w:hAnsi="Verdana"/>
              </w:rPr>
              <w:t>handles</w:t>
            </w:r>
            <w:r w:rsidR="003F12A2">
              <w:rPr>
                <w:rFonts w:ascii="Verdana" w:hAnsi="Verdana"/>
              </w:rPr>
              <w:t xml:space="preserve"> </w:t>
            </w:r>
            <w:r w:rsidRPr="00770627">
              <w:rPr>
                <w:rFonts w:ascii="Verdana" w:hAnsi="Verdana"/>
              </w:rPr>
              <w:t>the</w:t>
            </w:r>
            <w:r w:rsidR="003F12A2">
              <w:rPr>
                <w:rFonts w:ascii="Verdana" w:hAnsi="Verdana"/>
              </w:rPr>
              <w:t xml:space="preserve"> </w:t>
            </w:r>
            <w:r w:rsidRPr="00770627">
              <w:rPr>
                <w:rFonts w:ascii="Verdana" w:hAnsi="Verdana"/>
              </w:rPr>
              <w:t>CD&amp;A</w:t>
            </w:r>
            <w:r w:rsidR="003F12A2">
              <w:rPr>
                <w:rFonts w:ascii="Verdana" w:hAnsi="Verdana"/>
              </w:rPr>
              <w:t xml:space="preserve"> </w:t>
            </w:r>
            <w:r w:rsidRPr="00770627">
              <w:rPr>
                <w:rFonts w:ascii="Verdana" w:hAnsi="Verdana"/>
              </w:rPr>
              <w:t>process.</w:t>
            </w:r>
            <w:r w:rsidR="003F12A2">
              <w:rPr>
                <w:rFonts w:ascii="Verdana" w:hAnsi="Verdana"/>
              </w:rPr>
              <w:t xml:space="preserve"> </w:t>
            </w:r>
          </w:p>
          <w:p w14:paraId="0B02E82A" w14:textId="77777777" w:rsidR="00587DC6" w:rsidRPr="00770627" w:rsidRDefault="00587DC6" w:rsidP="00587DC6">
            <w:pPr>
              <w:pStyle w:val="ListParagraph"/>
              <w:ind w:left="0"/>
              <w:rPr>
                <w:rFonts w:ascii="Verdana" w:hAnsi="Verdana"/>
              </w:rPr>
            </w:pPr>
          </w:p>
          <w:p w14:paraId="09913774" w14:textId="01B3F015" w:rsidR="00D406E9" w:rsidRPr="00770627" w:rsidRDefault="00587DC6" w:rsidP="00587DC6">
            <w:pPr>
              <w:pStyle w:val="ListParagraph"/>
              <w:ind w:left="0"/>
              <w:rPr>
                <w:rFonts w:ascii="Verdana" w:hAnsi="Verdana"/>
              </w:rPr>
            </w:pPr>
            <w:r w:rsidRPr="00770627">
              <w:rPr>
                <w:rFonts w:ascii="Verdana" w:hAnsi="Verdana"/>
                <w:b/>
              </w:rPr>
              <w:t>Note:</w:t>
            </w:r>
            <w:r w:rsidR="003F12A2">
              <w:rPr>
                <w:rFonts w:ascii="Verdana" w:hAnsi="Verdana"/>
              </w:rPr>
              <w:t xml:space="preserve">  </w:t>
            </w:r>
            <w:r w:rsidR="00F14ECF" w:rsidRPr="00770627">
              <w:rPr>
                <w:rFonts w:ascii="Verdana" w:hAnsi="Verdana"/>
              </w:rPr>
              <w:t>A</w:t>
            </w:r>
            <w:r w:rsidR="003F12A2">
              <w:rPr>
                <w:rFonts w:ascii="Verdana" w:hAnsi="Verdana"/>
              </w:rPr>
              <w:t xml:space="preserve"> </w:t>
            </w:r>
            <w:r w:rsidR="00F14ECF" w:rsidRPr="00770627">
              <w:rPr>
                <w:rFonts w:ascii="Verdana" w:hAnsi="Verdana"/>
              </w:rPr>
              <w:t>transition</w:t>
            </w:r>
            <w:r w:rsidR="003F12A2">
              <w:rPr>
                <w:rFonts w:ascii="Verdana" w:hAnsi="Verdana"/>
              </w:rPr>
              <w:t xml:space="preserve"> </w:t>
            </w:r>
            <w:r w:rsidR="00F14ECF" w:rsidRPr="00770627">
              <w:rPr>
                <w:rFonts w:ascii="Verdana" w:hAnsi="Verdana"/>
              </w:rPr>
              <w:t>fill</w:t>
            </w:r>
            <w:r w:rsidR="003F12A2">
              <w:rPr>
                <w:rFonts w:ascii="Verdana" w:hAnsi="Verdana"/>
              </w:rPr>
              <w:t xml:space="preserve"> </w:t>
            </w:r>
            <w:r w:rsidR="00F14ECF" w:rsidRPr="00770627">
              <w:rPr>
                <w:rFonts w:ascii="Verdana" w:hAnsi="Verdana"/>
              </w:rPr>
              <w:t>is</w:t>
            </w:r>
            <w:r w:rsidR="003F12A2">
              <w:rPr>
                <w:rFonts w:ascii="Verdana" w:hAnsi="Verdana"/>
              </w:rPr>
              <w:t xml:space="preserve"> </w:t>
            </w:r>
            <w:r w:rsidR="00F14ECF" w:rsidRPr="00770627">
              <w:rPr>
                <w:rFonts w:ascii="Verdana" w:hAnsi="Verdana"/>
              </w:rPr>
              <w:t>not</w:t>
            </w:r>
            <w:r w:rsidR="003F12A2">
              <w:rPr>
                <w:rFonts w:ascii="Verdana" w:hAnsi="Verdana"/>
              </w:rPr>
              <w:t xml:space="preserve"> </w:t>
            </w:r>
            <w:r w:rsidR="00F14ECF" w:rsidRPr="00770627">
              <w:rPr>
                <w:rFonts w:ascii="Verdana" w:hAnsi="Verdana"/>
              </w:rPr>
              <w:t>available</w:t>
            </w:r>
            <w:r w:rsidR="003F12A2">
              <w:rPr>
                <w:rFonts w:ascii="Verdana" w:hAnsi="Verdana"/>
              </w:rPr>
              <w:t xml:space="preserve"> </w:t>
            </w:r>
            <w:r w:rsidR="00F14ECF" w:rsidRPr="00770627">
              <w:rPr>
                <w:rFonts w:ascii="Verdana" w:hAnsi="Verdana"/>
              </w:rPr>
              <w:t>for</w:t>
            </w:r>
            <w:r w:rsidR="003F12A2">
              <w:rPr>
                <w:rFonts w:ascii="Verdana" w:hAnsi="Verdana"/>
              </w:rPr>
              <w:t xml:space="preserve"> </w:t>
            </w:r>
            <w:r w:rsidR="00F14ECF" w:rsidRPr="00770627">
              <w:rPr>
                <w:rFonts w:ascii="Verdana" w:hAnsi="Verdana"/>
              </w:rPr>
              <w:t>a</w:t>
            </w:r>
            <w:r w:rsidR="003F12A2">
              <w:rPr>
                <w:rFonts w:ascii="Verdana" w:hAnsi="Verdana"/>
              </w:rPr>
              <w:t xml:space="preserve"> </w:t>
            </w:r>
            <w:r w:rsidR="00F14ECF" w:rsidRPr="00770627">
              <w:rPr>
                <w:rFonts w:ascii="Verdana" w:hAnsi="Verdana"/>
              </w:rPr>
              <w:t>drug</w:t>
            </w:r>
            <w:r w:rsidR="003F12A2">
              <w:rPr>
                <w:rFonts w:ascii="Verdana" w:hAnsi="Verdana"/>
              </w:rPr>
              <w:t xml:space="preserve"> </w:t>
            </w:r>
            <w:r w:rsidR="00F14ECF" w:rsidRPr="00770627">
              <w:rPr>
                <w:rFonts w:ascii="Verdana" w:hAnsi="Verdana"/>
              </w:rPr>
              <w:t>that</w:t>
            </w:r>
            <w:r w:rsidR="003F12A2">
              <w:rPr>
                <w:rFonts w:ascii="Verdana" w:hAnsi="Verdana"/>
              </w:rPr>
              <w:t xml:space="preserve"> </w:t>
            </w:r>
            <w:r w:rsidR="00F14ECF" w:rsidRPr="00770627">
              <w:rPr>
                <w:rFonts w:ascii="Verdana" w:hAnsi="Verdana"/>
              </w:rPr>
              <w:t>is</w:t>
            </w:r>
            <w:r w:rsidR="003F12A2">
              <w:rPr>
                <w:rFonts w:ascii="Verdana" w:hAnsi="Verdana"/>
              </w:rPr>
              <w:t xml:space="preserve"> </w:t>
            </w:r>
            <w:r w:rsidR="00F14ECF" w:rsidRPr="00770627">
              <w:rPr>
                <w:rFonts w:ascii="Verdana" w:hAnsi="Verdana"/>
              </w:rPr>
              <w:t>rejected</w:t>
            </w:r>
            <w:r w:rsidR="003F12A2">
              <w:rPr>
                <w:rFonts w:ascii="Verdana" w:hAnsi="Verdana"/>
              </w:rPr>
              <w:t xml:space="preserve"> </w:t>
            </w:r>
            <w:r w:rsidR="00F14ECF" w:rsidRPr="00770627">
              <w:rPr>
                <w:rFonts w:ascii="Verdana" w:hAnsi="Verdana"/>
              </w:rPr>
              <w:t>for</w:t>
            </w:r>
            <w:r w:rsidR="003F12A2">
              <w:rPr>
                <w:rFonts w:ascii="Verdana" w:hAnsi="Verdana"/>
              </w:rPr>
              <w:t xml:space="preserve"> </w:t>
            </w:r>
            <w:r w:rsidR="00F14ECF" w:rsidRPr="00770627">
              <w:rPr>
                <w:rFonts w:ascii="Verdana" w:hAnsi="Verdana"/>
              </w:rPr>
              <w:t>B</w:t>
            </w:r>
            <w:r w:rsidR="003F12A2">
              <w:rPr>
                <w:rFonts w:ascii="Verdana" w:hAnsi="Verdana"/>
              </w:rPr>
              <w:t xml:space="preserve"> </w:t>
            </w:r>
            <w:r w:rsidR="00F14ECF" w:rsidRPr="00770627">
              <w:rPr>
                <w:rFonts w:ascii="Verdana" w:hAnsi="Verdana"/>
              </w:rPr>
              <w:t>vs.</w:t>
            </w:r>
            <w:r w:rsidR="003F12A2">
              <w:rPr>
                <w:rFonts w:ascii="Verdana" w:hAnsi="Verdana"/>
              </w:rPr>
              <w:t xml:space="preserve"> </w:t>
            </w:r>
            <w:r w:rsidR="00F14ECF" w:rsidRPr="00770627">
              <w:rPr>
                <w:rFonts w:ascii="Verdana" w:hAnsi="Verdana"/>
              </w:rPr>
              <w:t>D</w:t>
            </w:r>
            <w:r w:rsidR="003F12A2">
              <w:rPr>
                <w:rFonts w:ascii="Verdana" w:hAnsi="Verdana"/>
              </w:rPr>
              <w:t xml:space="preserve"> </w:t>
            </w:r>
            <w:r w:rsidR="00F14ECF" w:rsidRPr="00770627">
              <w:rPr>
                <w:rFonts w:ascii="Verdana" w:hAnsi="Verdana"/>
              </w:rPr>
              <w:t>determination.</w:t>
            </w:r>
            <w:r w:rsidR="003F12A2">
              <w:rPr>
                <w:rFonts w:ascii="Verdana" w:hAnsi="Verdana"/>
              </w:rPr>
              <w:t xml:space="preserve"> </w:t>
            </w:r>
            <w:r w:rsidR="00F14ECF" w:rsidRPr="00770627">
              <w:rPr>
                <w:rFonts w:ascii="Verdana" w:hAnsi="Verdana"/>
              </w:rPr>
              <w:t>The</w:t>
            </w:r>
            <w:r w:rsidR="003F12A2">
              <w:rPr>
                <w:rFonts w:ascii="Verdana" w:hAnsi="Verdana"/>
              </w:rPr>
              <w:t xml:space="preserve"> </w:t>
            </w:r>
            <w:r w:rsidR="00F14ECF" w:rsidRPr="00770627">
              <w:rPr>
                <w:rFonts w:ascii="Verdana" w:hAnsi="Verdana"/>
              </w:rPr>
              <w:t>coverage</w:t>
            </w:r>
            <w:r w:rsidR="003F12A2">
              <w:rPr>
                <w:rFonts w:ascii="Verdana" w:hAnsi="Verdana"/>
              </w:rPr>
              <w:t xml:space="preserve"> </w:t>
            </w:r>
            <w:r w:rsidR="00F14ECF" w:rsidRPr="00770627">
              <w:rPr>
                <w:rFonts w:ascii="Verdana" w:hAnsi="Verdana"/>
              </w:rPr>
              <w:t>determination</w:t>
            </w:r>
            <w:r w:rsidR="003F12A2">
              <w:rPr>
                <w:rFonts w:ascii="Verdana" w:hAnsi="Verdana"/>
              </w:rPr>
              <w:t xml:space="preserve"> </w:t>
            </w:r>
            <w:r w:rsidR="00F14ECF" w:rsidRPr="00770627">
              <w:rPr>
                <w:rFonts w:ascii="Verdana" w:hAnsi="Verdana"/>
              </w:rPr>
              <w:t>must</w:t>
            </w:r>
            <w:r w:rsidR="003F12A2">
              <w:rPr>
                <w:rFonts w:ascii="Verdana" w:hAnsi="Verdana"/>
              </w:rPr>
              <w:t xml:space="preserve"> </w:t>
            </w:r>
            <w:r w:rsidR="00F14ECF" w:rsidRPr="00770627">
              <w:rPr>
                <w:rFonts w:ascii="Verdana" w:hAnsi="Verdana"/>
              </w:rPr>
              <w:t>be</w:t>
            </w:r>
            <w:r w:rsidR="003F12A2">
              <w:rPr>
                <w:rFonts w:ascii="Verdana" w:hAnsi="Verdana"/>
              </w:rPr>
              <w:t xml:space="preserve"> </w:t>
            </w:r>
            <w:r w:rsidR="00F14ECF" w:rsidRPr="00770627">
              <w:rPr>
                <w:rFonts w:ascii="Verdana" w:hAnsi="Verdana"/>
              </w:rPr>
              <w:t>done</w:t>
            </w:r>
            <w:r w:rsidR="003F12A2">
              <w:rPr>
                <w:rFonts w:ascii="Verdana" w:hAnsi="Verdana"/>
              </w:rPr>
              <w:t xml:space="preserve"> </w:t>
            </w:r>
            <w:r w:rsidR="00F14ECF" w:rsidRPr="00770627">
              <w:rPr>
                <w:rFonts w:ascii="Verdana" w:hAnsi="Verdana"/>
              </w:rPr>
              <w:t>in</w:t>
            </w:r>
            <w:r w:rsidR="003F12A2">
              <w:rPr>
                <w:rFonts w:ascii="Verdana" w:hAnsi="Verdana"/>
              </w:rPr>
              <w:t xml:space="preserve"> </w:t>
            </w:r>
            <w:r w:rsidR="00F14ECF" w:rsidRPr="00770627">
              <w:rPr>
                <w:rFonts w:ascii="Verdana" w:hAnsi="Verdana"/>
              </w:rPr>
              <w:t>order</w:t>
            </w:r>
            <w:r w:rsidR="003F12A2">
              <w:rPr>
                <w:rFonts w:ascii="Verdana" w:hAnsi="Verdana"/>
              </w:rPr>
              <w:t xml:space="preserve"> </w:t>
            </w:r>
            <w:r w:rsidR="00F14ECF" w:rsidRPr="00770627">
              <w:rPr>
                <w:rFonts w:ascii="Verdana" w:hAnsi="Verdana"/>
              </w:rPr>
              <w:t>to</w:t>
            </w:r>
            <w:r w:rsidR="003F12A2">
              <w:rPr>
                <w:rFonts w:ascii="Verdana" w:hAnsi="Verdana"/>
              </w:rPr>
              <w:t xml:space="preserve"> </w:t>
            </w:r>
            <w:r w:rsidR="00F14ECF" w:rsidRPr="00770627">
              <w:rPr>
                <w:rFonts w:ascii="Verdana" w:hAnsi="Verdana"/>
              </w:rPr>
              <w:t>determine</w:t>
            </w:r>
            <w:r w:rsidR="003F12A2">
              <w:rPr>
                <w:rFonts w:ascii="Verdana" w:hAnsi="Verdana"/>
              </w:rPr>
              <w:t xml:space="preserve"> </w:t>
            </w:r>
            <w:r w:rsidR="00F14ECF" w:rsidRPr="00770627">
              <w:rPr>
                <w:rFonts w:ascii="Verdana" w:hAnsi="Verdana"/>
              </w:rPr>
              <w:t>how</w:t>
            </w:r>
            <w:r w:rsidR="003F12A2">
              <w:rPr>
                <w:rFonts w:ascii="Verdana" w:hAnsi="Verdana"/>
              </w:rPr>
              <w:t xml:space="preserve"> </w:t>
            </w:r>
            <w:r w:rsidR="00F14ECF" w:rsidRPr="00770627">
              <w:rPr>
                <w:rFonts w:ascii="Verdana" w:hAnsi="Verdana"/>
              </w:rPr>
              <w:t>the</w:t>
            </w:r>
            <w:r w:rsidR="003F12A2">
              <w:rPr>
                <w:rFonts w:ascii="Verdana" w:hAnsi="Verdana"/>
              </w:rPr>
              <w:t xml:space="preserve"> </w:t>
            </w:r>
            <w:r w:rsidR="00F14ECF" w:rsidRPr="00770627">
              <w:rPr>
                <w:rFonts w:ascii="Verdana" w:hAnsi="Verdana"/>
              </w:rPr>
              <w:t>plan</w:t>
            </w:r>
            <w:r w:rsidR="003F12A2">
              <w:rPr>
                <w:rFonts w:ascii="Verdana" w:hAnsi="Verdana"/>
              </w:rPr>
              <w:t xml:space="preserve"> </w:t>
            </w:r>
            <w:r w:rsidR="00F14ECF" w:rsidRPr="00770627">
              <w:rPr>
                <w:rFonts w:ascii="Verdana" w:hAnsi="Verdana"/>
              </w:rPr>
              <w:t>will</w:t>
            </w:r>
            <w:r w:rsidR="003F12A2">
              <w:rPr>
                <w:rFonts w:ascii="Verdana" w:hAnsi="Verdana"/>
              </w:rPr>
              <w:t xml:space="preserve"> </w:t>
            </w:r>
            <w:r w:rsidR="00F14ECF" w:rsidRPr="00770627">
              <w:rPr>
                <w:rFonts w:ascii="Verdana" w:hAnsi="Verdana"/>
              </w:rPr>
              <w:t>pay</w:t>
            </w:r>
            <w:r w:rsidR="003F12A2">
              <w:rPr>
                <w:rFonts w:ascii="Verdana" w:hAnsi="Verdana"/>
              </w:rPr>
              <w:t xml:space="preserve"> </w:t>
            </w:r>
            <w:r w:rsidR="00F14ECF" w:rsidRPr="00770627">
              <w:rPr>
                <w:rFonts w:ascii="Verdana" w:hAnsi="Verdana"/>
              </w:rPr>
              <w:t>for</w:t>
            </w:r>
            <w:r w:rsidR="003F12A2">
              <w:rPr>
                <w:rFonts w:ascii="Verdana" w:hAnsi="Verdana"/>
              </w:rPr>
              <w:t xml:space="preserve"> </w:t>
            </w:r>
            <w:r w:rsidR="00F14ECF" w:rsidRPr="00770627">
              <w:rPr>
                <w:rFonts w:ascii="Verdana" w:hAnsi="Verdana"/>
              </w:rPr>
              <w:t>the</w:t>
            </w:r>
            <w:r w:rsidR="003F12A2">
              <w:rPr>
                <w:rFonts w:ascii="Verdana" w:hAnsi="Verdana"/>
              </w:rPr>
              <w:t xml:space="preserve"> </w:t>
            </w:r>
            <w:r w:rsidR="00F14ECF" w:rsidRPr="00770627">
              <w:rPr>
                <w:rFonts w:ascii="Verdana" w:hAnsi="Verdana"/>
              </w:rPr>
              <w:t>drug.</w:t>
            </w:r>
            <w:r w:rsidR="003F12A2">
              <w:rPr>
                <w:rFonts w:ascii="Verdana" w:hAnsi="Verdana"/>
              </w:rPr>
              <w:t xml:space="preserve"> </w:t>
            </w:r>
            <w:r w:rsidRPr="00770627">
              <w:rPr>
                <w:rFonts w:ascii="Verdana" w:hAnsi="Verdana"/>
              </w:rPr>
              <w:t>Refer</w:t>
            </w:r>
            <w:r w:rsidR="003F12A2">
              <w:rPr>
                <w:rFonts w:ascii="Verdana" w:hAnsi="Verdana"/>
              </w:rPr>
              <w:t xml:space="preserve"> </w:t>
            </w:r>
            <w:r w:rsidR="009505B0" w:rsidRPr="00770627">
              <w:rPr>
                <w:rFonts w:ascii="Verdana" w:hAnsi="Verdana"/>
              </w:rPr>
              <w:t>to</w:t>
            </w:r>
            <w:r w:rsidR="003F12A2">
              <w:rPr>
                <w:rFonts w:ascii="Verdana" w:hAnsi="Verdana"/>
                <w:color w:val="FF0000"/>
              </w:rPr>
              <w:t xml:space="preserve"> </w:t>
            </w:r>
            <w:hyperlink r:id="rId18" w:anchor="!/view?docid=044a0a49-8050-4303-98a7-edf9cfda6065" w:history="1">
              <w:r w:rsidR="007A0278" w:rsidRPr="007A0278">
                <w:rPr>
                  <w:rStyle w:val="Hyperlink"/>
                  <w:rFonts w:ascii="Verdana" w:hAnsi="Verdana"/>
                </w:rPr>
                <w:t>Compass MED D - CCR - Coverage Determinations and Redeterminations (Appeals)</w:t>
              </w:r>
            </w:hyperlink>
            <w:r w:rsidR="002F1FD0" w:rsidRPr="00770627">
              <w:rPr>
                <w:rFonts w:ascii="Verdana" w:hAnsi="Verdana"/>
              </w:rPr>
              <w:t>.</w:t>
            </w:r>
          </w:p>
          <w:p w14:paraId="2309065A" w14:textId="77777777" w:rsidR="00814987" w:rsidRPr="00770627" w:rsidRDefault="00814987" w:rsidP="00951C7F">
            <w:pPr>
              <w:pStyle w:val="ListParagraph"/>
              <w:numPr>
                <w:ilvl w:val="0"/>
                <w:numId w:val="24"/>
              </w:numPr>
              <w:rPr>
                <w:rFonts w:ascii="Verdana" w:hAnsi="Verdana"/>
              </w:rPr>
            </w:pPr>
            <w:r w:rsidRPr="00770627">
              <w:rPr>
                <w:rFonts w:ascii="Verdana" w:hAnsi="Verdana"/>
              </w:rPr>
              <w:t>Review</w:t>
            </w:r>
            <w:r w:rsidR="003F12A2">
              <w:rPr>
                <w:rFonts w:ascii="Verdana" w:hAnsi="Verdana"/>
              </w:rPr>
              <w:t xml:space="preserve"> </w:t>
            </w:r>
            <w:r w:rsidRPr="00770627">
              <w:rPr>
                <w:rFonts w:ascii="Verdana" w:hAnsi="Verdana"/>
              </w:rPr>
              <w:t>the</w:t>
            </w:r>
            <w:r w:rsidR="003F12A2">
              <w:rPr>
                <w:rFonts w:ascii="Verdana" w:hAnsi="Verdana"/>
              </w:rPr>
              <w:t xml:space="preserve"> </w:t>
            </w:r>
            <w:r w:rsidRPr="00770627">
              <w:rPr>
                <w:rFonts w:ascii="Verdana" w:hAnsi="Verdana"/>
              </w:rPr>
              <w:t>CIF</w:t>
            </w:r>
            <w:r w:rsidR="003F12A2">
              <w:rPr>
                <w:rFonts w:ascii="Verdana" w:hAnsi="Verdana"/>
              </w:rPr>
              <w:t xml:space="preserve"> </w:t>
            </w:r>
            <w:r w:rsidRPr="00770627">
              <w:rPr>
                <w:rFonts w:ascii="Verdana" w:hAnsi="Verdana"/>
              </w:rPr>
              <w:t>to</w:t>
            </w:r>
            <w:r w:rsidR="003F12A2">
              <w:rPr>
                <w:rFonts w:ascii="Verdana" w:hAnsi="Verdana"/>
              </w:rPr>
              <w:t xml:space="preserve"> </w:t>
            </w:r>
            <w:r w:rsidRPr="00770627">
              <w:rPr>
                <w:rFonts w:ascii="Verdana" w:hAnsi="Verdana"/>
              </w:rPr>
              <w:t>identify</w:t>
            </w:r>
            <w:r w:rsidR="003F12A2">
              <w:rPr>
                <w:rFonts w:ascii="Verdana" w:hAnsi="Verdana"/>
              </w:rPr>
              <w:t xml:space="preserve"> </w:t>
            </w:r>
            <w:r w:rsidRPr="00770627">
              <w:rPr>
                <w:rFonts w:ascii="Verdana" w:hAnsi="Verdana"/>
              </w:rPr>
              <w:t>who</w:t>
            </w:r>
            <w:r w:rsidR="003F12A2">
              <w:rPr>
                <w:rFonts w:ascii="Verdana" w:hAnsi="Verdana"/>
              </w:rPr>
              <w:t xml:space="preserve"> </w:t>
            </w:r>
            <w:r w:rsidRPr="00770627">
              <w:rPr>
                <w:rFonts w:ascii="Verdana" w:hAnsi="Verdana"/>
              </w:rPr>
              <w:t>handles</w:t>
            </w:r>
            <w:r w:rsidR="003F12A2">
              <w:rPr>
                <w:rFonts w:ascii="Verdana" w:hAnsi="Verdana"/>
              </w:rPr>
              <w:t xml:space="preserve"> </w:t>
            </w:r>
            <w:r w:rsidRPr="00770627">
              <w:rPr>
                <w:rFonts w:ascii="Verdana" w:hAnsi="Verdana"/>
              </w:rPr>
              <w:t>the</w:t>
            </w:r>
            <w:r w:rsidR="003F12A2">
              <w:rPr>
                <w:rFonts w:ascii="Verdana" w:hAnsi="Verdana"/>
              </w:rPr>
              <w:t xml:space="preserve"> </w:t>
            </w:r>
            <w:r w:rsidRPr="00770627">
              <w:rPr>
                <w:rFonts w:ascii="Verdana" w:hAnsi="Verdana"/>
              </w:rPr>
              <w:t>CD&amp;A</w:t>
            </w:r>
            <w:r w:rsidR="003F12A2">
              <w:rPr>
                <w:rFonts w:ascii="Verdana" w:hAnsi="Verdana"/>
              </w:rPr>
              <w:t xml:space="preserve"> </w:t>
            </w:r>
            <w:r w:rsidRPr="00770627">
              <w:rPr>
                <w:rFonts w:ascii="Verdana" w:hAnsi="Verdana"/>
              </w:rPr>
              <w:t>process.</w:t>
            </w:r>
            <w:r w:rsidR="003F12A2">
              <w:rPr>
                <w:rFonts w:ascii="Verdana" w:hAnsi="Verdana"/>
              </w:rPr>
              <w:t xml:space="preserve"> </w:t>
            </w:r>
          </w:p>
          <w:p w14:paraId="2C4580CA" w14:textId="77777777" w:rsidR="00CC4416" w:rsidRPr="00770627" w:rsidRDefault="00CC4416" w:rsidP="00587DC6">
            <w:pPr>
              <w:pStyle w:val="ListParagraph"/>
              <w:ind w:left="0"/>
              <w:rPr>
                <w:rFonts w:ascii="Verdana" w:hAnsi="Verdana"/>
              </w:rPr>
            </w:pPr>
          </w:p>
        </w:tc>
      </w:tr>
    </w:tbl>
    <w:p w14:paraId="70B912E8" w14:textId="77777777" w:rsidR="00CC4416" w:rsidRPr="00770627" w:rsidRDefault="00CC4416" w:rsidP="00D97F51">
      <w:pPr>
        <w:rPr>
          <w:rFonts w:ascii="Verdana" w:hAnsi="Verdana"/>
        </w:rPr>
      </w:pPr>
    </w:p>
    <w:p w14:paraId="07173024" w14:textId="77777777" w:rsidR="00CC4416" w:rsidRPr="00343C40" w:rsidRDefault="00000000" w:rsidP="00770627">
      <w:pPr>
        <w:jc w:val="right"/>
        <w:rPr>
          <w:rFonts w:ascii="Verdana" w:hAnsi="Verdana"/>
        </w:rPr>
      </w:pPr>
      <w:hyperlink w:anchor="_top" w:history="1">
        <w:r w:rsidR="00435BB1" w:rsidRPr="00770627">
          <w:rPr>
            <w:rStyle w:val="Hyperlink"/>
            <w:rFonts w:ascii="Verdana" w:hAnsi="Verdana"/>
          </w:rPr>
          <w:t>Top</w:t>
        </w:r>
        <w:r w:rsidR="003F12A2">
          <w:rPr>
            <w:rStyle w:val="Hyperlink"/>
            <w:rFonts w:ascii="Verdana" w:hAnsi="Verdana"/>
          </w:rPr>
          <w:t xml:space="preserve"> </w:t>
        </w:r>
        <w:r w:rsidR="00435BB1" w:rsidRPr="00770627">
          <w:rPr>
            <w:rStyle w:val="Hyperlink"/>
            <w:rFonts w:ascii="Verdana" w:hAnsi="Verdana"/>
          </w:rPr>
          <w:t>of</w:t>
        </w:r>
        <w:r w:rsidR="003F12A2">
          <w:rPr>
            <w:rStyle w:val="Hyperlink"/>
            <w:rFonts w:ascii="Verdana" w:hAnsi="Verdana"/>
          </w:rPr>
          <w:t xml:space="preserve"> </w:t>
        </w:r>
        <w:r w:rsidR="00435BB1" w:rsidRPr="00770627">
          <w:rPr>
            <w:rStyle w:val="Hyperlink"/>
            <w:rFonts w:ascii="Verdana" w:hAnsi="Verdana"/>
          </w:rPr>
          <w:t>the</w:t>
        </w:r>
        <w:r w:rsidR="003F12A2">
          <w:rPr>
            <w:rStyle w:val="Hyperlink"/>
            <w:rFonts w:ascii="Verdana" w:hAnsi="Verdana"/>
          </w:rPr>
          <w:t xml:space="preserve"> </w:t>
        </w:r>
        <w:r w:rsidR="00435BB1" w:rsidRPr="00770627">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20F11" w:rsidRPr="00BF74E9" w14:paraId="22EBDE9A" w14:textId="77777777" w:rsidTr="0018239B">
        <w:tc>
          <w:tcPr>
            <w:tcW w:w="5000" w:type="pct"/>
            <w:shd w:val="clear" w:color="auto" w:fill="C0C0C0"/>
          </w:tcPr>
          <w:p w14:paraId="1F9E9CA3" w14:textId="77777777" w:rsidR="00320F11" w:rsidRPr="00586CD9" w:rsidRDefault="00320F11" w:rsidP="0018239B">
            <w:pPr>
              <w:pStyle w:val="Heading2"/>
              <w:rPr>
                <w:rFonts w:ascii="Verdana" w:hAnsi="Verdana"/>
                <w:i w:val="0"/>
              </w:rPr>
            </w:pPr>
            <w:bookmarkStart w:id="16" w:name="_Toc157421735"/>
            <w:r>
              <w:rPr>
                <w:rFonts w:ascii="Verdana" w:hAnsi="Verdana"/>
                <w:i w:val="0"/>
              </w:rPr>
              <w:t>Active</w:t>
            </w:r>
            <w:r w:rsidR="003F12A2">
              <w:rPr>
                <w:rFonts w:ascii="Verdana" w:hAnsi="Verdana"/>
                <w:i w:val="0"/>
              </w:rPr>
              <w:t xml:space="preserve"> </w:t>
            </w:r>
            <w:r>
              <w:rPr>
                <w:rFonts w:ascii="Verdana" w:hAnsi="Verdana"/>
                <w:i w:val="0"/>
              </w:rPr>
              <w:t>Clients</w:t>
            </w:r>
            <w:r w:rsidR="003F12A2">
              <w:rPr>
                <w:rFonts w:ascii="Verdana" w:hAnsi="Verdana"/>
                <w:i w:val="0"/>
              </w:rPr>
              <w:t xml:space="preserve"> </w:t>
            </w:r>
            <w:r>
              <w:rPr>
                <w:rFonts w:ascii="Verdana" w:hAnsi="Verdana"/>
                <w:i w:val="0"/>
              </w:rPr>
              <w:t>with</w:t>
            </w:r>
            <w:r w:rsidR="003F12A2">
              <w:rPr>
                <w:rFonts w:ascii="Verdana" w:hAnsi="Verdana"/>
                <w:i w:val="0"/>
              </w:rPr>
              <w:t xml:space="preserve"> </w:t>
            </w:r>
            <w:r>
              <w:rPr>
                <w:rFonts w:ascii="Verdana" w:hAnsi="Verdana"/>
                <w:i w:val="0"/>
              </w:rPr>
              <w:t>Dual</w:t>
            </w:r>
            <w:r w:rsidR="003F12A2">
              <w:rPr>
                <w:rFonts w:ascii="Verdana" w:hAnsi="Verdana"/>
                <w:i w:val="0"/>
              </w:rPr>
              <w:t xml:space="preserve"> </w:t>
            </w:r>
            <w:r>
              <w:rPr>
                <w:rFonts w:ascii="Verdana" w:hAnsi="Verdana"/>
                <w:i w:val="0"/>
              </w:rPr>
              <w:t>Demo/MMP/DSNIP</w:t>
            </w:r>
            <w:r w:rsidR="003F12A2">
              <w:rPr>
                <w:rFonts w:ascii="Verdana" w:hAnsi="Verdana"/>
                <w:i w:val="0"/>
              </w:rPr>
              <w:t xml:space="preserve"> </w:t>
            </w:r>
            <w:r>
              <w:rPr>
                <w:rFonts w:ascii="Verdana" w:hAnsi="Verdana"/>
                <w:i w:val="0"/>
              </w:rPr>
              <w:t>Plans</w:t>
            </w:r>
            <w:bookmarkEnd w:id="16"/>
          </w:p>
        </w:tc>
      </w:tr>
    </w:tbl>
    <w:p w14:paraId="4DC77510" w14:textId="77777777" w:rsidR="00320F11" w:rsidRDefault="00320F11" w:rsidP="00320F11">
      <w:pPr>
        <w:rPr>
          <w:rFonts w:ascii="Verdana" w:hAnsi="Verdana"/>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7"/>
        <w:gridCol w:w="2088"/>
        <w:gridCol w:w="2831"/>
        <w:gridCol w:w="4794"/>
      </w:tblGrid>
      <w:tr w:rsidR="001C178B" w:rsidRPr="00770627" w14:paraId="65C4A456" w14:textId="77777777" w:rsidTr="00770627">
        <w:tc>
          <w:tcPr>
            <w:tcW w:w="1250" w:type="pct"/>
            <w:shd w:val="pct10" w:color="auto" w:fill="auto"/>
          </w:tcPr>
          <w:p w14:paraId="77E2CCB6" w14:textId="77777777" w:rsidR="001C178B" w:rsidRPr="00770627" w:rsidRDefault="001C178B" w:rsidP="00F93D91">
            <w:pPr>
              <w:jc w:val="center"/>
              <w:rPr>
                <w:rFonts w:ascii="Verdana" w:hAnsi="Verdana"/>
                <w:b/>
              </w:rPr>
            </w:pPr>
            <w:r w:rsidRPr="00770627">
              <w:rPr>
                <w:rFonts w:ascii="Verdana" w:hAnsi="Verdana"/>
                <w:b/>
              </w:rPr>
              <w:t>Client</w:t>
            </w:r>
            <w:r w:rsidR="003F12A2">
              <w:rPr>
                <w:rFonts w:ascii="Verdana" w:hAnsi="Verdana"/>
                <w:b/>
              </w:rPr>
              <w:t xml:space="preserve"> </w:t>
            </w:r>
            <w:r w:rsidRPr="00770627">
              <w:rPr>
                <w:rFonts w:ascii="Verdana" w:hAnsi="Verdana"/>
                <w:b/>
              </w:rPr>
              <w:t>Name</w:t>
            </w:r>
            <w:r w:rsidR="003F12A2">
              <w:rPr>
                <w:rFonts w:ascii="Verdana" w:hAnsi="Verdana"/>
                <w:b/>
              </w:rPr>
              <w:t xml:space="preserve"> </w:t>
            </w:r>
            <w:r w:rsidRPr="00770627">
              <w:rPr>
                <w:rFonts w:ascii="Verdana" w:hAnsi="Verdana"/>
                <w:b/>
              </w:rPr>
              <w:t>&amp;</w:t>
            </w:r>
            <w:r w:rsidR="003F12A2">
              <w:rPr>
                <w:rFonts w:ascii="Verdana" w:hAnsi="Verdana"/>
                <w:b/>
              </w:rPr>
              <w:t xml:space="preserve"> </w:t>
            </w:r>
            <w:r w:rsidRPr="00770627">
              <w:rPr>
                <w:rFonts w:ascii="Verdana" w:hAnsi="Verdana"/>
                <w:b/>
              </w:rPr>
              <w:t>Carrier</w:t>
            </w:r>
            <w:r w:rsidR="003F12A2">
              <w:rPr>
                <w:rFonts w:ascii="Verdana" w:hAnsi="Verdana"/>
                <w:b/>
              </w:rPr>
              <w:t xml:space="preserve"> </w:t>
            </w:r>
          </w:p>
        </w:tc>
        <w:tc>
          <w:tcPr>
            <w:tcW w:w="806" w:type="pct"/>
            <w:shd w:val="pct10" w:color="auto" w:fill="auto"/>
          </w:tcPr>
          <w:p w14:paraId="52D46384" w14:textId="77777777" w:rsidR="001C178B" w:rsidRPr="00770627" w:rsidRDefault="001C178B" w:rsidP="00F93D91">
            <w:pPr>
              <w:jc w:val="center"/>
              <w:rPr>
                <w:rFonts w:ascii="Verdana" w:hAnsi="Verdana"/>
                <w:b/>
              </w:rPr>
            </w:pPr>
            <w:r w:rsidRPr="00770627">
              <w:rPr>
                <w:rFonts w:ascii="Verdana" w:hAnsi="Verdana"/>
                <w:b/>
              </w:rPr>
              <w:t>Carrier(s)</w:t>
            </w:r>
          </w:p>
        </w:tc>
        <w:tc>
          <w:tcPr>
            <w:tcW w:w="1093" w:type="pct"/>
            <w:shd w:val="pct10" w:color="auto" w:fill="auto"/>
          </w:tcPr>
          <w:p w14:paraId="38FAB378" w14:textId="77777777" w:rsidR="001C178B" w:rsidRPr="00770627" w:rsidRDefault="001C178B" w:rsidP="00F93D91">
            <w:pPr>
              <w:jc w:val="center"/>
              <w:rPr>
                <w:rFonts w:ascii="Verdana" w:hAnsi="Verdana"/>
                <w:b/>
              </w:rPr>
            </w:pPr>
            <w:r w:rsidRPr="00770627">
              <w:rPr>
                <w:rFonts w:ascii="Verdana" w:hAnsi="Verdana"/>
                <w:b/>
              </w:rPr>
              <w:t>Type</w:t>
            </w:r>
            <w:r w:rsidR="003F12A2">
              <w:rPr>
                <w:rFonts w:ascii="Verdana" w:hAnsi="Verdana"/>
                <w:b/>
              </w:rPr>
              <w:t xml:space="preserve"> </w:t>
            </w:r>
            <w:r w:rsidRPr="00770627">
              <w:rPr>
                <w:rFonts w:ascii="Verdana" w:hAnsi="Verdana"/>
                <w:b/>
              </w:rPr>
              <w:t>of</w:t>
            </w:r>
            <w:r w:rsidR="003F12A2">
              <w:rPr>
                <w:rFonts w:ascii="Verdana" w:hAnsi="Verdana"/>
                <w:b/>
              </w:rPr>
              <w:t xml:space="preserve"> </w:t>
            </w:r>
            <w:r w:rsidRPr="00770627">
              <w:rPr>
                <w:rFonts w:ascii="Verdana" w:hAnsi="Verdana"/>
                <w:b/>
              </w:rPr>
              <w:t>Plan</w:t>
            </w:r>
            <w:r w:rsidR="003F12A2">
              <w:rPr>
                <w:rFonts w:ascii="Verdana" w:hAnsi="Verdana"/>
                <w:b/>
              </w:rPr>
              <w:t xml:space="preserve"> </w:t>
            </w:r>
          </w:p>
        </w:tc>
        <w:tc>
          <w:tcPr>
            <w:tcW w:w="1851" w:type="pct"/>
            <w:shd w:val="pct10" w:color="auto" w:fill="auto"/>
          </w:tcPr>
          <w:p w14:paraId="04C3C762" w14:textId="77777777" w:rsidR="001C178B" w:rsidRPr="00770627" w:rsidRDefault="001C178B" w:rsidP="00F93D91">
            <w:pPr>
              <w:jc w:val="center"/>
              <w:rPr>
                <w:rFonts w:ascii="Verdana" w:hAnsi="Verdana"/>
                <w:b/>
              </w:rPr>
            </w:pPr>
            <w:r w:rsidRPr="00770627">
              <w:rPr>
                <w:rFonts w:ascii="Verdana" w:hAnsi="Verdana"/>
                <w:b/>
              </w:rPr>
              <w:t>Plan</w:t>
            </w:r>
            <w:r w:rsidR="003F12A2">
              <w:rPr>
                <w:rFonts w:ascii="Verdana" w:hAnsi="Verdana"/>
                <w:b/>
              </w:rPr>
              <w:t xml:space="preserve"> </w:t>
            </w:r>
            <w:r w:rsidRPr="00770627">
              <w:rPr>
                <w:rFonts w:ascii="Verdana" w:hAnsi="Verdana"/>
                <w:b/>
              </w:rPr>
              <w:t>Highlights</w:t>
            </w:r>
          </w:p>
        </w:tc>
      </w:tr>
      <w:tr w:rsidR="001C178B" w:rsidRPr="00770627" w14:paraId="4952B41E" w14:textId="77777777" w:rsidTr="00770627">
        <w:tc>
          <w:tcPr>
            <w:tcW w:w="1250" w:type="pct"/>
          </w:tcPr>
          <w:p w14:paraId="43E157C0" w14:textId="77777777" w:rsidR="001C178B" w:rsidRPr="00770627" w:rsidRDefault="001C178B" w:rsidP="00A16799">
            <w:pPr>
              <w:jc w:val="center"/>
              <w:rPr>
                <w:rFonts w:ascii="Verdana" w:hAnsi="Verdana"/>
              </w:rPr>
            </w:pPr>
            <w:r w:rsidRPr="00770627">
              <w:rPr>
                <w:rFonts w:ascii="Verdana" w:hAnsi="Verdana"/>
              </w:rPr>
              <w:t>Neighborhood</w:t>
            </w:r>
            <w:r w:rsidR="003F12A2">
              <w:rPr>
                <w:rFonts w:ascii="Verdana" w:hAnsi="Verdana"/>
              </w:rPr>
              <w:t xml:space="preserve"> </w:t>
            </w:r>
            <w:r w:rsidRPr="00770627">
              <w:rPr>
                <w:rFonts w:ascii="Verdana" w:hAnsi="Verdana"/>
              </w:rPr>
              <w:t>Health</w:t>
            </w:r>
            <w:r w:rsidR="003F12A2">
              <w:rPr>
                <w:rFonts w:ascii="Verdana" w:hAnsi="Verdana"/>
              </w:rPr>
              <w:t xml:space="preserve"> </w:t>
            </w:r>
            <w:r w:rsidRPr="00770627">
              <w:rPr>
                <w:rFonts w:ascii="Verdana" w:hAnsi="Verdana"/>
              </w:rPr>
              <w:t>Plan</w:t>
            </w:r>
            <w:r w:rsidR="003F12A2">
              <w:rPr>
                <w:rFonts w:ascii="Verdana" w:hAnsi="Verdana"/>
              </w:rPr>
              <w:t xml:space="preserve"> </w:t>
            </w:r>
            <w:r w:rsidRPr="00770627">
              <w:rPr>
                <w:rFonts w:ascii="Verdana" w:hAnsi="Verdana"/>
              </w:rPr>
              <w:t>of</w:t>
            </w:r>
            <w:r w:rsidR="003F12A2">
              <w:rPr>
                <w:rFonts w:ascii="Verdana" w:hAnsi="Verdana"/>
              </w:rPr>
              <w:t xml:space="preserve"> </w:t>
            </w:r>
            <w:r w:rsidRPr="00770627">
              <w:rPr>
                <w:rFonts w:ascii="Verdana" w:hAnsi="Verdana"/>
              </w:rPr>
              <w:t>Rhode</w:t>
            </w:r>
            <w:r w:rsidR="003F12A2">
              <w:rPr>
                <w:rFonts w:ascii="Verdana" w:hAnsi="Verdana"/>
              </w:rPr>
              <w:t xml:space="preserve"> </w:t>
            </w:r>
            <w:r w:rsidRPr="00770627">
              <w:rPr>
                <w:rFonts w:ascii="Verdana" w:hAnsi="Verdana"/>
              </w:rPr>
              <w:t>Island</w:t>
            </w:r>
            <w:r w:rsidR="003F12A2">
              <w:rPr>
                <w:rFonts w:ascii="Verdana" w:hAnsi="Verdana"/>
              </w:rPr>
              <w:t xml:space="preserve"> </w:t>
            </w:r>
            <w:r w:rsidRPr="00770627">
              <w:rPr>
                <w:rFonts w:ascii="Verdana" w:hAnsi="Verdana"/>
              </w:rPr>
              <w:t>(NHPRI)</w:t>
            </w:r>
          </w:p>
          <w:p w14:paraId="36F038CB" w14:textId="77777777" w:rsidR="001C178B" w:rsidRPr="00770627" w:rsidRDefault="001C178B" w:rsidP="00A16799">
            <w:pPr>
              <w:jc w:val="center"/>
              <w:rPr>
                <w:rFonts w:ascii="Verdana" w:hAnsi="Verdana"/>
              </w:rPr>
            </w:pPr>
          </w:p>
        </w:tc>
        <w:tc>
          <w:tcPr>
            <w:tcW w:w="806" w:type="pct"/>
          </w:tcPr>
          <w:p w14:paraId="38BF87A2" w14:textId="77777777" w:rsidR="001C178B" w:rsidRPr="00770627" w:rsidRDefault="00A16799" w:rsidP="00A16799">
            <w:pPr>
              <w:jc w:val="center"/>
              <w:rPr>
                <w:rFonts w:ascii="Verdana" w:hAnsi="Verdana"/>
                <w:bCs/>
              </w:rPr>
            </w:pPr>
            <w:r w:rsidRPr="00770627">
              <w:rPr>
                <w:rFonts w:ascii="Verdana" w:hAnsi="Verdana"/>
              </w:rPr>
              <w:t>x2322,</w:t>
            </w:r>
            <w:r w:rsidR="003F12A2">
              <w:rPr>
                <w:rFonts w:ascii="Verdana" w:hAnsi="Verdana"/>
              </w:rPr>
              <w:t xml:space="preserve"> </w:t>
            </w:r>
            <w:r w:rsidRPr="00770627">
              <w:rPr>
                <w:rFonts w:ascii="Verdana" w:hAnsi="Verdana"/>
              </w:rPr>
              <w:t>x6441</w:t>
            </w:r>
          </w:p>
        </w:tc>
        <w:tc>
          <w:tcPr>
            <w:tcW w:w="1093" w:type="pct"/>
          </w:tcPr>
          <w:p w14:paraId="26C31B0F" w14:textId="77777777" w:rsidR="001C178B" w:rsidRPr="00770627" w:rsidRDefault="001C178B" w:rsidP="00A16799">
            <w:pPr>
              <w:jc w:val="center"/>
              <w:rPr>
                <w:rFonts w:ascii="Verdana" w:hAnsi="Verdana"/>
                <w:bCs/>
              </w:rPr>
            </w:pPr>
            <w:r w:rsidRPr="00770627">
              <w:rPr>
                <w:rFonts w:ascii="Verdana" w:hAnsi="Verdana"/>
                <w:bCs/>
              </w:rPr>
              <w:t>Dual</w:t>
            </w:r>
            <w:r w:rsidR="003F12A2">
              <w:rPr>
                <w:rFonts w:ascii="Verdana" w:hAnsi="Verdana"/>
                <w:bCs/>
              </w:rPr>
              <w:t xml:space="preserve"> </w:t>
            </w:r>
            <w:r w:rsidRPr="00770627">
              <w:rPr>
                <w:rFonts w:ascii="Verdana" w:hAnsi="Verdana"/>
                <w:bCs/>
              </w:rPr>
              <w:t>Demo/MMP</w:t>
            </w:r>
          </w:p>
        </w:tc>
        <w:tc>
          <w:tcPr>
            <w:tcW w:w="1851" w:type="pct"/>
          </w:tcPr>
          <w:p w14:paraId="25F1D3AF" w14:textId="77777777" w:rsidR="001C178B" w:rsidRPr="00770627" w:rsidRDefault="001C178B" w:rsidP="00A16799">
            <w:pPr>
              <w:jc w:val="center"/>
              <w:rPr>
                <w:rFonts w:ascii="Verdana" w:hAnsi="Verdana"/>
                <w:bCs/>
              </w:rPr>
            </w:pPr>
            <w:r w:rsidRPr="00770627">
              <w:rPr>
                <w:rFonts w:ascii="Verdana" w:hAnsi="Verdana"/>
                <w:bCs/>
              </w:rPr>
              <w:t>Secondary</w:t>
            </w:r>
            <w:r w:rsidR="003F12A2">
              <w:rPr>
                <w:rFonts w:ascii="Verdana" w:hAnsi="Verdana"/>
                <w:bCs/>
              </w:rPr>
              <w:t xml:space="preserve"> </w:t>
            </w:r>
            <w:r w:rsidRPr="00770627">
              <w:rPr>
                <w:rFonts w:ascii="Verdana" w:hAnsi="Verdana"/>
                <w:bCs/>
              </w:rPr>
              <w:t>Medicaid</w:t>
            </w:r>
            <w:r w:rsidR="003F12A2">
              <w:rPr>
                <w:rFonts w:ascii="Verdana" w:hAnsi="Verdana"/>
                <w:bCs/>
              </w:rPr>
              <w:t xml:space="preserve"> </w:t>
            </w:r>
            <w:r w:rsidRPr="00770627">
              <w:rPr>
                <w:rFonts w:ascii="Verdana" w:hAnsi="Verdana"/>
                <w:bCs/>
              </w:rPr>
              <w:t>coverage</w:t>
            </w:r>
            <w:r w:rsidR="003F12A2">
              <w:rPr>
                <w:rFonts w:ascii="Verdana" w:hAnsi="Verdana"/>
                <w:bCs/>
              </w:rPr>
              <w:t xml:space="preserve"> </w:t>
            </w:r>
            <w:r w:rsidRPr="00770627">
              <w:rPr>
                <w:rFonts w:ascii="Verdana" w:hAnsi="Verdana"/>
                <w:bCs/>
              </w:rPr>
              <w:t>covers</w:t>
            </w:r>
            <w:r w:rsidR="003F12A2">
              <w:rPr>
                <w:rFonts w:ascii="Verdana" w:hAnsi="Verdana"/>
                <w:bCs/>
              </w:rPr>
              <w:t xml:space="preserve"> </w:t>
            </w:r>
            <w:r w:rsidRPr="00770627">
              <w:rPr>
                <w:rFonts w:ascii="Verdana" w:hAnsi="Verdana"/>
                <w:bCs/>
              </w:rPr>
              <w:t>OTC</w:t>
            </w:r>
            <w:r w:rsidR="003F12A2">
              <w:rPr>
                <w:rFonts w:ascii="Verdana" w:hAnsi="Verdana"/>
                <w:bCs/>
              </w:rPr>
              <w:t xml:space="preserve"> </w:t>
            </w:r>
            <w:r w:rsidRPr="00770627">
              <w:rPr>
                <w:rFonts w:ascii="Verdana" w:hAnsi="Verdana"/>
                <w:bCs/>
              </w:rPr>
              <w:t>medications</w:t>
            </w:r>
            <w:r w:rsidR="003F12A2">
              <w:rPr>
                <w:rFonts w:ascii="Verdana" w:hAnsi="Verdana"/>
                <w:bCs/>
              </w:rPr>
              <w:t xml:space="preserve"> </w:t>
            </w:r>
            <w:r w:rsidRPr="00770627">
              <w:rPr>
                <w:rFonts w:ascii="Verdana" w:hAnsi="Verdana"/>
                <w:bCs/>
              </w:rPr>
              <w:t>not</w:t>
            </w:r>
            <w:r w:rsidR="003F12A2">
              <w:rPr>
                <w:rFonts w:ascii="Verdana" w:hAnsi="Verdana"/>
                <w:bCs/>
              </w:rPr>
              <w:t xml:space="preserve"> </w:t>
            </w:r>
            <w:r w:rsidRPr="00770627">
              <w:rPr>
                <w:rFonts w:ascii="Verdana" w:hAnsi="Verdana"/>
                <w:bCs/>
              </w:rPr>
              <w:t>covered</w:t>
            </w:r>
            <w:r w:rsidR="003F12A2">
              <w:rPr>
                <w:rFonts w:ascii="Verdana" w:hAnsi="Verdana"/>
                <w:bCs/>
              </w:rPr>
              <w:t xml:space="preserve"> </w:t>
            </w:r>
            <w:r w:rsidRPr="00770627">
              <w:rPr>
                <w:rFonts w:ascii="Verdana" w:hAnsi="Verdana"/>
                <w:bCs/>
              </w:rPr>
              <w:t>under</w:t>
            </w:r>
            <w:r w:rsidR="003F12A2">
              <w:rPr>
                <w:rFonts w:ascii="Verdana" w:hAnsi="Verdana"/>
                <w:bCs/>
              </w:rPr>
              <w:t xml:space="preserve"> </w:t>
            </w:r>
            <w:r w:rsidRPr="00770627">
              <w:rPr>
                <w:rFonts w:ascii="Verdana" w:hAnsi="Verdana"/>
                <w:bCs/>
              </w:rPr>
              <w:t>Medicare.</w:t>
            </w:r>
          </w:p>
        </w:tc>
      </w:tr>
      <w:tr w:rsidR="001C178B" w:rsidRPr="00770627" w14:paraId="6161DA73" w14:textId="77777777" w:rsidTr="00770627">
        <w:tc>
          <w:tcPr>
            <w:tcW w:w="1250" w:type="pct"/>
          </w:tcPr>
          <w:p w14:paraId="04D4D10C" w14:textId="77777777" w:rsidR="001C178B" w:rsidRPr="00770627" w:rsidRDefault="001C178B" w:rsidP="00A16799">
            <w:pPr>
              <w:jc w:val="center"/>
              <w:rPr>
                <w:rFonts w:ascii="Verdana" w:hAnsi="Verdana"/>
              </w:rPr>
            </w:pPr>
            <w:r w:rsidRPr="00770627">
              <w:rPr>
                <w:rFonts w:ascii="Verdana" w:hAnsi="Verdana"/>
              </w:rPr>
              <w:t>Devoted</w:t>
            </w:r>
            <w:r w:rsidR="003F12A2">
              <w:rPr>
                <w:rFonts w:ascii="Verdana" w:hAnsi="Verdana"/>
              </w:rPr>
              <w:t xml:space="preserve"> </w:t>
            </w:r>
            <w:r w:rsidRPr="00770627">
              <w:rPr>
                <w:rFonts w:ascii="Verdana" w:hAnsi="Verdana"/>
              </w:rPr>
              <w:t>Health</w:t>
            </w:r>
          </w:p>
          <w:p w14:paraId="73646D48" w14:textId="77777777" w:rsidR="001C178B" w:rsidRPr="00770627" w:rsidRDefault="001C178B" w:rsidP="00A16799">
            <w:pPr>
              <w:jc w:val="center"/>
              <w:rPr>
                <w:rFonts w:ascii="Verdana" w:hAnsi="Verdana"/>
              </w:rPr>
            </w:pPr>
          </w:p>
          <w:p w14:paraId="6EC15EA3" w14:textId="77777777" w:rsidR="001C178B" w:rsidRPr="00770627" w:rsidRDefault="001C178B" w:rsidP="00A16799">
            <w:pPr>
              <w:rPr>
                <w:rFonts w:ascii="Verdana" w:hAnsi="Verdana"/>
              </w:rPr>
            </w:pPr>
          </w:p>
        </w:tc>
        <w:tc>
          <w:tcPr>
            <w:tcW w:w="806" w:type="pct"/>
          </w:tcPr>
          <w:p w14:paraId="0B587A3F" w14:textId="77777777" w:rsidR="001C178B" w:rsidRPr="00770627" w:rsidRDefault="00A16799" w:rsidP="00A16799">
            <w:pPr>
              <w:jc w:val="center"/>
              <w:rPr>
                <w:rFonts w:ascii="Verdana" w:hAnsi="Verdana"/>
                <w:bCs/>
              </w:rPr>
            </w:pPr>
            <w:r w:rsidRPr="00770627">
              <w:rPr>
                <w:rFonts w:ascii="Verdana" w:hAnsi="Verdana"/>
              </w:rPr>
              <w:t>x8704</w:t>
            </w:r>
            <w:r w:rsidR="003F12A2">
              <w:rPr>
                <w:rFonts w:ascii="Verdana" w:hAnsi="Verdana"/>
              </w:rPr>
              <w:t xml:space="preserve"> </w:t>
            </w:r>
            <w:r w:rsidRPr="00770627">
              <w:rPr>
                <w:rFonts w:ascii="Verdana" w:hAnsi="Verdana"/>
              </w:rPr>
              <w:t>x6203</w:t>
            </w:r>
          </w:p>
        </w:tc>
        <w:tc>
          <w:tcPr>
            <w:tcW w:w="1093" w:type="pct"/>
          </w:tcPr>
          <w:p w14:paraId="5C566D12" w14:textId="77777777" w:rsidR="001C178B" w:rsidRPr="00770627" w:rsidRDefault="001C178B" w:rsidP="00A16799">
            <w:pPr>
              <w:jc w:val="center"/>
              <w:rPr>
                <w:rFonts w:ascii="Verdana" w:hAnsi="Verdana"/>
                <w:bCs/>
              </w:rPr>
            </w:pPr>
            <w:r w:rsidRPr="00770627">
              <w:rPr>
                <w:rFonts w:ascii="Verdana" w:hAnsi="Verdana"/>
                <w:bCs/>
              </w:rPr>
              <w:t>DSNP</w:t>
            </w:r>
          </w:p>
        </w:tc>
        <w:tc>
          <w:tcPr>
            <w:tcW w:w="1851" w:type="pct"/>
          </w:tcPr>
          <w:p w14:paraId="7AA32F7D" w14:textId="77777777" w:rsidR="001C178B" w:rsidRPr="00770627" w:rsidRDefault="00EB024F" w:rsidP="00A16799">
            <w:pPr>
              <w:jc w:val="center"/>
              <w:rPr>
                <w:rFonts w:ascii="Verdana" w:hAnsi="Verdana"/>
                <w:bCs/>
              </w:rPr>
            </w:pPr>
            <w:r w:rsidRPr="00770627">
              <w:rPr>
                <w:rFonts w:ascii="Verdana" w:hAnsi="Verdana"/>
                <w:bCs/>
              </w:rPr>
              <w:t>Carrier</w:t>
            </w:r>
            <w:r w:rsidR="003F12A2">
              <w:rPr>
                <w:rFonts w:ascii="Verdana" w:hAnsi="Verdana"/>
                <w:bCs/>
              </w:rPr>
              <w:t xml:space="preserve"> </w:t>
            </w:r>
            <w:r w:rsidRPr="00770627">
              <w:rPr>
                <w:rFonts w:ascii="Verdana" w:hAnsi="Verdana"/>
                <w:bCs/>
              </w:rPr>
              <w:t>x6203</w:t>
            </w:r>
            <w:r w:rsidR="003F12A2">
              <w:rPr>
                <w:rFonts w:ascii="Verdana" w:hAnsi="Verdana"/>
                <w:bCs/>
              </w:rPr>
              <w:t xml:space="preserve"> </w:t>
            </w:r>
            <w:r w:rsidRPr="00770627">
              <w:rPr>
                <w:rFonts w:ascii="Verdana" w:hAnsi="Verdana"/>
                <w:bCs/>
              </w:rPr>
              <w:t>is</w:t>
            </w:r>
            <w:r w:rsidR="003F12A2">
              <w:rPr>
                <w:rFonts w:ascii="Verdana" w:hAnsi="Verdana"/>
                <w:bCs/>
              </w:rPr>
              <w:t xml:space="preserve"> </w:t>
            </w:r>
            <w:r w:rsidRPr="00770627">
              <w:rPr>
                <w:rFonts w:ascii="Verdana" w:hAnsi="Verdana"/>
                <w:bCs/>
              </w:rPr>
              <w:t>a</w:t>
            </w:r>
            <w:r w:rsidR="003F12A2">
              <w:rPr>
                <w:rFonts w:ascii="Verdana" w:hAnsi="Verdana"/>
                <w:bCs/>
              </w:rPr>
              <w:t xml:space="preserve"> </w:t>
            </w:r>
            <w:r w:rsidRPr="00770627">
              <w:rPr>
                <w:rFonts w:ascii="Verdana" w:hAnsi="Verdana"/>
                <w:bCs/>
              </w:rPr>
              <w:t>new</w:t>
            </w:r>
            <w:r w:rsidR="003F12A2">
              <w:rPr>
                <w:rFonts w:ascii="Verdana" w:hAnsi="Verdana"/>
                <w:bCs/>
              </w:rPr>
              <w:t xml:space="preserve"> </w:t>
            </w:r>
            <w:r w:rsidRPr="00770627">
              <w:rPr>
                <w:rFonts w:ascii="Verdana" w:hAnsi="Verdana"/>
                <w:bCs/>
              </w:rPr>
              <w:t>DSNP</w:t>
            </w:r>
            <w:r w:rsidR="003F12A2">
              <w:rPr>
                <w:rFonts w:ascii="Verdana" w:hAnsi="Verdana"/>
                <w:bCs/>
              </w:rPr>
              <w:t xml:space="preserve"> </w:t>
            </w:r>
            <w:r w:rsidRPr="00770627">
              <w:rPr>
                <w:rFonts w:ascii="Verdana" w:hAnsi="Verdana"/>
                <w:bCs/>
              </w:rPr>
              <w:t>plan</w:t>
            </w:r>
            <w:r w:rsidR="003F12A2">
              <w:rPr>
                <w:rFonts w:ascii="Verdana" w:hAnsi="Verdana"/>
                <w:bCs/>
              </w:rPr>
              <w:t xml:space="preserve"> </w:t>
            </w:r>
            <w:r w:rsidRPr="00770627">
              <w:rPr>
                <w:rFonts w:ascii="Verdana" w:hAnsi="Verdana"/>
                <w:bCs/>
              </w:rPr>
              <w:t>effective</w:t>
            </w:r>
            <w:r w:rsidR="003F12A2">
              <w:rPr>
                <w:rFonts w:ascii="Verdana" w:hAnsi="Verdana"/>
                <w:bCs/>
              </w:rPr>
              <w:t xml:space="preserve"> </w:t>
            </w:r>
            <w:r w:rsidRPr="00770627">
              <w:rPr>
                <w:rFonts w:ascii="Verdana" w:hAnsi="Verdana"/>
                <w:bCs/>
              </w:rPr>
              <w:t>01/01/2021.</w:t>
            </w:r>
            <w:r w:rsidR="003F12A2">
              <w:rPr>
                <w:rFonts w:ascii="Verdana" w:hAnsi="Verdana"/>
                <w:bCs/>
              </w:rPr>
              <w:t xml:space="preserve"> </w:t>
            </w:r>
            <w:r w:rsidRPr="00770627">
              <w:rPr>
                <w:rFonts w:ascii="Verdana" w:hAnsi="Verdana"/>
                <w:bCs/>
              </w:rPr>
              <w:t>Not</w:t>
            </w:r>
            <w:r w:rsidR="003F12A2">
              <w:rPr>
                <w:rFonts w:ascii="Verdana" w:hAnsi="Verdana"/>
                <w:bCs/>
              </w:rPr>
              <w:t xml:space="preserve"> </w:t>
            </w:r>
            <w:r w:rsidRPr="00770627">
              <w:rPr>
                <w:rFonts w:ascii="Verdana" w:hAnsi="Verdana"/>
                <w:bCs/>
              </w:rPr>
              <w:t>all</w:t>
            </w:r>
            <w:r w:rsidR="003F12A2">
              <w:rPr>
                <w:rFonts w:ascii="Verdana" w:hAnsi="Verdana"/>
                <w:bCs/>
              </w:rPr>
              <w:t xml:space="preserve"> </w:t>
            </w:r>
            <w:r w:rsidRPr="00770627">
              <w:rPr>
                <w:rFonts w:ascii="Verdana" w:hAnsi="Verdana"/>
                <w:bCs/>
              </w:rPr>
              <w:t>members</w:t>
            </w:r>
            <w:r w:rsidR="003F12A2">
              <w:rPr>
                <w:rFonts w:ascii="Verdana" w:hAnsi="Verdana"/>
                <w:bCs/>
              </w:rPr>
              <w:t xml:space="preserve"> </w:t>
            </w:r>
            <w:r w:rsidRPr="00770627">
              <w:rPr>
                <w:rFonts w:ascii="Verdana" w:hAnsi="Verdana"/>
                <w:bCs/>
              </w:rPr>
              <w:t>under</w:t>
            </w:r>
            <w:r w:rsidR="003F12A2">
              <w:rPr>
                <w:rFonts w:ascii="Verdana" w:hAnsi="Verdana"/>
                <w:bCs/>
              </w:rPr>
              <w:t xml:space="preserve"> </w:t>
            </w:r>
            <w:r w:rsidRPr="00770627">
              <w:rPr>
                <w:rFonts w:ascii="Verdana" w:hAnsi="Verdana"/>
                <w:bCs/>
              </w:rPr>
              <w:t>carrier</w:t>
            </w:r>
            <w:r w:rsidR="003F12A2">
              <w:rPr>
                <w:rFonts w:ascii="Verdana" w:hAnsi="Verdana"/>
                <w:bCs/>
              </w:rPr>
              <w:t xml:space="preserve"> </w:t>
            </w:r>
            <w:r w:rsidRPr="00770627">
              <w:rPr>
                <w:rFonts w:ascii="Verdana" w:hAnsi="Verdana"/>
                <w:bCs/>
              </w:rPr>
              <w:t>x8704</w:t>
            </w:r>
            <w:r w:rsidR="003F12A2">
              <w:rPr>
                <w:rFonts w:ascii="Verdana" w:hAnsi="Verdana"/>
                <w:bCs/>
              </w:rPr>
              <w:t xml:space="preserve"> </w:t>
            </w:r>
            <w:r w:rsidRPr="00770627">
              <w:rPr>
                <w:rFonts w:ascii="Verdana" w:hAnsi="Verdana"/>
                <w:bCs/>
              </w:rPr>
              <w:t>have</w:t>
            </w:r>
            <w:r w:rsidR="003F12A2">
              <w:rPr>
                <w:rFonts w:ascii="Verdana" w:hAnsi="Verdana"/>
                <w:bCs/>
              </w:rPr>
              <w:t xml:space="preserve"> </w:t>
            </w:r>
            <w:r w:rsidRPr="00770627">
              <w:rPr>
                <w:rFonts w:ascii="Verdana" w:hAnsi="Verdana"/>
                <w:bCs/>
              </w:rPr>
              <w:t>the</w:t>
            </w:r>
            <w:r w:rsidR="003F12A2">
              <w:rPr>
                <w:rFonts w:ascii="Verdana" w:hAnsi="Verdana"/>
                <w:bCs/>
              </w:rPr>
              <w:t xml:space="preserve"> </w:t>
            </w:r>
            <w:r w:rsidRPr="00770627">
              <w:rPr>
                <w:rFonts w:ascii="Verdana" w:hAnsi="Verdana"/>
                <w:bCs/>
              </w:rPr>
              <w:t>STCOB</w:t>
            </w:r>
            <w:r w:rsidR="003F12A2">
              <w:rPr>
                <w:rFonts w:ascii="Verdana" w:hAnsi="Verdana"/>
                <w:bCs/>
              </w:rPr>
              <w:t xml:space="preserve"> </w:t>
            </w:r>
            <w:r w:rsidRPr="00770627">
              <w:rPr>
                <w:rFonts w:ascii="Verdana" w:hAnsi="Verdana"/>
                <w:bCs/>
              </w:rPr>
              <w:t>secondary</w:t>
            </w:r>
            <w:r w:rsidR="003F12A2">
              <w:rPr>
                <w:rFonts w:ascii="Verdana" w:hAnsi="Verdana"/>
                <w:bCs/>
              </w:rPr>
              <w:t xml:space="preserve"> </w:t>
            </w:r>
            <w:r w:rsidRPr="00770627">
              <w:rPr>
                <w:rFonts w:ascii="Verdana" w:hAnsi="Verdana"/>
                <w:bCs/>
              </w:rPr>
              <w:t>plan.</w:t>
            </w:r>
            <w:r w:rsidR="003F12A2">
              <w:rPr>
                <w:rFonts w:ascii="Verdana" w:hAnsi="Verdana"/>
                <w:bCs/>
              </w:rPr>
              <w:t xml:space="preserve"> </w:t>
            </w:r>
          </w:p>
        </w:tc>
      </w:tr>
      <w:tr w:rsidR="001C178B" w:rsidRPr="00770627" w14:paraId="3C7E3B8A" w14:textId="77777777" w:rsidTr="00770627">
        <w:tc>
          <w:tcPr>
            <w:tcW w:w="1250" w:type="pct"/>
          </w:tcPr>
          <w:p w14:paraId="02065A5A" w14:textId="77777777" w:rsidR="001C178B" w:rsidRPr="00770627" w:rsidRDefault="001C178B" w:rsidP="00A16799">
            <w:pPr>
              <w:jc w:val="center"/>
              <w:rPr>
                <w:rFonts w:ascii="Verdana" w:hAnsi="Verdana"/>
              </w:rPr>
            </w:pPr>
            <w:r w:rsidRPr="00770627">
              <w:rPr>
                <w:rFonts w:ascii="Verdana" w:hAnsi="Verdana"/>
              </w:rPr>
              <w:t>BSC</w:t>
            </w:r>
          </w:p>
          <w:p w14:paraId="48C4E9BD" w14:textId="77777777" w:rsidR="001C178B" w:rsidRPr="00770627" w:rsidRDefault="001C178B" w:rsidP="00A16799">
            <w:pPr>
              <w:jc w:val="center"/>
              <w:rPr>
                <w:rFonts w:ascii="Verdana" w:hAnsi="Verdana"/>
              </w:rPr>
            </w:pPr>
          </w:p>
        </w:tc>
        <w:tc>
          <w:tcPr>
            <w:tcW w:w="806" w:type="pct"/>
          </w:tcPr>
          <w:p w14:paraId="4547D699" w14:textId="77777777" w:rsidR="00A16799" w:rsidRPr="00770627" w:rsidRDefault="00A16799" w:rsidP="00A16799">
            <w:pPr>
              <w:jc w:val="center"/>
              <w:rPr>
                <w:rFonts w:ascii="Verdana" w:hAnsi="Verdana"/>
              </w:rPr>
            </w:pPr>
            <w:r w:rsidRPr="00770627">
              <w:rPr>
                <w:rFonts w:ascii="Verdana" w:hAnsi="Verdana"/>
              </w:rPr>
              <w:t>x33MH</w:t>
            </w:r>
          </w:p>
          <w:p w14:paraId="70007B61" w14:textId="77777777" w:rsidR="001C178B" w:rsidRPr="00770627" w:rsidRDefault="001C178B" w:rsidP="00A16799">
            <w:pPr>
              <w:jc w:val="center"/>
              <w:rPr>
                <w:rFonts w:ascii="Verdana" w:hAnsi="Verdana"/>
              </w:rPr>
            </w:pPr>
          </w:p>
        </w:tc>
        <w:tc>
          <w:tcPr>
            <w:tcW w:w="1093" w:type="pct"/>
          </w:tcPr>
          <w:p w14:paraId="5D8A233C" w14:textId="77777777" w:rsidR="001C178B" w:rsidRPr="00770627" w:rsidRDefault="001C178B" w:rsidP="00A16799">
            <w:pPr>
              <w:jc w:val="center"/>
              <w:rPr>
                <w:rFonts w:ascii="Verdana" w:hAnsi="Verdana"/>
              </w:rPr>
            </w:pPr>
            <w:r w:rsidRPr="00770627">
              <w:rPr>
                <w:rFonts w:ascii="Verdana" w:hAnsi="Verdana"/>
              </w:rPr>
              <w:t>MMP</w:t>
            </w:r>
          </w:p>
        </w:tc>
        <w:tc>
          <w:tcPr>
            <w:tcW w:w="1851" w:type="pct"/>
          </w:tcPr>
          <w:p w14:paraId="17769D53" w14:textId="77777777" w:rsidR="001C178B" w:rsidRPr="00770627" w:rsidRDefault="00A16799" w:rsidP="00A16799">
            <w:pPr>
              <w:jc w:val="center"/>
              <w:rPr>
                <w:rFonts w:ascii="Verdana" w:hAnsi="Verdana"/>
              </w:rPr>
            </w:pPr>
            <w:r w:rsidRPr="00770627">
              <w:rPr>
                <w:rFonts w:ascii="Verdana" w:hAnsi="Verdana"/>
              </w:rPr>
              <w:t>Also</w:t>
            </w:r>
            <w:r w:rsidR="003F12A2">
              <w:rPr>
                <w:rFonts w:ascii="Verdana" w:hAnsi="Verdana"/>
              </w:rPr>
              <w:t xml:space="preserve"> </w:t>
            </w:r>
            <w:r w:rsidRPr="00770627">
              <w:rPr>
                <w:rFonts w:ascii="Verdana" w:hAnsi="Verdana"/>
              </w:rPr>
              <w:t>known</w:t>
            </w:r>
            <w:r w:rsidR="003F12A2">
              <w:rPr>
                <w:rFonts w:ascii="Verdana" w:hAnsi="Verdana"/>
              </w:rPr>
              <w:t xml:space="preserve"> </w:t>
            </w:r>
            <w:r w:rsidRPr="00770627">
              <w:rPr>
                <w:rFonts w:ascii="Verdana" w:hAnsi="Verdana"/>
              </w:rPr>
              <w:t>as</w:t>
            </w:r>
            <w:r w:rsidR="003F12A2">
              <w:rPr>
                <w:rFonts w:ascii="Verdana" w:hAnsi="Verdana"/>
              </w:rPr>
              <w:t xml:space="preserve"> </w:t>
            </w:r>
            <w:r w:rsidRPr="00770627">
              <w:rPr>
                <w:rFonts w:ascii="Verdana" w:hAnsi="Verdana"/>
              </w:rPr>
              <w:t>the</w:t>
            </w:r>
            <w:r w:rsidR="003F12A2">
              <w:rPr>
                <w:rFonts w:ascii="Verdana" w:hAnsi="Verdana"/>
              </w:rPr>
              <w:t xml:space="preserve"> </w:t>
            </w:r>
            <w:r w:rsidRPr="00770627">
              <w:rPr>
                <w:rFonts w:ascii="Verdana" w:hAnsi="Verdana"/>
              </w:rPr>
              <w:t>Cal-Medi</w:t>
            </w:r>
            <w:r w:rsidR="003F12A2">
              <w:rPr>
                <w:rFonts w:ascii="Verdana" w:hAnsi="Verdana"/>
              </w:rPr>
              <w:t xml:space="preserve"> </w:t>
            </w:r>
            <w:r w:rsidRPr="00770627">
              <w:rPr>
                <w:rFonts w:ascii="Verdana" w:hAnsi="Verdana"/>
              </w:rPr>
              <w:t>Connect</w:t>
            </w:r>
            <w:r w:rsidR="003F12A2">
              <w:rPr>
                <w:rFonts w:ascii="Verdana" w:hAnsi="Verdana"/>
              </w:rPr>
              <w:t xml:space="preserve"> </w:t>
            </w:r>
            <w:r w:rsidRPr="00770627">
              <w:rPr>
                <w:rFonts w:ascii="Verdana" w:hAnsi="Verdana"/>
              </w:rPr>
              <w:t>(CMC)</w:t>
            </w:r>
            <w:r w:rsidR="003F12A2">
              <w:rPr>
                <w:rFonts w:ascii="Verdana" w:hAnsi="Verdana"/>
              </w:rPr>
              <w:t xml:space="preserve"> </w:t>
            </w:r>
            <w:r w:rsidRPr="00770627">
              <w:rPr>
                <w:rFonts w:ascii="Verdana" w:hAnsi="Verdana"/>
              </w:rPr>
              <w:t>plan.</w:t>
            </w:r>
            <w:r w:rsidR="003F12A2">
              <w:rPr>
                <w:rFonts w:ascii="Verdana" w:hAnsi="Verdana"/>
              </w:rPr>
              <w:t xml:space="preserve"> </w:t>
            </w:r>
          </w:p>
        </w:tc>
      </w:tr>
      <w:tr w:rsidR="001C178B" w:rsidRPr="00770627" w14:paraId="41345286" w14:textId="77777777" w:rsidTr="00770627">
        <w:tc>
          <w:tcPr>
            <w:tcW w:w="1250" w:type="pct"/>
          </w:tcPr>
          <w:p w14:paraId="51BEF46C" w14:textId="77777777" w:rsidR="001C178B" w:rsidRPr="00770627" w:rsidRDefault="001C178B" w:rsidP="00A16799">
            <w:pPr>
              <w:jc w:val="center"/>
              <w:rPr>
                <w:rFonts w:ascii="Verdana" w:hAnsi="Verdana"/>
              </w:rPr>
            </w:pPr>
            <w:r w:rsidRPr="00770627">
              <w:rPr>
                <w:rFonts w:ascii="Verdana" w:hAnsi="Verdana"/>
              </w:rPr>
              <w:t>Healthfirst</w:t>
            </w:r>
          </w:p>
          <w:p w14:paraId="25B3C487" w14:textId="77777777" w:rsidR="001C178B" w:rsidRPr="00770627" w:rsidRDefault="001C178B" w:rsidP="00A16799">
            <w:pPr>
              <w:jc w:val="center"/>
              <w:rPr>
                <w:rFonts w:ascii="Verdana" w:hAnsi="Verdana"/>
              </w:rPr>
            </w:pPr>
          </w:p>
        </w:tc>
        <w:tc>
          <w:tcPr>
            <w:tcW w:w="806" w:type="pct"/>
          </w:tcPr>
          <w:p w14:paraId="7C873B18" w14:textId="77777777" w:rsidR="001C178B" w:rsidRPr="00770627" w:rsidRDefault="00A16799" w:rsidP="00A16799">
            <w:pPr>
              <w:jc w:val="center"/>
              <w:rPr>
                <w:rFonts w:ascii="Verdana" w:hAnsi="Verdana"/>
              </w:rPr>
            </w:pPr>
            <w:r w:rsidRPr="00770627">
              <w:rPr>
                <w:rFonts w:ascii="Verdana" w:hAnsi="Verdana"/>
              </w:rPr>
              <w:t>x1110,</w:t>
            </w:r>
            <w:r w:rsidR="003F12A2">
              <w:rPr>
                <w:rFonts w:ascii="Verdana" w:hAnsi="Verdana"/>
              </w:rPr>
              <w:t xml:space="preserve"> </w:t>
            </w:r>
            <w:r w:rsidRPr="00770627">
              <w:rPr>
                <w:rFonts w:ascii="Verdana" w:hAnsi="Verdana"/>
              </w:rPr>
              <w:t>x1117</w:t>
            </w:r>
          </w:p>
        </w:tc>
        <w:tc>
          <w:tcPr>
            <w:tcW w:w="1093" w:type="pct"/>
          </w:tcPr>
          <w:p w14:paraId="6AF2EF91" w14:textId="77777777" w:rsidR="001C178B" w:rsidRPr="00770627" w:rsidRDefault="001C178B" w:rsidP="00A16799">
            <w:pPr>
              <w:jc w:val="center"/>
              <w:rPr>
                <w:rFonts w:ascii="Verdana" w:hAnsi="Verdana"/>
              </w:rPr>
            </w:pPr>
            <w:r w:rsidRPr="00770627">
              <w:rPr>
                <w:rFonts w:ascii="Verdana" w:hAnsi="Verdana"/>
              </w:rPr>
              <w:t>DSNP</w:t>
            </w:r>
          </w:p>
        </w:tc>
        <w:tc>
          <w:tcPr>
            <w:tcW w:w="1851" w:type="pct"/>
          </w:tcPr>
          <w:p w14:paraId="04DD8497" w14:textId="77777777" w:rsidR="001C178B" w:rsidRPr="00770627" w:rsidRDefault="00A16799" w:rsidP="00A16799">
            <w:pPr>
              <w:jc w:val="center"/>
              <w:rPr>
                <w:rFonts w:ascii="Verdana" w:hAnsi="Verdana"/>
              </w:rPr>
            </w:pPr>
            <w:r w:rsidRPr="00770627">
              <w:rPr>
                <w:rFonts w:ascii="Verdana" w:hAnsi="Verdana" w:cs="Helvetica"/>
                <w:color w:val="000000"/>
                <w:shd w:val="clear" w:color="auto" w:fill="FFFFFF"/>
              </w:rPr>
              <w:t>Healthfirst</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Compete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Care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members</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have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Medicare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primary</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coverage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and</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Medicaid</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secondary</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coverage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(x1117).</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These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members</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also</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have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Medicaid</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Fee-for-service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(FFS)</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through</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the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state,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there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are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six</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drugs</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that</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they</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could</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possibly</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receive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coverage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for,</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directly</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from</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the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state,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through</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their</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FFS</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benefit,</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using</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their</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Medicaid</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FFS</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card.</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Please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review</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the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CIF</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for</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drug</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coverage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and</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copays</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on</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members</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in</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this</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plan,</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the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coverage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can</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include</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medications</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not</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covered</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under</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Part</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D</w:t>
            </w:r>
            <w:r w:rsidR="003F12A2">
              <w:rPr>
                <w:rFonts w:ascii="Verdana" w:hAnsi="Verdana" w:cs="Helvetica"/>
                <w:color w:val="000000"/>
                <w:shd w:val="clear" w:color="auto" w:fill="FFFFFF"/>
              </w:rPr>
              <w:t xml:space="preserve"> </w:t>
            </w:r>
            <w:r w:rsidRPr="00770627">
              <w:rPr>
                <w:rFonts w:ascii="Verdana" w:hAnsi="Verdana" w:cs="Helvetica"/>
                <w:color w:val="000000"/>
                <w:shd w:val="clear" w:color="auto" w:fill="FFFFFF"/>
              </w:rPr>
              <w:t>law.</w:t>
            </w:r>
            <w:r w:rsidR="003F12A2">
              <w:rPr>
                <w:rFonts w:ascii="Verdana" w:hAnsi="Verdana" w:cs="Helvetica"/>
                <w:color w:val="000000"/>
                <w:shd w:val="clear" w:color="auto" w:fill="FFFFFF"/>
              </w:rPr>
              <w:t xml:space="preserve"> </w:t>
            </w:r>
          </w:p>
        </w:tc>
      </w:tr>
      <w:tr w:rsidR="00D00DC7" w:rsidRPr="00770627" w14:paraId="54FAE2F9" w14:textId="77777777" w:rsidTr="00770627">
        <w:tc>
          <w:tcPr>
            <w:tcW w:w="1250" w:type="pct"/>
          </w:tcPr>
          <w:p w14:paraId="0F4EA4F7" w14:textId="77777777" w:rsidR="00D00DC7" w:rsidRPr="00770627" w:rsidRDefault="00D00DC7" w:rsidP="00A16799">
            <w:pPr>
              <w:jc w:val="center"/>
              <w:rPr>
                <w:rFonts w:ascii="Verdana" w:hAnsi="Verdana"/>
              </w:rPr>
            </w:pPr>
            <w:r w:rsidRPr="00770627">
              <w:rPr>
                <w:rFonts w:ascii="Verdana" w:hAnsi="Verdana"/>
              </w:rPr>
              <w:t>Molina</w:t>
            </w:r>
          </w:p>
        </w:tc>
        <w:tc>
          <w:tcPr>
            <w:tcW w:w="806" w:type="pct"/>
          </w:tcPr>
          <w:p w14:paraId="571B59BE" w14:textId="77777777" w:rsidR="00D00DC7" w:rsidRPr="00770627" w:rsidRDefault="00D00DC7" w:rsidP="00A16799">
            <w:pPr>
              <w:jc w:val="center"/>
              <w:rPr>
                <w:rFonts w:ascii="Verdana" w:hAnsi="Verdana"/>
              </w:rPr>
            </w:pPr>
            <w:r w:rsidRPr="00770627">
              <w:rPr>
                <w:rFonts w:ascii="Verdana" w:hAnsi="Verdana"/>
              </w:rPr>
              <w:t>X5062,</w:t>
            </w:r>
            <w:r w:rsidR="003F12A2">
              <w:rPr>
                <w:rFonts w:ascii="Verdana" w:hAnsi="Verdana"/>
              </w:rPr>
              <w:t xml:space="preserve"> </w:t>
            </w:r>
            <w:r w:rsidRPr="00770627">
              <w:rPr>
                <w:rFonts w:ascii="Verdana" w:hAnsi="Verdana"/>
              </w:rPr>
              <w:t>x0865,</w:t>
            </w:r>
            <w:r w:rsidR="003F12A2">
              <w:rPr>
                <w:rFonts w:ascii="Verdana" w:hAnsi="Verdana"/>
              </w:rPr>
              <w:t xml:space="preserve"> </w:t>
            </w:r>
            <w:r w:rsidRPr="00770627">
              <w:rPr>
                <w:rFonts w:ascii="Verdana" w:hAnsi="Verdana"/>
              </w:rPr>
              <w:t>x0862,</w:t>
            </w:r>
            <w:r w:rsidR="003F12A2">
              <w:rPr>
                <w:rFonts w:ascii="Verdana" w:hAnsi="Verdana"/>
              </w:rPr>
              <w:t xml:space="preserve"> </w:t>
            </w:r>
            <w:r w:rsidRPr="00770627">
              <w:rPr>
                <w:rFonts w:ascii="Verdana" w:hAnsi="Verdana"/>
              </w:rPr>
              <w:t>x5008,</w:t>
            </w:r>
            <w:r w:rsidR="003F12A2">
              <w:rPr>
                <w:rFonts w:ascii="Verdana" w:hAnsi="Verdana"/>
              </w:rPr>
              <w:t xml:space="preserve"> </w:t>
            </w:r>
            <w:r w:rsidRPr="00770627">
              <w:rPr>
                <w:rFonts w:ascii="Verdana" w:hAnsi="Verdana"/>
              </w:rPr>
              <w:t>x5058,</w:t>
            </w:r>
            <w:r w:rsidR="003F12A2">
              <w:rPr>
                <w:rFonts w:ascii="Verdana" w:hAnsi="Verdana"/>
              </w:rPr>
              <w:t xml:space="preserve"> </w:t>
            </w:r>
            <w:r w:rsidRPr="00770627">
              <w:rPr>
                <w:rFonts w:ascii="Verdana" w:hAnsi="Verdana"/>
              </w:rPr>
              <w:t>x0864,</w:t>
            </w:r>
            <w:r w:rsidR="003F12A2">
              <w:rPr>
                <w:rFonts w:ascii="Verdana" w:hAnsi="Verdana"/>
              </w:rPr>
              <w:t xml:space="preserve"> </w:t>
            </w:r>
            <w:r w:rsidRPr="00770627">
              <w:rPr>
                <w:rFonts w:ascii="Verdana" w:hAnsi="Verdana"/>
              </w:rPr>
              <w:t>x5009,</w:t>
            </w:r>
            <w:r w:rsidR="003F12A2">
              <w:rPr>
                <w:rFonts w:ascii="Verdana" w:hAnsi="Verdana"/>
              </w:rPr>
              <w:t xml:space="preserve"> </w:t>
            </w:r>
            <w:r w:rsidRPr="00770627">
              <w:rPr>
                <w:rFonts w:ascii="Verdana" w:hAnsi="Verdana"/>
              </w:rPr>
              <w:t>x0863,</w:t>
            </w:r>
            <w:r w:rsidR="003F12A2">
              <w:rPr>
                <w:rFonts w:ascii="Verdana" w:hAnsi="Verdana"/>
              </w:rPr>
              <w:t xml:space="preserve"> </w:t>
            </w:r>
            <w:r w:rsidRPr="00770627">
              <w:rPr>
                <w:rFonts w:ascii="Verdana" w:hAnsi="Verdana"/>
              </w:rPr>
              <w:t>x5060,</w:t>
            </w:r>
            <w:r w:rsidR="003F12A2">
              <w:rPr>
                <w:rFonts w:ascii="Verdana" w:hAnsi="Verdana"/>
              </w:rPr>
              <w:t xml:space="preserve"> </w:t>
            </w:r>
            <w:r w:rsidRPr="00770627">
              <w:rPr>
                <w:rFonts w:ascii="Verdana" w:hAnsi="Verdana"/>
              </w:rPr>
              <w:t>x0866,</w:t>
            </w:r>
            <w:r w:rsidR="003F12A2">
              <w:rPr>
                <w:rFonts w:ascii="Verdana" w:hAnsi="Verdana"/>
              </w:rPr>
              <w:t xml:space="preserve"> </w:t>
            </w:r>
            <w:r w:rsidRPr="00770627">
              <w:rPr>
                <w:rFonts w:ascii="Verdana" w:hAnsi="Verdana"/>
              </w:rPr>
              <w:t>x5005,</w:t>
            </w:r>
            <w:r w:rsidR="003F12A2">
              <w:rPr>
                <w:rFonts w:ascii="Verdana" w:hAnsi="Verdana"/>
              </w:rPr>
              <w:t xml:space="preserve"> </w:t>
            </w:r>
            <w:r w:rsidRPr="00770627">
              <w:rPr>
                <w:rFonts w:ascii="Verdana" w:hAnsi="Verdana"/>
              </w:rPr>
              <w:t>x0861</w:t>
            </w:r>
          </w:p>
        </w:tc>
        <w:tc>
          <w:tcPr>
            <w:tcW w:w="1093" w:type="pct"/>
          </w:tcPr>
          <w:p w14:paraId="4F4EA8D6" w14:textId="77777777" w:rsidR="00D00DC7" w:rsidRPr="00770627" w:rsidRDefault="00D00DC7" w:rsidP="00A16799">
            <w:pPr>
              <w:jc w:val="center"/>
              <w:rPr>
                <w:rFonts w:ascii="Verdana" w:hAnsi="Verdana"/>
              </w:rPr>
            </w:pPr>
            <w:r w:rsidRPr="00770627">
              <w:rPr>
                <w:rFonts w:ascii="Verdana" w:hAnsi="Verdana"/>
              </w:rPr>
              <w:t>Dual</w:t>
            </w:r>
            <w:r w:rsidR="003F12A2">
              <w:rPr>
                <w:rFonts w:ascii="Verdana" w:hAnsi="Verdana"/>
              </w:rPr>
              <w:t xml:space="preserve"> </w:t>
            </w:r>
            <w:r w:rsidRPr="00770627">
              <w:rPr>
                <w:rFonts w:ascii="Verdana" w:hAnsi="Verdana"/>
              </w:rPr>
              <w:t>Demo</w:t>
            </w:r>
          </w:p>
        </w:tc>
        <w:tc>
          <w:tcPr>
            <w:tcW w:w="1851" w:type="pct"/>
          </w:tcPr>
          <w:p w14:paraId="17AFF947" w14:textId="77777777" w:rsidR="00D00DC7" w:rsidRPr="00770627" w:rsidRDefault="00D00DC7" w:rsidP="00A16799">
            <w:pPr>
              <w:jc w:val="center"/>
              <w:rPr>
                <w:rFonts w:ascii="Verdana" w:hAnsi="Verdana" w:cs="Helvetica"/>
                <w:color w:val="000000"/>
                <w:shd w:val="clear" w:color="auto" w:fill="FFFFFF"/>
              </w:rPr>
            </w:pPr>
            <w:r w:rsidRPr="00770627">
              <w:rPr>
                <w:rFonts w:ascii="Verdana" w:hAnsi="Verdana"/>
              </w:rPr>
              <w:t>Plan</w:t>
            </w:r>
            <w:r w:rsidR="003F12A2">
              <w:rPr>
                <w:rFonts w:ascii="Verdana" w:hAnsi="Verdana"/>
              </w:rPr>
              <w:t xml:space="preserve"> </w:t>
            </w:r>
            <w:r w:rsidRPr="00770627">
              <w:rPr>
                <w:rFonts w:ascii="Verdana" w:hAnsi="Verdana"/>
              </w:rPr>
              <w:t>utilizes</w:t>
            </w:r>
            <w:r w:rsidR="003F12A2">
              <w:rPr>
                <w:rFonts w:ascii="Verdana" w:hAnsi="Verdana"/>
              </w:rPr>
              <w:t xml:space="preserve"> </w:t>
            </w:r>
            <w:r w:rsidRPr="00770627">
              <w:rPr>
                <w:rFonts w:ascii="Verdana" w:hAnsi="Verdana"/>
              </w:rPr>
              <w:t>a</w:t>
            </w:r>
            <w:r w:rsidR="003F12A2">
              <w:rPr>
                <w:rFonts w:ascii="Verdana" w:hAnsi="Verdana"/>
              </w:rPr>
              <w:t xml:space="preserve"> </w:t>
            </w:r>
            <w:r w:rsidRPr="00770627">
              <w:rPr>
                <w:rFonts w:ascii="Verdana" w:hAnsi="Verdana"/>
              </w:rPr>
              <w:t>single</w:t>
            </w:r>
            <w:r w:rsidR="003F12A2">
              <w:rPr>
                <w:rFonts w:ascii="Verdana" w:hAnsi="Verdana"/>
              </w:rPr>
              <w:t xml:space="preserve"> </w:t>
            </w:r>
            <w:r w:rsidRPr="00770627">
              <w:rPr>
                <w:rFonts w:ascii="Verdana" w:hAnsi="Verdana"/>
              </w:rPr>
              <w:t>transaction</w:t>
            </w:r>
            <w:r w:rsidR="003F12A2">
              <w:rPr>
                <w:rFonts w:ascii="Verdana" w:hAnsi="Verdana"/>
              </w:rPr>
              <w:t xml:space="preserve"> </w:t>
            </w:r>
            <w:r w:rsidRPr="00770627">
              <w:rPr>
                <w:rFonts w:ascii="Verdana" w:hAnsi="Verdana"/>
              </w:rPr>
              <w:t>COB</w:t>
            </w:r>
            <w:r w:rsidR="003F12A2">
              <w:rPr>
                <w:rFonts w:ascii="Verdana" w:hAnsi="Verdana"/>
              </w:rPr>
              <w:t xml:space="preserve"> </w:t>
            </w:r>
            <w:r w:rsidRPr="00770627">
              <w:rPr>
                <w:rFonts w:ascii="Verdana" w:hAnsi="Verdana"/>
              </w:rPr>
              <w:t>process.</w:t>
            </w:r>
            <w:r w:rsidR="003F12A2">
              <w:rPr>
                <w:rFonts w:ascii="Verdana" w:hAnsi="Verdana"/>
              </w:rPr>
              <w:t xml:space="preserve"> </w:t>
            </w:r>
            <w:r w:rsidRPr="00770627">
              <w:rPr>
                <w:rFonts w:ascii="Verdana" w:hAnsi="Verdana"/>
              </w:rPr>
              <w:t>For</w:t>
            </w:r>
            <w:r w:rsidR="003F12A2">
              <w:rPr>
                <w:rFonts w:ascii="Verdana" w:hAnsi="Verdana"/>
              </w:rPr>
              <w:t xml:space="preserve"> </w:t>
            </w:r>
            <w:r w:rsidRPr="00770627">
              <w:rPr>
                <w:rFonts w:ascii="Verdana" w:hAnsi="Verdana"/>
              </w:rPr>
              <w:t>drugs</w:t>
            </w:r>
            <w:r w:rsidR="003F12A2">
              <w:rPr>
                <w:rFonts w:ascii="Verdana" w:hAnsi="Verdana"/>
              </w:rPr>
              <w:t xml:space="preserve"> </w:t>
            </w:r>
            <w:r w:rsidRPr="00770627">
              <w:rPr>
                <w:rFonts w:ascii="Verdana" w:hAnsi="Verdana"/>
              </w:rPr>
              <w:t>not</w:t>
            </w:r>
            <w:r w:rsidR="003F12A2">
              <w:rPr>
                <w:rFonts w:ascii="Verdana" w:hAnsi="Verdana"/>
              </w:rPr>
              <w:t xml:space="preserve"> </w:t>
            </w:r>
            <w:r w:rsidRPr="00770627">
              <w:rPr>
                <w:rFonts w:ascii="Verdana" w:hAnsi="Verdana"/>
              </w:rPr>
              <w:t>covered</w:t>
            </w:r>
            <w:r w:rsidR="003F12A2">
              <w:rPr>
                <w:rFonts w:ascii="Verdana" w:hAnsi="Verdana"/>
              </w:rPr>
              <w:t xml:space="preserve"> </w:t>
            </w:r>
            <w:r w:rsidRPr="00770627">
              <w:rPr>
                <w:rFonts w:ascii="Verdana" w:hAnsi="Verdana"/>
              </w:rPr>
              <w:t>under</w:t>
            </w:r>
            <w:r w:rsidR="003F12A2">
              <w:rPr>
                <w:rFonts w:ascii="Verdana" w:hAnsi="Verdana"/>
              </w:rPr>
              <w:t xml:space="preserve"> </w:t>
            </w:r>
            <w:r w:rsidRPr="00770627">
              <w:rPr>
                <w:rFonts w:ascii="Verdana" w:hAnsi="Verdana"/>
              </w:rPr>
              <w:t>Med</w:t>
            </w:r>
            <w:r w:rsidR="003F12A2">
              <w:rPr>
                <w:rFonts w:ascii="Verdana" w:hAnsi="Verdana"/>
              </w:rPr>
              <w:t xml:space="preserve"> </w:t>
            </w:r>
            <w:r w:rsidRPr="00770627">
              <w:rPr>
                <w:rFonts w:ascii="Verdana" w:hAnsi="Verdana"/>
              </w:rPr>
              <w:t>D,</w:t>
            </w:r>
            <w:r w:rsidR="003F12A2">
              <w:rPr>
                <w:rFonts w:ascii="Verdana" w:hAnsi="Verdana"/>
              </w:rPr>
              <w:t xml:space="preserve"> </w:t>
            </w:r>
            <w:r w:rsidRPr="00770627">
              <w:rPr>
                <w:rFonts w:ascii="Verdana" w:hAnsi="Verdana"/>
              </w:rPr>
              <w:t>the</w:t>
            </w:r>
            <w:r w:rsidR="003F12A2">
              <w:rPr>
                <w:rFonts w:ascii="Verdana" w:hAnsi="Verdana"/>
              </w:rPr>
              <w:t xml:space="preserve"> </w:t>
            </w:r>
            <w:r w:rsidRPr="00770627">
              <w:rPr>
                <w:rFonts w:ascii="Verdana" w:hAnsi="Verdana"/>
              </w:rPr>
              <w:t>claim</w:t>
            </w:r>
            <w:r w:rsidR="003F12A2">
              <w:rPr>
                <w:rFonts w:ascii="Verdana" w:hAnsi="Verdana"/>
              </w:rPr>
              <w:t xml:space="preserve"> </w:t>
            </w:r>
            <w:r w:rsidRPr="00770627">
              <w:rPr>
                <w:rFonts w:ascii="Verdana" w:hAnsi="Verdana"/>
              </w:rPr>
              <w:t>attempts</w:t>
            </w:r>
            <w:r w:rsidR="003F12A2">
              <w:rPr>
                <w:rFonts w:ascii="Verdana" w:hAnsi="Verdana"/>
              </w:rPr>
              <w:t xml:space="preserve"> </w:t>
            </w:r>
            <w:r w:rsidRPr="00770627">
              <w:rPr>
                <w:rFonts w:ascii="Verdana" w:hAnsi="Verdana"/>
              </w:rPr>
              <w:t>to</w:t>
            </w:r>
            <w:r w:rsidR="003F12A2">
              <w:rPr>
                <w:rFonts w:ascii="Verdana" w:hAnsi="Verdana"/>
              </w:rPr>
              <w:t xml:space="preserve"> </w:t>
            </w:r>
            <w:r w:rsidRPr="00770627">
              <w:rPr>
                <w:rFonts w:ascii="Verdana" w:hAnsi="Verdana"/>
              </w:rPr>
              <w:t>adjudicate</w:t>
            </w:r>
            <w:r w:rsidR="003F12A2">
              <w:rPr>
                <w:rFonts w:ascii="Verdana" w:hAnsi="Verdana"/>
              </w:rPr>
              <w:t xml:space="preserve"> </w:t>
            </w:r>
            <w:r w:rsidRPr="00770627">
              <w:rPr>
                <w:rFonts w:ascii="Verdana" w:hAnsi="Verdana"/>
              </w:rPr>
              <w:t>“automatically”</w:t>
            </w:r>
            <w:r w:rsidR="003F12A2">
              <w:rPr>
                <w:rFonts w:ascii="Verdana" w:hAnsi="Verdana"/>
              </w:rPr>
              <w:t xml:space="preserve"> </w:t>
            </w:r>
            <w:r w:rsidRPr="00770627">
              <w:rPr>
                <w:rFonts w:ascii="Verdana" w:hAnsi="Verdana"/>
              </w:rPr>
              <w:t>to</w:t>
            </w:r>
            <w:r w:rsidR="003F12A2">
              <w:rPr>
                <w:rFonts w:ascii="Verdana" w:hAnsi="Verdana"/>
              </w:rPr>
              <w:t xml:space="preserve"> </w:t>
            </w:r>
            <w:r w:rsidRPr="00770627">
              <w:rPr>
                <w:rFonts w:ascii="Verdana" w:hAnsi="Verdana"/>
              </w:rPr>
              <w:t>the</w:t>
            </w:r>
            <w:r w:rsidR="003F12A2">
              <w:rPr>
                <w:rFonts w:ascii="Verdana" w:hAnsi="Verdana"/>
              </w:rPr>
              <w:t xml:space="preserve"> </w:t>
            </w:r>
            <w:r w:rsidRPr="00770627">
              <w:rPr>
                <w:rFonts w:ascii="Verdana" w:hAnsi="Verdana"/>
              </w:rPr>
              <w:t>Medicaid</w:t>
            </w:r>
            <w:r w:rsidR="003F12A2">
              <w:rPr>
                <w:rFonts w:ascii="Verdana" w:hAnsi="Verdana"/>
              </w:rPr>
              <w:t xml:space="preserve"> </w:t>
            </w:r>
            <w:r w:rsidRPr="00770627">
              <w:rPr>
                <w:rFonts w:ascii="Verdana" w:hAnsi="Verdana"/>
              </w:rPr>
              <w:t>carrier.</w:t>
            </w:r>
          </w:p>
        </w:tc>
      </w:tr>
    </w:tbl>
    <w:p w14:paraId="37E23D8E" w14:textId="77777777" w:rsidR="00770627" w:rsidRDefault="00770627" w:rsidP="00770627">
      <w:pPr>
        <w:jc w:val="right"/>
      </w:pPr>
    </w:p>
    <w:bookmarkStart w:id="17" w:name="_Log_Activity"/>
    <w:bookmarkEnd w:id="17"/>
    <w:p w14:paraId="302C9FDC" w14:textId="77777777" w:rsidR="00770627" w:rsidRPr="00CD7A4C" w:rsidRDefault="00000000" w:rsidP="00770627">
      <w:pPr>
        <w:jc w:val="right"/>
        <w:rPr>
          <w:rFonts w:ascii="Verdana" w:hAnsi="Verdana"/>
        </w:rPr>
      </w:pPr>
      <w:r>
        <w:fldChar w:fldCharType="begin"/>
      </w:r>
      <w:r>
        <w:instrText xml:space="preserve"> HYPERLINK \l "_top" </w:instrText>
      </w:r>
      <w:r>
        <w:fldChar w:fldCharType="separate"/>
      </w:r>
      <w:r w:rsidR="00770627" w:rsidRPr="00343C40">
        <w:rPr>
          <w:rStyle w:val="Hyperlink"/>
          <w:rFonts w:ascii="Verdana" w:hAnsi="Verdana"/>
        </w:rPr>
        <w:t>Top</w:t>
      </w:r>
      <w:r w:rsidR="003F12A2">
        <w:rPr>
          <w:rStyle w:val="Hyperlink"/>
          <w:rFonts w:ascii="Verdana" w:hAnsi="Verdana"/>
        </w:rPr>
        <w:t xml:space="preserve"> </w:t>
      </w:r>
      <w:r w:rsidR="00770627" w:rsidRPr="00343C40">
        <w:rPr>
          <w:rStyle w:val="Hyperlink"/>
          <w:rFonts w:ascii="Verdana" w:hAnsi="Verdana"/>
        </w:rPr>
        <w:t>of</w:t>
      </w:r>
      <w:r w:rsidR="003F12A2">
        <w:rPr>
          <w:rStyle w:val="Hyperlink"/>
          <w:rFonts w:ascii="Verdana" w:hAnsi="Verdana"/>
        </w:rPr>
        <w:t xml:space="preserve"> </w:t>
      </w:r>
      <w:r w:rsidR="00770627" w:rsidRPr="00343C40">
        <w:rPr>
          <w:rStyle w:val="Hyperlink"/>
          <w:rFonts w:ascii="Verdana" w:hAnsi="Verdana"/>
        </w:rPr>
        <w:t>the</w:t>
      </w:r>
      <w:r w:rsidR="003F12A2">
        <w:rPr>
          <w:rStyle w:val="Hyperlink"/>
          <w:rFonts w:ascii="Verdana" w:hAnsi="Verdana"/>
        </w:rPr>
        <w:t xml:space="preserve"> </w:t>
      </w:r>
      <w:r w:rsidR="00770627" w:rsidRPr="00343C40">
        <w:rPr>
          <w:rStyle w:val="Hyperlink"/>
          <w:rFonts w:ascii="Verdana" w:hAnsi="Verdana"/>
        </w:rPr>
        <w:t>Document</w:t>
      </w:r>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F1FD0" w:rsidRPr="00BF74E9" w14:paraId="2DC50890" w14:textId="77777777" w:rsidTr="00EE4ABB">
        <w:tc>
          <w:tcPr>
            <w:tcW w:w="5000" w:type="pct"/>
            <w:shd w:val="clear" w:color="auto" w:fill="C0C0C0"/>
          </w:tcPr>
          <w:p w14:paraId="3AFD9835" w14:textId="77777777" w:rsidR="002F1FD0" w:rsidRPr="00586CD9" w:rsidRDefault="002F1FD0" w:rsidP="00EE4ABB">
            <w:pPr>
              <w:pStyle w:val="Heading2"/>
              <w:rPr>
                <w:rFonts w:ascii="Verdana" w:hAnsi="Verdana"/>
                <w:i w:val="0"/>
              </w:rPr>
            </w:pPr>
            <w:bookmarkStart w:id="18" w:name="_Toc157421736"/>
            <w:r w:rsidRPr="00586CD9">
              <w:rPr>
                <w:rFonts w:ascii="Verdana" w:hAnsi="Verdana"/>
                <w:i w:val="0"/>
              </w:rPr>
              <w:t>Resolution</w:t>
            </w:r>
            <w:r w:rsidR="003F12A2">
              <w:rPr>
                <w:rFonts w:ascii="Verdana" w:hAnsi="Verdana"/>
                <w:i w:val="0"/>
              </w:rPr>
              <w:t xml:space="preserve"> </w:t>
            </w:r>
            <w:r w:rsidRPr="00586CD9">
              <w:rPr>
                <w:rFonts w:ascii="Verdana" w:hAnsi="Verdana"/>
                <w:i w:val="0"/>
              </w:rPr>
              <w:t>Time</w:t>
            </w:r>
            <w:bookmarkEnd w:id="18"/>
          </w:p>
        </w:tc>
      </w:tr>
    </w:tbl>
    <w:p w14:paraId="7AE657F2" w14:textId="77777777" w:rsidR="002F1FD0" w:rsidRDefault="002F1FD0" w:rsidP="002F1FD0">
      <w:pPr>
        <w:rPr>
          <w:rFonts w:ascii="Verdana" w:hAnsi="Verdana"/>
        </w:rPr>
      </w:pPr>
      <w:r w:rsidRPr="00CD7A4C">
        <w:rPr>
          <w:rFonts w:ascii="Verdana" w:hAnsi="Verdana"/>
        </w:rPr>
        <w:t>Information</w:t>
      </w:r>
      <w:r w:rsidR="003F12A2">
        <w:rPr>
          <w:rFonts w:ascii="Verdana" w:hAnsi="Verdana"/>
        </w:rPr>
        <w:t xml:space="preserve"> </w:t>
      </w:r>
      <w:r w:rsidRPr="00CD7A4C">
        <w:rPr>
          <w:rFonts w:ascii="Verdana" w:hAnsi="Verdana"/>
        </w:rPr>
        <w:t>=</w:t>
      </w:r>
      <w:r w:rsidR="003F12A2">
        <w:rPr>
          <w:rFonts w:ascii="Verdana" w:hAnsi="Verdana"/>
        </w:rPr>
        <w:t xml:space="preserve"> </w:t>
      </w:r>
      <w:r>
        <w:rPr>
          <w:rFonts w:ascii="Verdana" w:hAnsi="Verdana"/>
        </w:rPr>
        <w:t>I</w:t>
      </w:r>
      <w:r w:rsidRPr="00CD7A4C">
        <w:rPr>
          <w:rFonts w:ascii="Verdana" w:hAnsi="Verdana"/>
        </w:rPr>
        <w:t>mmediate</w:t>
      </w:r>
    </w:p>
    <w:p w14:paraId="71C8E4BC" w14:textId="77777777" w:rsidR="002F1FD0" w:rsidRDefault="002F1FD0" w:rsidP="002F1FD0">
      <w:pPr>
        <w:tabs>
          <w:tab w:val="left" w:pos="4725"/>
        </w:tabs>
        <w:jc w:val="right"/>
        <w:rPr>
          <w:rStyle w:val="Hyperlink"/>
          <w:rFonts w:ascii="Verdana" w:hAnsi="Verdana"/>
        </w:rPr>
      </w:pPr>
    </w:p>
    <w:p w14:paraId="42FBEA05" w14:textId="77777777" w:rsidR="00770627" w:rsidRPr="00CD7A4C" w:rsidRDefault="00000000" w:rsidP="00770627">
      <w:pPr>
        <w:jc w:val="right"/>
        <w:rPr>
          <w:rFonts w:ascii="Verdana" w:hAnsi="Verdana"/>
        </w:rPr>
      </w:pPr>
      <w:hyperlink w:anchor="_top" w:history="1">
        <w:r w:rsidR="00770627" w:rsidRPr="00343C40">
          <w:rPr>
            <w:rStyle w:val="Hyperlink"/>
            <w:rFonts w:ascii="Verdana" w:hAnsi="Verdana"/>
          </w:rPr>
          <w:t>Top</w:t>
        </w:r>
        <w:r w:rsidR="003F12A2">
          <w:rPr>
            <w:rStyle w:val="Hyperlink"/>
            <w:rFonts w:ascii="Verdana" w:hAnsi="Verdana"/>
          </w:rPr>
          <w:t xml:space="preserve"> </w:t>
        </w:r>
        <w:r w:rsidR="00770627" w:rsidRPr="00343C40">
          <w:rPr>
            <w:rStyle w:val="Hyperlink"/>
            <w:rFonts w:ascii="Verdana" w:hAnsi="Verdana"/>
          </w:rPr>
          <w:t>of</w:t>
        </w:r>
        <w:r w:rsidR="003F12A2">
          <w:rPr>
            <w:rStyle w:val="Hyperlink"/>
            <w:rFonts w:ascii="Verdana" w:hAnsi="Verdana"/>
          </w:rPr>
          <w:t xml:space="preserve"> </w:t>
        </w:r>
        <w:r w:rsidR="00770627" w:rsidRPr="00343C40">
          <w:rPr>
            <w:rStyle w:val="Hyperlink"/>
            <w:rFonts w:ascii="Verdana" w:hAnsi="Verdana"/>
          </w:rPr>
          <w:t>the</w:t>
        </w:r>
        <w:r w:rsidR="003F12A2">
          <w:rPr>
            <w:rStyle w:val="Hyperlink"/>
            <w:rFonts w:ascii="Verdana" w:hAnsi="Verdana"/>
          </w:rPr>
          <w:t xml:space="preserve"> </w:t>
        </w:r>
        <w:r w:rsidR="00770627" w:rsidRPr="00343C40">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3052C" w:rsidRPr="0064267B" w14:paraId="1F0E3A0C" w14:textId="77777777" w:rsidTr="00B50EE0">
        <w:tc>
          <w:tcPr>
            <w:tcW w:w="5000" w:type="pct"/>
            <w:shd w:val="clear" w:color="auto" w:fill="C0C0C0"/>
          </w:tcPr>
          <w:p w14:paraId="554DA70B" w14:textId="77777777" w:rsidR="0083052C" w:rsidRPr="0064267B" w:rsidRDefault="0083052C" w:rsidP="00B50EE0">
            <w:pPr>
              <w:pStyle w:val="Heading2"/>
              <w:rPr>
                <w:rFonts w:ascii="Verdana" w:hAnsi="Verdana"/>
                <w:i w:val="0"/>
                <w:iCs w:val="0"/>
              </w:rPr>
            </w:pPr>
            <w:bookmarkStart w:id="19" w:name="_Toc525825645"/>
            <w:bookmarkStart w:id="20" w:name="_Toc157421737"/>
            <w:r>
              <w:rPr>
                <w:rFonts w:ascii="Verdana" w:hAnsi="Verdana"/>
                <w:i w:val="0"/>
                <w:iCs w:val="0"/>
              </w:rPr>
              <w:t>Related</w:t>
            </w:r>
            <w:r w:rsidR="003F12A2">
              <w:rPr>
                <w:rFonts w:ascii="Verdana" w:hAnsi="Verdana"/>
                <w:i w:val="0"/>
                <w:iCs w:val="0"/>
              </w:rPr>
              <w:t xml:space="preserve"> </w:t>
            </w:r>
            <w:r>
              <w:rPr>
                <w:rFonts w:ascii="Verdana" w:hAnsi="Verdana"/>
                <w:i w:val="0"/>
                <w:iCs w:val="0"/>
              </w:rPr>
              <w:t>Documents</w:t>
            </w:r>
            <w:bookmarkEnd w:id="19"/>
            <w:bookmarkEnd w:id="20"/>
          </w:p>
        </w:tc>
      </w:tr>
    </w:tbl>
    <w:p w14:paraId="7FD5AB28" w14:textId="59F68DD5" w:rsidR="002F1FD0" w:rsidRDefault="002F1FD0" w:rsidP="002F1FD0">
      <w:pPr>
        <w:rPr>
          <w:rFonts w:ascii="Verdana" w:hAnsi="Verdana"/>
        </w:rPr>
      </w:pPr>
      <w:r>
        <w:rPr>
          <w:rFonts w:ascii="Verdana" w:hAnsi="Verdana"/>
          <w:b/>
        </w:rPr>
        <w:t>Abbreviations/Definitions:</w:t>
      </w:r>
      <w:r w:rsidR="003F12A2">
        <w:rPr>
          <w:rFonts w:ascii="Verdana" w:hAnsi="Verdana"/>
          <w:b/>
        </w:rPr>
        <w:t xml:space="preserve">  </w:t>
      </w:r>
      <w:hyperlink r:id="rId19" w:history="1">
        <w:r>
          <w:rPr>
            <w:rStyle w:val="Hyperlink"/>
            <w:rFonts w:ascii="Verdana" w:hAnsi="Verdana"/>
          </w:rPr>
          <w:t>Abbreviations</w:t>
        </w:r>
        <w:r w:rsidR="003F12A2">
          <w:rPr>
            <w:rStyle w:val="Hyperlink"/>
            <w:rFonts w:ascii="Verdana" w:hAnsi="Verdana"/>
          </w:rPr>
          <w:t xml:space="preserve"> </w:t>
        </w:r>
        <w:r>
          <w:rPr>
            <w:rStyle w:val="Hyperlink"/>
            <w:rFonts w:ascii="Verdana" w:hAnsi="Verdana"/>
          </w:rPr>
          <w:t>/</w:t>
        </w:r>
        <w:r w:rsidR="003F12A2">
          <w:rPr>
            <w:rStyle w:val="Hyperlink"/>
            <w:rFonts w:ascii="Verdana" w:hAnsi="Verdana"/>
          </w:rPr>
          <w:t xml:space="preserve"> </w:t>
        </w:r>
        <w:r>
          <w:rPr>
            <w:rStyle w:val="Hyperlink"/>
            <w:rFonts w:ascii="Verdana" w:hAnsi="Verdana"/>
          </w:rPr>
          <w:t>Definitions</w:t>
        </w:r>
      </w:hyperlink>
    </w:p>
    <w:p w14:paraId="431424B4" w14:textId="77777777" w:rsidR="0083052C" w:rsidRDefault="0083052C" w:rsidP="0083052C"/>
    <w:p w14:paraId="456C2951" w14:textId="77777777" w:rsidR="00806D92" w:rsidRPr="00C247CB" w:rsidRDefault="00806D92" w:rsidP="0015397A">
      <w:pPr>
        <w:jc w:val="center"/>
        <w:rPr>
          <w:rFonts w:ascii="Verdana" w:hAnsi="Verdana"/>
          <w:sz w:val="16"/>
          <w:szCs w:val="16"/>
        </w:rPr>
      </w:pPr>
      <w:r w:rsidRPr="00C247CB">
        <w:rPr>
          <w:rFonts w:ascii="Verdana" w:hAnsi="Verdana"/>
          <w:sz w:val="16"/>
          <w:szCs w:val="16"/>
        </w:rPr>
        <w:t>Not</w:t>
      </w:r>
      <w:r w:rsidR="003F12A2">
        <w:rPr>
          <w:rFonts w:ascii="Verdana" w:hAnsi="Verdana"/>
          <w:sz w:val="16"/>
          <w:szCs w:val="16"/>
        </w:rPr>
        <w:t xml:space="preserve"> </w:t>
      </w:r>
      <w:r w:rsidR="00273EFD" w:rsidRPr="00C247CB">
        <w:rPr>
          <w:rFonts w:ascii="Verdana" w:hAnsi="Verdana"/>
          <w:sz w:val="16"/>
          <w:szCs w:val="16"/>
        </w:rPr>
        <w:t>to</w:t>
      </w:r>
      <w:r w:rsidR="003F12A2">
        <w:rPr>
          <w:rFonts w:ascii="Verdana" w:hAnsi="Verdana"/>
          <w:sz w:val="16"/>
          <w:szCs w:val="16"/>
        </w:rPr>
        <w:t xml:space="preserve"> </w:t>
      </w:r>
      <w:r w:rsidRPr="00C247CB">
        <w:rPr>
          <w:rFonts w:ascii="Verdana" w:hAnsi="Verdana"/>
          <w:sz w:val="16"/>
          <w:szCs w:val="16"/>
        </w:rPr>
        <w:t>Be</w:t>
      </w:r>
      <w:r w:rsidR="003F12A2">
        <w:rPr>
          <w:rFonts w:ascii="Verdana" w:hAnsi="Verdana"/>
          <w:sz w:val="16"/>
          <w:szCs w:val="16"/>
        </w:rPr>
        <w:t xml:space="preserve"> </w:t>
      </w:r>
      <w:r w:rsidRPr="00C247CB">
        <w:rPr>
          <w:rFonts w:ascii="Verdana" w:hAnsi="Verdana"/>
          <w:sz w:val="16"/>
          <w:szCs w:val="16"/>
        </w:rPr>
        <w:t>Reproduced</w:t>
      </w:r>
      <w:r w:rsidR="003F12A2">
        <w:rPr>
          <w:rFonts w:ascii="Verdana" w:hAnsi="Verdana"/>
          <w:sz w:val="16"/>
          <w:szCs w:val="16"/>
        </w:rPr>
        <w:t xml:space="preserve"> </w:t>
      </w:r>
      <w:r w:rsidR="00273EFD" w:rsidRPr="00C247CB">
        <w:rPr>
          <w:rFonts w:ascii="Verdana" w:hAnsi="Verdana"/>
          <w:sz w:val="16"/>
          <w:szCs w:val="16"/>
        </w:rPr>
        <w:t>or</w:t>
      </w:r>
      <w:r w:rsidR="003F12A2">
        <w:rPr>
          <w:rFonts w:ascii="Verdana" w:hAnsi="Verdana"/>
          <w:sz w:val="16"/>
          <w:szCs w:val="16"/>
        </w:rPr>
        <w:t xml:space="preserve"> </w:t>
      </w:r>
      <w:r w:rsidRPr="00C247CB">
        <w:rPr>
          <w:rFonts w:ascii="Verdana" w:hAnsi="Verdana"/>
          <w:sz w:val="16"/>
          <w:szCs w:val="16"/>
        </w:rPr>
        <w:t>Disclosed</w:t>
      </w:r>
      <w:r w:rsidR="003F12A2">
        <w:rPr>
          <w:rFonts w:ascii="Verdana" w:hAnsi="Verdana"/>
          <w:sz w:val="16"/>
          <w:szCs w:val="16"/>
        </w:rPr>
        <w:t xml:space="preserve"> </w:t>
      </w:r>
      <w:r w:rsidRPr="00C247CB">
        <w:rPr>
          <w:rFonts w:ascii="Verdana" w:hAnsi="Verdana"/>
          <w:sz w:val="16"/>
          <w:szCs w:val="16"/>
        </w:rPr>
        <w:t>to</w:t>
      </w:r>
      <w:r w:rsidR="003F12A2">
        <w:rPr>
          <w:rFonts w:ascii="Verdana" w:hAnsi="Verdana"/>
          <w:sz w:val="16"/>
          <w:szCs w:val="16"/>
        </w:rPr>
        <w:t xml:space="preserve"> </w:t>
      </w:r>
      <w:r w:rsidRPr="00C247CB">
        <w:rPr>
          <w:rFonts w:ascii="Verdana" w:hAnsi="Verdana"/>
          <w:sz w:val="16"/>
          <w:szCs w:val="16"/>
        </w:rPr>
        <w:t>Others</w:t>
      </w:r>
      <w:r w:rsidR="003F12A2">
        <w:rPr>
          <w:rFonts w:ascii="Verdana" w:hAnsi="Verdana"/>
          <w:sz w:val="16"/>
          <w:szCs w:val="16"/>
        </w:rPr>
        <w:t xml:space="preserve"> </w:t>
      </w:r>
      <w:r w:rsidR="00273EFD" w:rsidRPr="00C247CB">
        <w:rPr>
          <w:rFonts w:ascii="Verdana" w:hAnsi="Verdana"/>
          <w:sz w:val="16"/>
          <w:szCs w:val="16"/>
        </w:rPr>
        <w:t>without</w:t>
      </w:r>
      <w:r w:rsidR="003F12A2">
        <w:rPr>
          <w:rFonts w:ascii="Verdana" w:hAnsi="Verdana"/>
          <w:sz w:val="16"/>
          <w:szCs w:val="16"/>
        </w:rPr>
        <w:t xml:space="preserve"> </w:t>
      </w:r>
      <w:r w:rsidRPr="00C247CB">
        <w:rPr>
          <w:rFonts w:ascii="Verdana" w:hAnsi="Verdana"/>
          <w:sz w:val="16"/>
          <w:szCs w:val="16"/>
        </w:rPr>
        <w:t>Prior</w:t>
      </w:r>
      <w:r w:rsidR="003F12A2">
        <w:rPr>
          <w:rFonts w:ascii="Verdana" w:hAnsi="Verdana"/>
          <w:sz w:val="16"/>
          <w:szCs w:val="16"/>
        </w:rPr>
        <w:t xml:space="preserve"> </w:t>
      </w:r>
      <w:r w:rsidRPr="00C247CB">
        <w:rPr>
          <w:rFonts w:ascii="Verdana" w:hAnsi="Verdana"/>
          <w:sz w:val="16"/>
          <w:szCs w:val="16"/>
        </w:rPr>
        <w:t>Written</w:t>
      </w:r>
      <w:r w:rsidR="003F12A2">
        <w:rPr>
          <w:rFonts w:ascii="Verdana" w:hAnsi="Verdana"/>
          <w:sz w:val="16"/>
          <w:szCs w:val="16"/>
        </w:rPr>
        <w:t xml:space="preserve"> </w:t>
      </w:r>
      <w:r w:rsidRPr="00C247CB">
        <w:rPr>
          <w:rFonts w:ascii="Verdana" w:hAnsi="Verdana"/>
          <w:sz w:val="16"/>
          <w:szCs w:val="16"/>
        </w:rPr>
        <w:t>Approval</w:t>
      </w:r>
    </w:p>
    <w:p w14:paraId="6179D347" w14:textId="706229BB" w:rsidR="00713BC2" w:rsidRDefault="00806D92" w:rsidP="002F1FD0">
      <w:pPr>
        <w:jc w:val="center"/>
      </w:pPr>
      <w:r w:rsidRPr="00C247CB">
        <w:rPr>
          <w:rFonts w:ascii="Verdana" w:hAnsi="Verdana"/>
          <w:b/>
          <w:color w:val="000000"/>
          <w:sz w:val="16"/>
          <w:szCs w:val="16"/>
        </w:rPr>
        <w:t>ELECTRONIC</w:t>
      </w:r>
      <w:r w:rsidR="003F12A2">
        <w:rPr>
          <w:rFonts w:ascii="Verdana" w:hAnsi="Verdana"/>
          <w:b/>
          <w:color w:val="000000"/>
          <w:sz w:val="16"/>
          <w:szCs w:val="16"/>
        </w:rPr>
        <w:t xml:space="preserve"> </w:t>
      </w:r>
      <w:r w:rsidRPr="00C247CB">
        <w:rPr>
          <w:rFonts w:ascii="Verdana" w:hAnsi="Verdana"/>
          <w:b/>
          <w:color w:val="000000"/>
          <w:sz w:val="16"/>
          <w:szCs w:val="16"/>
        </w:rPr>
        <w:t>DATA</w:t>
      </w:r>
      <w:r w:rsidR="003F12A2">
        <w:rPr>
          <w:rFonts w:ascii="Verdana" w:hAnsi="Verdana"/>
          <w:b/>
          <w:color w:val="000000"/>
          <w:sz w:val="16"/>
          <w:szCs w:val="16"/>
        </w:rPr>
        <w:t xml:space="preserve"> </w:t>
      </w:r>
      <w:r w:rsidRPr="00C247CB">
        <w:rPr>
          <w:rFonts w:ascii="Verdana" w:hAnsi="Verdana"/>
          <w:b/>
          <w:color w:val="000000"/>
          <w:sz w:val="16"/>
          <w:szCs w:val="16"/>
        </w:rPr>
        <w:t>=</w:t>
      </w:r>
      <w:r w:rsidR="003F12A2">
        <w:rPr>
          <w:rFonts w:ascii="Verdana" w:hAnsi="Verdana"/>
          <w:b/>
          <w:color w:val="000000"/>
          <w:sz w:val="16"/>
          <w:szCs w:val="16"/>
        </w:rPr>
        <w:t xml:space="preserve"> </w:t>
      </w:r>
      <w:r w:rsidRPr="00C247CB">
        <w:rPr>
          <w:rFonts w:ascii="Verdana" w:hAnsi="Verdana"/>
          <w:b/>
          <w:color w:val="000000"/>
          <w:sz w:val="16"/>
          <w:szCs w:val="16"/>
        </w:rPr>
        <w:t>OFFICIAL</w:t>
      </w:r>
      <w:r w:rsidR="003F12A2">
        <w:rPr>
          <w:rFonts w:ascii="Verdana" w:hAnsi="Verdana"/>
          <w:b/>
          <w:color w:val="000000"/>
          <w:sz w:val="16"/>
          <w:szCs w:val="16"/>
        </w:rPr>
        <w:t xml:space="preserve"> </w:t>
      </w:r>
      <w:r w:rsidRPr="00C247CB">
        <w:rPr>
          <w:rFonts w:ascii="Verdana" w:hAnsi="Verdana"/>
          <w:b/>
          <w:color w:val="000000"/>
          <w:sz w:val="16"/>
          <w:szCs w:val="16"/>
        </w:rPr>
        <w:t>VERSION</w:t>
      </w:r>
      <w:r w:rsidR="003F12A2">
        <w:rPr>
          <w:rFonts w:ascii="Verdana" w:hAnsi="Verdana"/>
          <w:b/>
          <w:color w:val="000000"/>
          <w:sz w:val="16"/>
          <w:szCs w:val="16"/>
        </w:rPr>
        <w:t xml:space="preserve"> </w:t>
      </w:r>
      <w:r w:rsidR="00F76DC8">
        <w:rPr>
          <w:rFonts w:ascii="Verdana" w:hAnsi="Verdana"/>
          <w:b/>
          <w:color w:val="000000"/>
          <w:sz w:val="16"/>
          <w:szCs w:val="16"/>
        </w:rPr>
        <w:t>/</w:t>
      </w:r>
      <w:r w:rsidR="003F12A2">
        <w:rPr>
          <w:rFonts w:ascii="Verdana" w:hAnsi="Verdana"/>
          <w:b/>
          <w:color w:val="000000"/>
          <w:sz w:val="16"/>
          <w:szCs w:val="16"/>
        </w:rPr>
        <w:t xml:space="preserve"> </w:t>
      </w:r>
      <w:r w:rsidRPr="00C247CB">
        <w:rPr>
          <w:rFonts w:ascii="Verdana" w:hAnsi="Verdana"/>
          <w:b/>
          <w:color w:val="000000"/>
          <w:sz w:val="16"/>
          <w:szCs w:val="16"/>
        </w:rPr>
        <w:t>PAPER</w:t>
      </w:r>
      <w:r w:rsidR="003F12A2">
        <w:rPr>
          <w:rFonts w:ascii="Verdana" w:hAnsi="Verdana"/>
          <w:b/>
          <w:color w:val="000000"/>
          <w:sz w:val="16"/>
          <w:szCs w:val="16"/>
        </w:rPr>
        <w:t xml:space="preserve"> </w:t>
      </w:r>
      <w:r w:rsidRPr="00C247CB">
        <w:rPr>
          <w:rFonts w:ascii="Verdana" w:hAnsi="Verdana"/>
          <w:b/>
          <w:color w:val="000000"/>
          <w:sz w:val="16"/>
          <w:szCs w:val="16"/>
        </w:rPr>
        <w:t>COPY</w:t>
      </w:r>
      <w:r w:rsidR="003F12A2">
        <w:rPr>
          <w:rFonts w:ascii="Verdana" w:hAnsi="Verdana"/>
          <w:b/>
          <w:color w:val="000000"/>
          <w:sz w:val="16"/>
          <w:szCs w:val="16"/>
        </w:rPr>
        <w:t xml:space="preserve"> </w:t>
      </w:r>
      <w:r w:rsidRPr="00C247CB">
        <w:rPr>
          <w:rFonts w:ascii="Verdana" w:hAnsi="Verdana"/>
          <w:b/>
          <w:color w:val="000000"/>
          <w:sz w:val="16"/>
          <w:szCs w:val="16"/>
        </w:rPr>
        <w:t>–</w:t>
      </w:r>
      <w:r w:rsidR="003F12A2">
        <w:rPr>
          <w:rFonts w:ascii="Verdana" w:hAnsi="Verdana"/>
          <w:b/>
          <w:color w:val="000000"/>
          <w:sz w:val="16"/>
          <w:szCs w:val="16"/>
        </w:rPr>
        <w:t xml:space="preserve"> </w:t>
      </w:r>
      <w:r w:rsidRPr="00C247CB">
        <w:rPr>
          <w:rFonts w:ascii="Verdana" w:hAnsi="Verdana"/>
          <w:b/>
          <w:color w:val="000000"/>
          <w:sz w:val="16"/>
          <w:szCs w:val="16"/>
        </w:rPr>
        <w:t>INFORMATIONAL</w:t>
      </w:r>
      <w:r w:rsidR="003F12A2">
        <w:rPr>
          <w:rFonts w:ascii="Verdana" w:hAnsi="Verdana"/>
          <w:b/>
          <w:color w:val="000000"/>
          <w:sz w:val="16"/>
          <w:szCs w:val="16"/>
        </w:rPr>
        <w:t xml:space="preserve"> </w:t>
      </w:r>
      <w:r w:rsidRPr="00C247CB">
        <w:rPr>
          <w:rFonts w:ascii="Verdana" w:hAnsi="Verdana"/>
          <w:b/>
          <w:color w:val="000000"/>
          <w:sz w:val="16"/>
          <w:szCs w:val="16"/>
        </w:rPr>
        <w:t>ONLY</w:t>
      </w:r>
    </w:p>
    <w:sectPr w:rsidR="00713BC2" w:rsidSect="006740CF">
      <w:footerReference w:type="default" r:id="rId20"/>
      <w:headerReference w:type="first" r:id="rId21"/>
      <w:footerReference w:type="first" r:id="rId2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BA9D5" w14:textId="77777777" w:rsidR="005E13BC" w:rsidRPr="00342BF6" w:rsidRDefault="005E13BC" w:rsidP="005E16DD">
      <w:r>
        <w:separator/>
      </w:r>
    </w:p>
  </w:endnote>
  <w:endnote w:type="continuationSeparator" w:id="0">
    <w:p w14:paraId="33D7C6F3" w14:textId="77777777" w:rsidR="005E13BC" w:rsidRPr="00342BF6" w:rsidRDefault="005E13BC" w:rsidP="005E1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A1BA6" w14:textId="77777777" w:rsidR="0083052C" w:rsidRDefault="0083052C">
    <w:pPr>
      <w:pStyle w:val="Footer"/>
      <w:jc w:val="right"/>
    </w:pPr>
    <w:r>
      <w:fldChar w:fldCharType="begin"/>
    </w:r>
    <w:r>
      <w:instrText xml:space="preserve"> PAGE   \* MERGEFORMAT </w:instrText>
    </w:r>
    <w:r>
      <w:fldChar w:fldCharType="separate"/>
    </w:r>
    <w:r w:rsidR="004F2432">
      <w:rPr>
        <w:noProof/>
      </w:rPr>
      <w:t>10</w:t>
    </w:r>
    <w:r>
      <w:rPr>
        <w:noProof/>
      </w:rPr>
      <w:fldChar w:fldCharType="end"/>
    </w:r>
  </w:p>
  <w:p w14:paraId="61F38B77" w14:textId="77777777" w:rsidR="0083052C" w:rsidRDefault="008305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F3D6C" w14:textId="77777777" w:rsidR="006740CF" w:rsidRPr="00CD2229" w:rsidRDefault="006740CF">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25C9B" w14:textId="77777777" w:rsidR="005E13BC" w:rsidRPr="00342BF6" w:rsidRDefault="005E13BC" w:rsidP="005E16DD">
      <w:r>
        <w:separator/>
      </w:r>
    </w:p>
  </w:footnote>
  <w:footnote w:type="continuationSeparator" w:id="0">
    <w:p w14:paraId="45BD2DE5" w14:textId="77777777" w:rsidR="005E13BC" w:rsidRPr="00342BF6" w:rsidRDefault="005E13BC" w:rsidP="005E1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D5E88" w14:textId="77777777" w:rsidR="006740CF" w:rsidRDefault="006740CF">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3.25pt;height:23.25pt" o:bullet="t">
        <v:imagedata r:id="rId1" o:title="image2s"/>
      </v:shape>
    </w:pict>
  </w:numPicBullet>
  <w:numPicBullet w:numPicBulletId="1">
    <w:pict>
      <v:shape id="_x0000_i1041" type="#_x0000_t75" style="width:18.85pt;height:15.5pt" o:bullet="t">
        <v:imagedata r:id="rId2" o:title="Icon_-_Conversation"/>
      </v:shape>
    </w:pict>
  </w:numPicBullet>
  <w:abstractNum w:abstractNumId="0" w15:restartNumberingAfterBreak="0">
    <w:nsid w:val="03C00EAA"/>
    <w:multiLevelType w:val="hybridMultilevel"/>
    <w:tmpl w:val="968847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F43BEA"/>
    <w:multiLevelType w:val="hybridMultilevel"/>
    <w:tmpl w:val="63F8AE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085050"/>
    <w:multiLevelType w:val="hybridMultilevel"/>
    <w:tmpl w:val="AD3C8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07CCD"/>
    <w:multiLevelType w:val="hybridMultilevel"/>
    <w:tmpl w:val="10D2C9E0"/>
    <w:lvl w:ilvl="0" w:tplc="6D247A3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20394D"/>
    <w:multiLevelType w:val="hybridMultilevel"/>
    <w:tmpl w:val="2084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532D9"/>
    <w:multiLevelType w:val="hybridMultilevel"/>
    <w:tmpl w:val="5A5C102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577511"/>
    <w:multiLevelType w:val="hybridMultilevel"/>
    <w:tmpl w:val="E0E08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7734EA"/>
    <w:multiLevelType w:val="hybridMultilevel"/>
    <w:tmpl w:val="5358F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DE5BC5"/>
    <w:multiLevelType w:val="hybridMultilevel"/>
    <w:tmpl w:val="C6E4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4C5A49"/>
    <w:multiLevelType w:val="hybridMultilevel"/>
    <w:tmpl w:val="B2FAB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F5128B"/>
    <w:multiLevelType w:val="hybridMultilevel"/>
    <w:tmpl w:val="3C5298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53A15"/>
    <w:multiLevelType w:val="hybridMultilevel"/>
    <w:tmpl w:val="D48C89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DA0455"/>
    <w:multiLevelType w:val="hybridMultilevel"/>
    <w:tmpl w:val="9160B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970532"/>
    <w:multiLevelType w:val="hybridMultilevel"/>
    <w:tmpl w:val="D85003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273639"/>
    <w:multiLevelType w:val="hybridMultilevel"/>
    <w:tmpl w:val="B4E40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06BC1"/>
    <w:multiLevelType w:val="hybridMultilevel"/>
    <w:tmpl w:val="526687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624431A"/>
    <w:multiLevelType w:val="hybridMultilevel"/>
    <w:tmpl w:val="BFEEC8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772C2B"/>
    <w:multiLevelType w:val="hybridMultilevel"/>
    <w:tmpl w:val="6114BE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A75CD3"/>
    <w:multiLevelType w:val="hybridMultilevel"/>
    <w:tmpl w:val="93B6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622D3"/>
    <w:multiLevelType w:val="hybridMultilevel"/>
    <w:tmpl w:val="147E6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69785E"/>
    <w:multiLevelType w:val="hybridMultilevel"/>
    <w:tmpl w:val="1F08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13E8F"/>
    <w:multiLevelType w:val="hybridMultilevel"/>
    <w:tmpl w:val="907A1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4E3AC7"/>
    <w:multiLevelType w:val="hybridMultilevel"/>
    <w:tmpl w:val="284C56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575668A"/>
    <w:multiLevelType w:val="hybridMultilevel"/>
    <w:tmpl w:val="07F6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965B9"/>
    <w:multiLevelType w:val="hybridMultilevel"/>
    <w:tmpl w:val="4A70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876E25"/>
    <w:multiLevelType w:val="hybridMultilevel"/>
    <w:tmpl w:val="A1E68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F975FC"/>
    <w:multiLevelType w:val="hybridMultilevel"/>
    <w:tmpl w:val="3CF0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E016B5"/>
    <w:multiLevelType w:val="hybridMultilevel"/>
    <w:tmpl w:val="DFB24F88"/>
    <w:lvl w:ilvl="0" w:tplc="3A0069C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271A7"/>
    <w:multiLevelType w:val="hybridMultilevel"/>
    <w:tmpl w:val="FF06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966BA0"/>
    <w:multiLevelType w:val="hybridMultilevel"/>
    <w:tmpl w:val="553EC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246A03"/>
    <w:multiLevelType w:val="hybridMultilevel"/>
    <w:tmpl w:val="6552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4A394D"/>
    <w:multiLevelType w:val="hybridMultilevel"/>
    <w:tmpl w:val="2BF26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B80C83"/>
    <w:multiLevelType w:val="hybridMultilevel"/>
    <w:tmpl w:val="7660D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95346191">
    <w:abstractNumId w:val="17"/>
  </w:num>
  <w:num w:numId="2" w16cid:durableId="888564991">
    <w:abstractNumId w:val="25"/>
  </w:num>
  <w:num w:numId="3" w16cid:durableId="787772560">
    <w:abstractNumId w:val="5"/>
  </w:num>
  <w:num w:numId="4" w16cid:durableId="96289057">
    <w:abstractNumId w:val="21"/>
  </w:num>
  <w:num w:numId="5" w16cid:durableId="1151874699">
    <w:abstractNumId w:val="16"/>
  </w:num>
  <w:num w:numId="6" w16cid:durableId="983773396">
    <w:abstractNumId w:val="11"/>
  </w:num>
  <w:num w:numId="7" w16cid:durableId="38022225">
    <w:abstractNumId w:val="7"/>
  </w:num>
  <w:num w:numId="8" w16cid:durableId="1455366475">
    <w:abstractNumId w:val="12"/>
  </w:num>
  <w:num w:numId="9" w16cid:durableId="63185659">
    <w:abstractNumId w:val="10"/>
  </w:num>
  <w:num w:numId="10" w16cid:durableId="708144798">
    <w:abstractNumId w:val="13"/>
  </w:num>
  <w:num w:numId="11" w16cid:durableId="10843312">
    <w:abstractNumId w:val="20"/>
  </w:num>
  <w:num w:numId="12" w16cid:durableId="1305310222">
    <w:abstractNumId w:val="18"/>
  </w:num>
  <w:num w:numId="13" w16cid:durableId="249199622">
    <w:abstractNumId w:val="27"/>
  </w:num>
  <w:num w:numId="14" w16cid:durableId="1214081951">
    <w:abstractNumId w:val="8"/>
  </w:num>
  <w:num w:numId="15" w16cid:durableId="1991782765">
    <w:abstractNumId w:val="29"/>
  </w:num>
  <w:num w:numId="16" w16cid:durableId="1630742711">
    <w:abstractNumId w:val="15"/>
  </w:num>
  <w:num w:numId="17" w16cid:durableId="481774451">
    <w:abstractNumId w:val="19"/>
  </w:num>
  <w:num w:numId="18" w16cid:durableId="1043556398">
    <w:abstractNumId w:val="9"/>
  </w:num>
  <w:num w:numId="19" w16cid:durableId="2101292321">
    <w:abstractNumId w:val="2"/>
  </w:num>
  <w:num w:numId="20" w16cid:durableId="212424254">
    <w:abstractNumId w:val="23"/>
  </w:num>
  <w:num w:numId="21" w16cid:durableId="1347437490">
    <w:abstractNumId w:val="26"/>
  </w:num>
  <w:num w:numId="22" w16cid:durableId="1350259484">
    <w:abstractNumId w:val="28"/>
  </w:num>
  <w:num w:numId="23" w16cid:durableId="671880517">
    <w:abstractNumId w:val="30"/>
  </w:num>
  <w:num w:numId="24" w16cid:durableId="565067239">
    <w:abstractNumId w:val="24"/>
  </w:num>
  <w:num w:numId="25" w16cid:durableId="309331211">
    <w:abstractNumId w:val="22"/>
  </w:num>
  <w:num w:numId="26" w16cid:durableId="408618512">
    <w:abstractNumId w:val="3"/>
  </w:num>
  <w:num w:numId="27" w16cid:durableId="1373534887">
    <w:abstractNumId w:val="1"/>
  </w:num>
  <w:num w:numId="28" w16cid:durableId="534853634">
    <w:abstractNumId w:val="6"/>
  </w:num>
  <w:num w:numId="29" w16cid:durableId="1518230666">
    <w:abstractNumId w:val="32"/>
  </w:num>
  <w:num w:numId="30" w16cid:durableId="1921257802">
    <w:abstractNumId w:val="0"/>
  </w:num>
  <w:num w:numId="31" w16cid:durableId="1955093159">
    <w:abstractNumId w:val="31"/>
  </w:num>
  <w:num w:numId="32" w16cid:durableId="200822984">
    <w:abstractNumId w:val="4"/>
  </w:num>
  <w:num w:numId="33" w16cid:durableId="1057053358">
    <w:abstractNumId w:val="14"/>
  </w:num>
  <w:num w:numId="34" w16cid:durableId="1716196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oNotDisplayPageBoundaries/>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92"/>
    <w:rsid w:val="000024A9"/>
    <w:rsid w:val="000141F0"/>
    <w:rsid w:val="00026AE6"/>
    <w:rsid w:val="00030132"/>
    <w:rsid w:val="000406EB"/>
    <w:rsid w:val="000418D4"/>
    <w:rsid w:val="00055C10"/>
    <w:rsid w:val="000573EE"/>
    <w:rsid w:val="00066DE8"/>
    <w:rsid w:val="000674F5"/>
    <w:rsid w:val="000832A1"/>
    <w:rsid w:val="0008353A"/>
    <w:rsid w:val="000A5CCB"/>
    <w:rsid w:val="000B1A0F"/>
    <w:rsid w:val="000B1D6D"/>
    <w:rsid w:val="000C0E05"/>
    <w:rsid w:val="000C136D"/>
    <w:rsid w:val="000C3743"/>
    <w:rsid w:val="000D07C4"/>
    <w:rsid w:val="000D74B5"/>
    <w:rsid w:val="000E294C"/>
    <w:rsid w:val="000E6072"/>
    <w:rsid w:val="000F0B85"/>
    <w:rsid w:val="000F4C3E"/>
    <w:rsid w:val="000F5F76"/>
    <w:rsid w:val="000F601A"/>
    <w:rsid w:val="0010018E"/>
    <w:rsid w:val="00114BBD"/>
    <w:rsid w:val="00115A01"/>
    <w:rsid w:val="00117881"/>
    <w:rsid w:val="00143039"/>
    <w:rsid w:val="00144734"/>
    <w:rsid w:val="001468D1"/>
    <w:rsid w:val="0015397A"/>
    <w:rsid w:val="00153A6F"/>
    <w:rsid w:val="0018239B"/>
    <w:rsid w:val="00183794"/>
    <w:rsid w:val="001C178B"/>
    <w:rsid w:val="001C4817"/>
    <w:rsid w:val="001D350A"/>
    <w:rsid w:val="001E0D4E"/>
    <w:rsid w:val="001E2067"/>
    <w:rsid w:val="001F4448"/>
    <w:rsid w:val="00202252"/>
    <w:rsid w:val="00216B16"/>
    <w:rsid w:val="00216BB4"/>
    <w:rsid w:val="0022764D"/>
    <w:rsid w:val="00231188"/>
    <w:rsid w:val="0024165C"/>
    <w:rsid w:val="00247257"/>
    <w:rsid w:val="00250C64"/>
    <w:rsid w:val="00254133"/>
    <w:rsid w:val="0027130E"/>
    <w:rsid w:val="00273EFD"/>
    <w:rsid w:val="00275F15"/>
    <w:rsid w:val="0028131C"/>
    <w:rsid w:val="00283834"/>
    <w:rsid w:val="002A6BF0"/>
    <w:rsid w:val="002B775D"/>
    <w:rsid w:val="002D0CFE"/>
    <w:rsid w:val="002E6486"/>
    <w:rsid w:val="002F1FD0"/>
    <w:rsid w:val="002F7F76"/>
    <w:rsid w:val="0030181F"/>
    <w:rsid w:val="00306FC7"/>
    <w:rsid w:val="003111DE"/>
    <w:rsid w:val="00316B2F"/>
    <w:rsid w:val="00317FC3"/>
    <w:rsid w:val="00320F11"/>
    <w:rsid w:val="00332700"/>
    <w:rsid w:val="00332716"/>
    <w:rsid w:val="00335F4E"/>
    <w:rsid w:val="00343C40"/>
    <w:rsid w:val="00344B2A"/>
    <w:rsid w:val="003520DD"/>
    <w:rsid w:val="003613F3"/>
    <w:rsid w:val="0036488C"/>
    <w:rsid w:val="0037105E"/>
    <w:rsid w:val="00382085"/>
    <w:rsid w:val="00392708"/>
    <w:rsid w:val="003A0686"/>
    <w:rsid w:val="003A25F7"/>
    <w:rsid w:val="003A7B65"/>
    <w:rsid w:val="003B1FBE"/>
    <w:rsid w:val="003B3677"/>
    <w:rsid w:val="003D1A42"/>
    <w:rsid w:val="003D2D5B"/>
    <w:rsid w:val="003E6646"/>
    <w:rsid w:val="003F12A2"/>
    <w:rsid w:val="003F2CDC"/>
    <w:rsid w:val="003F659C"/>
    <w:rsid w:val="00403917"/>
    <w:rsid w:val="00410539"/>
    <w:rsid w:val="00422248"/>
    <w:rsid w:val="00426501"/>
    <w:rsid w:val="0043065B"/>
    <w:rsid w:val="004311A9"/>
    <w:rsid w:val="00435BB1"/>
    <w:rsid w:val="00435F38"/>
    <w:rsid w:val="00437238"/>
    <w:rsid w:val="00451712"/>
    <w:rsid w:val="0045537D"/>
    <w:rsid w:val="00462E07"/>
    <w:rsid w:val="004667CB"/>
    <w:rsid w:val="00466A88"/>
    <w:rsid w:val="0047276B"/>
    <w:rsid w:val="00480D4C"/>
    <w:rsid w:val="0048362B"/>
    <w:rsid w:val="004850B1"/>
    <w:rsid w:val="0048793E"/>
    <w:rsid w:val="004923F9"/>
    <w:rsid w:val="00495E9B"/>
    <w:rsid w:val="004A23A9"/>
    <w:rsid w:val="004A67C4"/>
    <w:rsid w:val="004B659E"/>
    <w:rsid w:val="004C3BAD"/>
    <w:rsid w:val="004F2432"/>
    <w:rsid w:val="00504BA5"/>
    <w:rsid w:val="00507A5B"/>
    <w:rsid w:val="00507B72"/>
    <w:rsid w:val="005157E7"/>
    <w:rsid w:val="00516FE6"/>
    <w:rsid w:val="00523593"/>
    <w:rsid w:val="00533BBB"/>
    <w:rsid w:val="00557BE1"/>
    <w:rsid w:val="00561D41"/>
    <w:rsid w:val="005770AB"/>
    <w:rsid w:val="00586CD9"/>
    <w:rsid w:val="00587DC6"/>
    <w:rsid w:val="00595EFE"/>
    <w:rsid w:val="005B54BD"/>
    <w:rsid w:val="005C2CBC"/>
    <w:rsid w:val="005C4E07"/>
    <w:rsid w:val="005D2AB1"/>
    <w:rsid w:val="005E13BC"/>
    <w:rsid w:val="005E16DD"/>
    <w:rsid w:val="005E6DC7"/>
    <w:rsid w:val="005E732E"/>
    <w:rsid w:val="005F01B6"/>
    <w:rsid w:val="005F0BB6"/>
    <w:rsid w:val="005F22B8"/>
    <w:rsid w:val="005F3D7A"/>
    <w:rsid w:val="0060740A"/>
    <w:rsid w:val="00614819"/>
    <w:rsid w:val="00624B22"/>
    <w:rsid w:val="0063064D"/>
    <w:rsid w:val="006436F5"/>
    <w:rsid w:val="00655CB8"/>
    <w:rsid w:val="00656ECE"/>
    <w:rsid w:val="006626B7"/>
    <w:rsid w:val="006730C6"/>
    <w:rsid w:val="006740CF"/>
    <w:rsid w:val="006B4D0A"/>
    <w:rsid w:val="006C14FC"/>
    <w:rsid w:val="006C34D9"/>
    <w:rsid w:val="006C7584"/>
    <w:rsid w:val="006D7838"/>
    <w:rsid w:val="006E1E06"/>
    <w:rsid w:val="006E5395"/>
    <w:rsid w:val="006F40D3"/>
    <w:rsid w:val="00713BC2"/>
    <w:rsid w:val="0071434E"/>
    <w:rsid w:val="007146C1"/>
    <w:rsid w:val="00716CA9"/>
    <w:rsid w:val="0072734D"/>
    <w:rsid w:val="00742106"/>
    <w:rsid w:val="00747618"/>
    <w:rsid w:val="00750831"/>
    <w:rsid w:val="007564CD"/>
    <w:rsid w:val="00770627"/>
    <w:rsid w:val="00790A76"/>
    <w:rsid w:val="00793222"/>
    <w:rsid w:val="007A0278"/>
    <w:rsid w:val="007A285E"/>
    <w:rsid w:val="007B40C8"/>
    <w:rsid w:val="007C79BC"/>
    <w:rsid w:val="007D30A9"/>
    <w:rsid w:val="007D38F4"/>
    <w:rsid w:val="007E05DA"/>
    <w:rsid w:val="00802AEF"/>
    <w:rsid w:val="00806D92"/>
    <w:rsid w:val="00811F3C"/>
    <w:rsid w:val="00814987"/>
    <w:rsid w:val="00821936"/>
    <w:rsid w:val="0083052C"/>
    <w:rsid w:val="008450FC"/>
    <w:rsid w:val="0084762E"/>
    <w:rsid w:val="008507EE"/>
    <w:rsid w:val="00852433"/>
    <w:rsid w:val="00853AC3"/>
    <w:rsid w:val="00862B7D"/>
    <w:rsid w:val="00875BEB"/>
    <w:rsid w:val="008A6F63"/>
    <w:rsid w:val="008B5E9C"/>
    <w:rsid w:val="008D3BBF"/>
    <w:rsid w:val="00902020"/>
    <w:rsid w:val="009067E9"/>
    <w:rsid w:val="00911A73"/>
    <w:rsid w:val="00923164"/>
    <w:rsid w:val="00926A00"/>
    <w:rsid w:val="009344CB"/>
    <w:rsid w:val="00937F58"/>
    <w:rsid w:val="00943F93"/>
    <w:rsid w:val="0094406F"/>
    <w:rsid w:val="00944236"/>
    <w:rsid w:val="009443EF"/>
    <w:rsid w:val="00945AE6"/>
    <w:rsid w:val="00947433"/>
    <w:rsid w:val="009505B0"/>
    <w:rsid w:val="00951C7F"/>
    <w:rsid w:val="00954567"/>
    <w:rsid w:val="00955DF7"/>
    <w:rsid w:val="0096297B"/>
    <w:rsid w:val="009636E4"/>
    <w:rsid w:val="00966D5B"/>
    <w:rsid w:val="009739D1"/>
    <w:rsid w:val="009855A1"/>
    <w:rsid w:val="009924AA"/>
    <w:rsid w:val="009925A2"/>
    <w:rsid w:val="00994690"/>
    <w:rsid w:val="009A2F2A"/>
    <w:rsid w:val="009A30B7"/>
    <w:rsid w:val="009A6C26"/>
    <w:rsid w:val="009B1213"/>
    <w:rsid w:val="009B6EBC"/>
    <w:rsid w:val="009C0426"/>
    <w:rsid w:val="009C0E0E"/>
    <w:rsid w:val="009C594C"/>
    <w:rsid w:val="009D3DBB"/>
    <w:rsid w:val="009D7E0B"/>
    <w:rsid w:val="009E772B"/>
    <w:rsid w:val="009E7E8B"/>
    <w:rsid w:val="009F3DEF"/>
    <w:rsid w:val="00A02453"/>
    <w:rsid w:val="00A16799"/>
    <w:rsid w:val="00A67059"/>
    <w:rsid w:val="00A73CBD"/>
    <w:rsid w:val="00A76E02"/>
    <w:rsid w:val="00A81550"/>
    <w:rsid w:val="00A819AC"/>
    <w:rsid w:val="00A83F0F"/>
    <w:rsid w:val="00AA10ED"/>
    <w:rsid w:val="00AB2C3D"/>
    <w:rsid w:val="00AC7144"/>
    <w:rsid w:val="00AD2F6C"/>
    <w:rsid w:val="00B04152"/>
    <w:rsid w:val="00B50EE0"/>
    <w:rsid w:val="00B60288"/>
    <w:rsid w:val="00B6326A"/>
    <w:rsid w:val="00B637FE"/>
    <w:rsid w:val="00B63EC8"/>
    <w:rsid w:val="00B6749A"/>
    <w:rsid w:val="00B81937"/>
    <w:rsid w:val="00B83167"/>
    <w:rsid w:val="00B9154A"/>
    <w:rsid w:val="00BA17C4"/>
    <w:rsid w:val="00BA39E8"/>
    <w:rsid w:val="00BA6309"/>
    <w:rsid w:val="00BB6DAD"/>
    <w:rsid w:val="00BD3C02"/>
    <w:rsid w:val="00BE1C76"/>
    <w:rsid w:val="00BE5504"/>
    <w:rsid w:val="00BF4FFD"/>
    <w:rsid w:val="00BF5E4B"/>
    <w:rsid w:val="00BF6E43"/>
    <w:rsid w:val="00C01544"/>
    <w:rsid w:val="00C0360F"/>
    <w:rsid w:val="00C047EB"/>
    <w:rsid w:val="00C358FF"/>
    <w:rsid w:val="00C4162D"/>
    <w:rsid w:val="00C4783F"/>
    <w:rsid w:val="00C47D74"/>
    <w:rsid w:val="00C74A2C"/>
    <w:rsid w:val="00C90385"/>
    <w:rsid w:val="00CB213C"/>
    <w:rsid w:val="00CB49D6"/>
    <w:rsid w:val="00CC42A7"/>
    <w:rsid w:val="00CC4416"/>
    <w:rsid w:val="00CD7A4C"/>
    <w:rsid w:val="00CE2081"/>
    <w:rsid w:val="00CE448A"/>
    <w:rsid w:val="00D00DC7"/>
    <w:rsid w:val="00D0793A"/>
    <w:rsid w:val="00D1235A"/>
    <w:rsid w:val="00D17D97"/>
    <w:rsid w:val="00D202D3"/>
    <w:rsid w:val="00D23256"/>
    <w:rsid w:val="00D23DD8"/>
    <w:rsid w:val="00D336AF"/>
    <w:rsid w:val="00D406E9"/>
    <w:rsid w:val="00D600D4"/>
    <w:rsid w:val="00D6085E"/>
    <w:rsid w:val="00D635E9"/>
    <w:rsid w:val="00D64D0B"/>
    <w:rsid w:val="00D75975"/>
    <w:rsid w:val="00D76AE4"/>
    <w:rsid w:val="00D80E71"/>
    <w:rsid w:val="00D8534F"/>
    <w:rsid w:val="00D85B60"/>
    <w:rsid w:val="00D92D9A"/>
    <w:rsid w:val="00D96B6E"/>
    <w:rsid w:val="00D97F51"/>
    <w:rsid w:val="00DA03F6"/>
    <w:rsid w:val="00DC40DD"/>
    <w:rsid w:val="00DC76A6"/>
    <w:rsid w:val="00DE30AE"/>
    <w:rsid w:val="00DF1AAB"/>
    <w:rsid w:val="00E23980"/>
    <w:rsid w:val="00E25515"/>
    <w:rsid w:val="00E26721"/>
    <w:rsid w:val="00E30239"/>
    <w:rsid w:val="00E40BB7"/>
    <w:rsid w:val="00E4501C"/>
    <w:rsid w:val="00E63AEC"/>
    <w:rsid w:val="00E67EBF"/>
    <w:rsid w:val="00E81E55"/>
    <w:rsid w:val="00E87D3F"/>
    <w:rsid w:val="00E920C7"/>
    <w:rsid w:val="00EA2EBE"/>
    <w:rsid w:val="00EB024F"/>
    <w:rsid w:val="00EB48FA"/>
    <w:rsid w:val="00ED3CB8"/>
    <w:rsid w:val="00ED4CA0"/>
    <w:rsid w:val="00EE4ABB"/>
    <w:rsid w:val="00EF6AAB"/>
    <w:rsid w:val="00EF7E69"/>
    <w:rsid w:val="00F14ECF"/>
    <w:rsid w:val="00F36C34"/>
    <w:rsid w:val="00F40472"/>
    <w:rsid w:val="00F4346E"/>
    <w:rsid w:val="00F53DD8"/>
    <w:rsid w:val="00F7500D"/>
    <w:rsid w:val="00F76DC8"/>
    <w:rsid w:val="00F84900"/>
    <w:rsid w:val="00F85E2B"/>
    <w:rsid w:val="00F93D91"/>
    <w:rsid w:val="00F96067"/>
    <w:rsid w:val="00FA376F"/>
    <w:rsid w:val="00FB07E9"/>
    <w:rsid w:val="00FB5F1A"/>
    <w:rsid w:val="00FD0809"/>
    <w:rsid w:val="00FD1EC3"/>
    <w:rsid w:val="00FD5724"/>
    <w:rsid w:val="00FE1B11"/>
    <w:rsid w:val="00FE2D94"/>
    <w:rsid w:val="00FF52CE"/>
    <w:rsid w:val="00FF7B38"/>
    <w:rsid w:val="40C1B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8E7CC"/>
  <w15:chartTrackingRefBased/>
  <w15:docId w15:val="{C240288D-C09A-4E6C-B80B-BA1B681D5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D92"/>
    <w:rPr>
      <w:rFonts w:ascii="Times New Roman" w:eastAsia="Times New Roman" w:hAnsi="Times New Roman"/>
      <w:sz w:val="24"/>
      <w:szCs w:val="24"/>
    </w:rPr>
  </w:style>
  <w:style w:type="paragraph" w:styleId="Heading1">
    <w:name w:val="heading 1"/>
    <w:basedOn w:val="Normal"/>
    <w:next w:val="Heading4"/>
    <w:link w:val="Heading1Char"/>
    <w:qFormat/>
    <w:rsid w:val="00806D92"/>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806D9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D80E71"/>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806D92"/>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06D92"/>
    <w:rPr>
      <w:rFonts w:ascii="Arial" w:eastAsia="Times New Roman" w:hAnsi="Arial" w:cs="Arial"/>
      <w:b/>
      <w:color w:val="FF9900"/>
      <w:sz w:val="32"/>
      <w:szCs w:val="20"/>
    </w:rPr>
  </w:style>
  <w:style w:type="character" w:customStyle="1" w:styleId="Heading2Char">
    <w:name w:val="Heading 2 Char"/>
    <w:link w:val="Heading2"/>
    <w:rsid w:val="00806D92"/>
    <w:rPr>
      <w:rFonts w:ascii="Arial" w:eastAsia="Times New Roman" w:hAnsi="Arial" w:cs="Arial"/>
      <w:b/>
      <w:bCs/>
      <w:i/>
      <w:iCs/>
      <w:sz w:val="28"/>
      <w:szCs w:val="28"/>
    </w:rPr>
  </w:style>
  <w:style w:type="character" w:styleId="Hyperlink">
    <w:name w:val="Hyperlink"/>
    <w:uiPriority w:val="99"/>
    <w:rsid w:val="00806D92"/>
    <w:rPr>
      <w:color w:val="0000FF"/>
      <w:u w:val="single"/>
    </w:rPr>
  </w:style>
  <w:style w:type="paragraph" w:styleId="Header">
    <w:name w:val="header"/>
    <w:basedOn w:val="Normal"/>
    <w:link w:val="HeaderChar"/>
    <w:rsid w:val="00806D92"/>
    <w:pPr>
      <w:tabs>
        <w:tab w:val="center" w:pos="4320"/>
        <w:tab w:val="right" w:pos="8640"/>
      </w:tabs>
    </w:pPr>
  </w:style>
  <w:style w:type="character" w:customStyle="1" w:styleId="HeaderChar">
    <w:name w:val="Header Char"/>
    <w:link w:val="Header"/>
    <w:rsid w:val="00806D92"/>
    <w:rPr>
      <w:rFonts w:ascii="Times New Roman" w:eastAsia="Times New Roman" w:hAnsi="Times New Roman" w:cs="Times New Roman"/>
      <w:sz w:val="24"/>
      <w:szCs w:val="24"/>
    </w:rPr>
  </w:style>
  <w:style w:type="paragraph" w:styleId="Footer">
    <w:name w:val="footer"/>
    <w:basedOn w:val="Normal"/>
    <w:link w:val="FooterChar"/>
    <w:uiPriority w:val="99"/>
    <w:rsid w:val="00806D92"/>
    <w:pPr>
      <w:tabs>
        <w:tab w:val="center" w:pos="4320"/>
        <w:tab w:val="right" w:pos="8640"/>
      </w:tabs>
    </w:pPr>
  </w:style>
  <w:style w:type="character" w:customStyle="1" w:styleId="FooterChar">
    <w:name w:val="Footer Char"/>
    <w:link w:val="Footer"/>
    <w:uiPriority w:val="99"/>
    <w:rsid w:val="00806D92"/>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806D92"/>
    <w:rPr>
      <w:rFonts w:ascii="Cambria" w:eastAsia="Times New Roman" w:hAnsi="Cambria" w:cs="Times New Roman"/>
      <w:b/>
      <w:bCs/>
      <w:i/>
      <w:iCs/>
      <w:color w:val="4F81BD"/>
      <w:sz w:val="24"/>
      <w:szCs w:val="24"/>
    </w:rPr>
  </w:style>
  <w:style w:type="paragraph" w:styleId="ListParagraph">
    <w:name w:val="List Paragraph"/>
    <w:basedOn w:val="Normal"/>
    <w:uiPriority w:val="34"/>
    <w:qFormat/>
    <w:rsid w:val="00557BE1"/>
    <w:pPr>
      <w:ind w:left="720"/>
      <w:contextualSpacing/>
    </w:pPr>
  </w:style>
  <w:style w:type="paragraph" w:styleId="BalloonText">
    <w:name w:val="Balloon Text"/>
    <w:basedOn w:val="Normal"/>
    <w:link w:val="BalloonTextChar"/>
    <w:uiPriority w:val="99"/>
    <w:semiHidden/>
    <w:unhideWhenUsed/>
    <w:rsid w:val="00A67059"/>
    <w:rPr>
      <w:rFonts w:ascii="Tahoma" w:hAnsi="Tahoma" w:cs="Tahoma"/>
      <w:sz w:val="16"/>
      <w:szCs w:val="16"/>
    </w:rPr>
  </w:style>
  <w:style w:type="character" w:customStyle="1" w:styleId="BalloonTextChar">
    <w:name w:val="Balloon Text Char"/>
    <w:link w:val="BalloonText"/>
    <w:uiPriority w:val="99"/>
    <w:semiHidden/>
    <w:rsid w:val="00A67059"/>
    <w:rPr>
      <w:rFonts w:ascii="Tahoma" w:eastAsia="Times New Roman" w:hAnsi="Tahoma" w:cs="Tahoma"/>
      <w:sz w:val="16"/>
      <w:szCs w:val="16"/>
    </w:rPr>
  </w:style>
  <w:style w:type="character" w:styleId="CommentReference">
    <w:name w:val="annotation reference"/>
    <w:uiPriority w:val="99"/>
    <w:semiHidden/>
    <w:unhideWhenUsed/>
    <w:rsid w:val="009C594C"/>
    <w:rPr>
      <w:sz w:val="16"/>
      <w:szCs w:val="16"/>
    </w:rPr>
  </w:style>
  <w:style w:type="paragraph" w:styleId="CommentText">
    <w:name w:val="annotation text"/>
    <w:basedOn w:val="Normal"/>
    <w:link w:val="CommentTextChar"/>
    <w:uiPriority w:val="99"/>
    <w:semiHidden/>
    <w:unhideWhenUsed/>
    <w:rsid w:val="009C594C"/>
    <w:rPr>
      <w:sz w:val="20"/>
      <w:szCs w:val="20"/>
    </w:rPr>
  </w:style>
  <w:style w:type="character" w:customStyle="1" w:styleId="CommentTextChar">
    <w:name w:val="Comment Text Char"/>
    <w:link w:val="CommentText"/>
    <w:uiPriority w:val="99"/>
    <w:semiHidden/>
    <w:rsid w:val="009C594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9C594C"/>
    <w:rPr>
      <w:b/>
      <w:bCs/>
    </w:rPr>
  </w:style>
  <w:style w:type="character" w:customStyle="1" w:styleId="CommentSubjectChar">
    <w:name w:val="Comment Subject Char"/>
    <w:link w:val="CommentSubject"/>
    <w:uiPriority w:val="99"/>
    <w:semiHidden/>
    <w:rsid w:val="009C594C"/>
    <w:rPr>
      <w:rFonts w:ascii="Times New Roman" w:eastAsia="Times New Roman" w:hAnsi="Times New Roman"/>
      <w:b/>
      <w:bCs/>
    </w:rPr>
  </w:style>
  <w:style w:type="paragraph" w:styleId="TOC1">
    <w:name w:val="toc 1"/>
    <w:basedOn w:val="Normal"/>
    <w:next w:val="Normal"/>
    <w:autoRedefine/>
    <w:uiPriority w:val="39"/>
    <w:unhideWhenUsed/>
    <w:rsid w:val="00E920C7"/>
    <w:pPr>
      <w:tabs>
        <w:tab w:val="right" w:leader="dot" w:pos="12950"/>
      </w:tabs>
    </w:pPr>
  </w:style>
  <w:style w:type="paragraph" w:styleId="TOC2">
    <w:name w:val="toc 2"/>
    <w:basedOn w:val="Normal"/>
    <w:next w:val="Normal"/>
    <w:autoRedefine/>
    <w:uiPriority w:val="39"/>
    <w:unhideWhenUsed/>
    <w:rsid w:val="00D8534F"/>
    <w:pPr>
      <w:tabs>
        <w:tab w:val="right" w:leader="dot" w:pos="12950"/>
      </w:tabs>
    </w:pPr>
  </w:style>
  <w:style w:type="character" w:styleId="Strong">
    <w:name w:val="Strong"/>
    <w:uiPriority w:val="22"/>
    <w:qFormat/>
    <w:rsid w:val="000832A1"/>
    <w:rPr>
      <w:b/>
      <w:bCs/>
    </w:rPr>
  </w:style>
  <w:style w:type="character" w:styleId="FollowedHyperlink">
    <w:name w:val="FollowedHyperlink"/>
    <w:uiPriority w:val="99"/>
    <w:semiHidden/>
    <w:unhideWhenUsed/>
    <w:rsid w:val="00F4346E"/>
    <w:rPr>
      <w:color w:val="800080"/>
      <w:u w:val="single"/>
    </w:rPr>
  </w:style>
  <w:style w:type="table" w:styleId="TableGrid">
    <w:name w:val="Table Grid"/>
    <w:basedOn w:val="TableNormal"/>
    <w:uiPriority w:val="59"/>
    <w:rsid w:val="00435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EC3"/>
    <w:rPr>
      <w:rFonts w:ascii="Times New Roman" w:eastAsia="Times New Roman" w:hAnsi="Times New Roman"/>
      <w:sz w:val="24"/>
      <w:szCs w:val="24"/>
    </w:rPr>
  </w:style>
  <w:style w:type="character" w:customStyle="1" w:styleId="Heading3Char">
    <w:name w:val="Heading 3 Char"/>
    <w:link w:val="Heading3"/>
    <w:uiPriority w:val="9"/>
    <w:semiHidden/>
    <w:rsid w:val="00D80E71"/>
    <w:rPr>
      <w:rFonts w:ascii="Calibri Light" w:eastAsia="Times New Roman" w:hAnsi="Calibri Light" w:cs="Times New Roman"/>
      <w:b/>
      <w:bCs/>
      <w:sz w:val="26"/>
      <w:szCs w:val="26"/>
    </w:rPr>
  </w:style>
  <w:style w:type="character" w:customStyle="1" w:styleId="normaltextrun">
    <w:name w:val="normaltextrun"/>
    <w:rsid w:val="00E81E55"/>
  </w:style>
  <w:style w:type="character" w:customStyle="1" w:styleId="eop">
    <w:name w:val="eop"/>
    <w:rsid w:val="00E81E55"/>
  </w:style>
  <w:style w:type="paragraph" w:customStyle="1" w:styleId="paragraph">
    <w:name w:val="paragraph"/>
    <w:basedOn w:val="Normal"/>
    <w:rsid w:val="00E81E55"/>
    <w:pPr>
      <w:spacing w:before="100" w:beforeAutospacing="1" w:after="100" w:afterAutospacing="1"/>
    </w:pPr>
  </w:style>
  <w:style w:type="character" w:styleId="UnresolvedMention">
    <w:name w:val="Unresolved Mention"/>
    <w:uiPriority w:val="99"/>
    <w:semiHidden/>
    <w:unhideWhenUsed/>
    <w:rsid w:val="000573EE"/>
    <w:rPr>
      <w:color w:val="605E5C"/>
      <w:shd w:val="clear" w:color="auto" w:fill="E1DFDD"/>
    </w:rPr>
  </w:style>
  <w:style w:type="paragraph" w:customStyle="1" w:styleId="style-scope">
    <w:name w:val="style-scope"/>
    <w:basedOn w:val="Normal"/>
    <w:rsid w:val="001E0D4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6861">
      <w:bodyDiv w:val="1"/>
      <w:marLeft w:val="0"/>
      <w:marRight w:val="0"/>
      <w:marTop w:val="0"/>
      <w:marBottom w:val="0"/>
      <w:divBdr>
        <w:top w:val="none" w:sz="0" w:space="0" w:color="auto"/>
        <w:left w:val="none" w:sz="0" w:space="0" w:color="auto"/>
        <w:bottom w:val="none" w:sz="0" w:space="0" w:color="auto"/>
        <w:right w:val="none" w:sz="0" w:space="0" w:color="auto"/>
      </w:divBdr>
      <w:divsChild>
        <w:div w:id="435291307">
          <w:marLeft w:val="0"/>
          <w:marRight w:val="0"/>
          <w:marTop w:val="0"/>
          <w:marBottom w:val="0"/>
          <w:divBdr>
            <w:top w:val="none" w:sz="0" w:space="0" w:color="auto"/>
            <w:left w:val="none" w:sz="0" w:space="0" w:color="auto"/>
            <w:bottom w:val="none" w:sz="0" w:space="0" w:color="auto"/>
            <w:right w:val="none" w:sz="0" w:space="0" w:color="auto"/>
          </w:divBdr>
          <w:divsChild>
            <w:div w:id="1428574074">
              <w:marLeft w:val="0"/>
              <w:marRight w:val="0"/>
              <w:marTop w:val="0"/>
              <w:marBottom w:val="0"/>
              <w:divBdr>
                <w:top w:val="none" w:sz="0" w:space="0" w:color="auto"/>
                <w:left w:val="none" w:sz="0" w:space="0" w:color="auto"/>
                <w:bottom w:val="none" w:sz="0" w:space="0" w:color="auto"/>
                <w:right w:val="none" w:sz="0" w:space="0" w:color="auto"/>
              </w:divBdr>
              <w:divsChild>
                <w:div w:id="175624482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02989181">
          <w:marLeft w:val="0"/>
          <w:marRight w:val="0"/>
          <w:marTop w:val="0"/>
          <w:marBottom w:val="0"/>
          <w:divBdr>
            <w:top w:val="none" w:sz="0" w:space="0" w:color="auto"/>
            <w:left w:val="none" w:sz="0" w:space="0" w:color="auto"/>
            <w:bottom w:val="none" w:sz="0" w:space="0" w:color="auto"/>
            <w:right w:val="none" w:sz="0" w:space="0" w:color="auto"/>
          </w:divBdr>
          <w:divsChild>
            <w:div w:id="357436137">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5390572">
      <w:bodyDiv w:val="1"/>
      <w:marLeft w:val="0"/>
      <w:marRight w:val="0"/>
      <w:marTop w:val="0"/>
      <w:marBottom w:val="0"/>
      <w:divBdr>
        <w:top w:val="none" w:sz="0" w:space="0" w:color="auto"/>
        <w:left w:val="none" w:sz="0" w:space="0" w:color="auto"/>
        <w:bottom w:val="none" w:sz="0" w:space="0" w:color="auto"/>
        <w:right w:val="none" w:sz="0" w:space="0" w:color="auto"/>
      </w:divBdr>
    </w:div>
    <w:div w:id="282154986">
      <w:bodyDiv w:val="1"/>
      <w:marLeft w:val="0"/>
      <w:marRight w:val="0"/>
      <w:marTop w:val="0"/>
      <w:marBottom w:val="0"/>
      <w:divBdr>
        <w:top w:val="none" w:sz="0" w:space="0" w:color="auto"/>
        <w:left w:val="none" w:sz="0" w:space="0" w:color="auto"/>
        <w:bottom w:val="none" w:sz="0" w:space="0" w:color="auto"/>
        <w:right w:val="none" w:sz="0" w:space="0" w:color="auto"/>
      </w:divBdr>
    </w:div>
    <w:div w:id="313795711">
      <w:bodyDiv w:val="1"/>
      <w:marLeft w:val="0"/>
      <w:marRight w:val="0"/>
      <w:marTop w:val="0"/>
      <w:marBottom w:val="0"/>
      <w:divBdr>
        <w:top w:val="none" w:sz="0" w:space="0" w:color="auto"/>
        <w:left w:val="none" w:sz="0" w:space="0" w:color="auto"/>
        <w:bottom w:val="none" w:sz="0" w:space="0" w:color="auto"/>
        <w:right w:val="none" w:sz="0" w:space="0" w:color="auto"/>
      </w:divBdr>
      <w:divsChild>
        <w:div w:id="475950450">
          <w:marLeft w:val="0"/>
          <w:marRight w:val="0"/>
          <w:marTop w:val="0"/>
          <w:marBottom w:val="0"/>
          <w:divBdr>
            <w:top w:val="none" w:sz="0" w:space="0" w:color="auto"/>
            <w:left w:val="none" w:sz="0" w:space="0" w:color="auto"/>
            <w:bottom w:val="none" w:sz="0" w:space="0" w:color="auto"/>
            <w:right w:val="none" w:sz="0" w:space="0" w:color="auto"/>
          </w:divBdr>
        </w:div>
        <w:div w:id="1020619931">
          <w:marLeft w:val="0"/>
          <w:marRight w:val="0"/>
          <w:marTop w:val="0"/>
          <w:marBottom w:val="0"/>
          <w:divBdr>
            <w:top w:val="none" w:sz="0" w:space="0" w:color="auto"/>
            <w:left w:val="none" w:sz="0" w:space="0" w:color="auto"/>
            <w:bottom w:val="none" w:sz="0" w:space="0" w:color="auto"/>
            <w:right w:val="none" w:sz="0" w:space="0" w:color="auto"/>
          </w:divBdr>
        </w:div>
        <w:div w:id="1754277569">
          <w:marLeft w:val="0"/>
          <w:marRight w:val="0"/>
          <w:marTop w:val="0"/>
          <w:marBottom w:val="0"/>
          <w:divBdr>
            <w:top w:val="none" w:sz="0" w:space="0" w:color="auto"/>
            <w:left w:val="none" w:sz="0" w:space="0" w:color="auto"/>
            <w:bottom w:val="none" w:sz="0" w:space="0" w:color="auto"/>
            <w:right w:val="none" w:sz="0" w:space="0" w:color="auto"/>
          </w:divBdr>
        </w:div>
        <w:div w:id="1765761087">
          <w:marLeft w:val="0"/>
          <w:marRight w:val="0"/>
          <w:marTop w:val="0"/>
          <w:marBottom w:val="0"/>
          <w:divBdr>
            <w:top w:val="none" w:sz="0" w:space="0" w:color="auto"/>
            <w:left w:val="none" w:sz="0" w:space="0" w:color="auto"/>
            <w:bottom w:val="none" w:sz="0" w:space="0" w:color="auto"/>
            <w:right w:val="none" w:sz="0" w:space="0" w:color="auto"/>
          </w:divBdr>
        </w:div>
      </w:divsChild>
    </w:div>
    <w:div w:id="398094223">
      <w:bodyDiv w:val="1"/>
      <w:marLeft w:val="0"/>
      <w:marRight w:val="0"/>
      <w:marTop w:val="0"/>
      <w:marBottom w:val="0"/>
      <w:divBdr>
        <w:top w:val="none" w:sz="0" w:space="0" w:color="auto"/>
        <w:left w:val="none" w:sz="0" w:space="0" w:color="auto"/>
        <w:bottom w:val="none" w:sz="0" w:space="0" w:color="auto"/>
        <w:right w:val="none" w:sz="0" w:space="0" w:color="auto"/>
      </w:divBdr>
    </w:div>
    <w:div w:id="655374285">
      <w:bodyDiv w:val="1"/>
      <w:marLeft w:val="30"/>
      <w:marRight w:val="30"/>
      <w:marTop w:val="0"/>
      <w:marBottom w:val="0"/>
      <w:divBdr>
        <w:top w:val="none" w:sz="0" w:space="0" w:color="auto"/>
        <w:left w:val="none" w:sz="0" w:space="0" w:color="auto"/>
        <w:bottom w:val="none" w:sz="0" w:space="0" w:color="auto"/>
        <w:right w:val="none" w:sz="0" w:space="0" w:color="auto"/>
      </w:divBdr>
      <w:divsChild>
        <w:div w:id="537594918">
          <w:marLeft w:val="0"/>
          <w:marRight w:val="0"/>
          <w:marTop w:val="0"/>
          <w:marBottom w:val="0"/>
          <w:divBdr>
            <w:top w:val="none" w:sz="0" w:space="0" w:color="auto"/>
            <w:left w:val="none" w:sz="0" w:space="0" w:color="auto"/>
            <w:bottom w:val="none" w:sz="0" w:space="0" w:color="auto"/>
            <w:right w:val="none" w:sz="0" w:space="0" w:color="auto"/>
          </w:divBdr>
          <w:divsChild>
            <w:div w:id="1444617913">
              <w:marLeft w:val="0"/>
              <w:marRight w:val="0"/>
              <w:marTop w:val="0"/>
              <w:marBottom w:val="0"/>
              <w:divBdr>
                <w:top w:val="none" w:sz="0" w:space="0" w:color="auto"/>
                <w:left w:val="none" w:sz="0" w:space="0" w:color="auto"/>
                <w:bottom w:val="none" w:sz="0" w:space="0" w:color="auto"/>
                <w:right w:val="none" w:sz="0" w:space="0" w:color="auto"/>
              </w:divBdr>
              <w:divsChild>
                <w:div w:id="1235122133">
                  <w:marLeft w:val="180"/>
                  <w:marRight w:val="0"/>
                  <w:marTop w:val="0"/>
                  <w:marBottom w:val="0"/>
                  <w:divBdr>
                    <w:top w:val="none" w:sz="0" w:space="0" w:color="auto"/>
                    <w:left w:val="none" w:sz="0" w:space="0" w:color="auto"/>
                    <w:bottom w:val="none" w:sz="0" w:space="0" w:color="auto"/>
                    <w:right w:val="none" w:sz="0" w:space="0" w:color="auto"/>
                  </w:divBdr>
                  <w:divsChild>
                    <w:div w:id="15681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33112">
      <w:bodyDiv w:val="1"/>
      <w:marLeft w:val="0"/>
      <w:marRight w:val="0"/>
      <w:marTop w:val="0"/>
      <w:marBottom w:val="0"/>
      <w:divBdr>
        <w:top w:val="none" w:sz="0" w:space="0" w:color="auto"/>
        <w:left w:val="none" w:sz="0" w:space="0" w:color="auto"/>
        <w:bottom w:val="none" w:sz="0" w:space="0" w:color="auto"/>
        <w:right w:val="none" w:sz="0" w:space="0" w:color="auto"/>
      </w:divBdr>
    </w:div>
    <w:div w:id="680007157">
      <w:bodyDiv w:val="1"/>
      <w:marLeft w:val="0"/>
      <w:marRight w:val="0"/>
      <w:marTop w:val="0"/>
      <w:marBottom w:val="0"/>
      <w:divBdr>
        <w:top w:val="none" w:sz="0" w:space="0" w:color="auto"/>
        <w:left w:val="none" w:sz="0" w:space="0" w:color="auto"/>
        <w:bottom w:val="none" w:sz="0" w:space="0" w:color="auto"/>
        <w:right w:val="none" w:sz="0" w:space="0" w:color="auto"/>
      </w:divBdr>
      <w:divsChild>
        <w:div w:id="111167627">
          <w:marLeft w:val="0"/>
          <w:marRight w:val="0"/>
          <w:marTop w:val="0"/>
          <w:marBottom w:val="0"/>
          <w:divBdr>
            <w:top w:val="none" w:sz="0" w:space="0" w:color="auto"/>
            <w:left w:val="none" w:sz="0" w:space="0" w:color="auto"/>
            <w:bottom w:val="none" w:sz="0" w:space="0" w:color="auto"/>
            <w:right w:val="none" w:sz="0" w:space="0" w:color="auto"/>
          </w:divBdr>
        </w:div>
        <w:div w:id="2066221871">
          <w:marLeft w:val="0"/>
          <w:marRight w:val="0"/>
          <w:marTop w:val="0"/>
          <w:marBottom w:val="0"/>
          <w:divBdr>
            <w:top w:val="none" w:sz="0" w:space="0" w:color="auto"/>
            <w:left w:val="none" w:sz="0" w:space="0" w:color="auto"/>
            <w:bottom w:val="none" w:sz="0" w:space="0" w:color="auto"/>
            <w:right w:val="none" w:sz="0" w:space="0" w:color="auto"/>
          </w:divBdr>
        </w:div>
      </w:divsChild>
    </w:div>
    <w:div w:id="846747040">
      <w:bodyDiv w:val="1"/>
      <w:marLeft w:val="0"/>
      <w:marRight w:val="0"/>
      <w:marTop w:val="0"/>
      <w:marBottom w:val="0"/>
      <w:divBdr>
        <w:top w:val="none" w:sz="0" w:space="0" w:color="auto"/>
        <w:left w:val="none" w:sz="0" w:space="0" w:color="auto"/>
        <w:bottom w:val="none" w:sz="0" w:space="0" w:color="auto"/>
        <w:right w:val="none" w:sz="0" w:space="0" w:color="auto"/>
      </w:divBdr>
    </w:div>
    <w:div w:id="1224945854">
      <w:bodyDiv w:val="1"/>
      <w:marLeft w:val="0"/>
      <w:marRight w:val="0"/>
      <w:marTop w:val="0"/>
      <w:marBottom w:val="0"/>
      <w:divBdr>
        <w:top w:val="none" w:sz="0" w:space="0" w:color="auto"/>
        <w:left w:val="none" w:sz="0" w:space="0" w:color="auto"/>
        <w:bottom w:val="none" w:sz="0" w:space="0" w:color="auto"/>
        <w:right w:val="none" w:sz="0" w:space="0" w:color="auto"/>
      </w:divBdr>
    </w:div>
    <w:div w:id="1253857678">
      <w:bodyDiv w:val="1"/>
      <w:marLeft w:val="0"/>
      <w:marRight w:val="0"/>
      <w:marTop w:val="0"/>
      <w:marBottom w:val="0"/>
      <w:divBdr>
        <w:top w:val="none" w:sz="0" w:space="0" w:color="auto"/>
        <w:left w:val="none" w:sz="0" w:space="0" w:color="auto"/>
        <w:bottom w:val="none" w:sz="0" w:space="0" w:color="auto"/>
        <w:right w:val="none" w:sz="0" w:space="0" w:color="auto"/>
      </w:divBdr>
    </w:div>
    <w:div w:id="1271742410">
      <w:bodyDiv w:val="1"/>
      <w:marLeft w:val="0"/>
      <w:marRight w:val="0"/>
      <w:marTop w:val="0"/>
      <w:marBottom w:val="0"/>
      <w:divBdr>
        <w:top w:val="none" w:sz="0" w:space="0" w:color="auto"/>
        <w:left w:val="none" w:sz="0" w:space="0" w:color="auto"/>
        <w:bottom w:val="none" w:sz="0" w:space="0" w:color="auto"/>
        <w:right w:val="none" w:sz="0" w:space="0" w:color="auto"/>
      </w:divBdr>
    </w:div>
    <w:div w:id="1542478374">
      <w:bodyDiv w:val="1"/>
      <w:marLeft w:val="0"/>
      <w:marRight w:val="0"/>
      <w:marTop w:val="0"/>
      <w:marBottom w:val="0"/>
      <w:divBdr>
        <w:top w:val="none" w:sz="0" w:space="0" w:color="auto"/>
        <w:left w:val="none" w:sz="0" w:space="0" w:color="auto"/>
        <w:bottom w:val="none" w:sz="0" w:space="0" w:color="auto"/>
        <w:right w:val="none" w:sz="0" w:space="0" w:color="auto"/>
      </w:divBdr>
      <w:divsChild>
        <w:div w:id="2059939561">
          <w:marLeft w:val="0"/>
          <w:marRight w:val="0"/>
          <w:marTop w:val="0"/>
          <w:marBottom w:val="0"/>
          <w:divBdr>
            <w:top w:val="none" w:sz="0" w:space="0" w:color="auto"/>
            <w:left w:val="none" w:sz="0" w:space="0" w:color="auto"/>
            <w:bottom w:val="none" w:sz="0" w:space="0" w:color="auto"/>
            <w:right w:val="none" w:sz="0" w:space="0" w:color="auto"/>
          </w:divBdr>
          <w:divsChild>
            <w:div w:id="462234152">
              <w:marLeft w:val="0"/>
              <w:marRight w:val="0"/>
              <w:marTop w:val="0"/>
              <w:marBottom w:val="0"/>
              <w:divBdr>
                <w:top w:val="none" w:sz="0" w:space="0" w:color="auto"/>
                <w:left w:val="none" w:sz="0" w:space="0" w:color="auto"/>
                <w:bottom w:val="none" w:sz="0" w:space="0" w:color="auto"/>
                <w:right w:val="none" w:sz="0" w:space="0" w:color="auto"/>
              </w:divBdr>
              <w:divsChild>
                <w:div w:id="78014583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45404336">
          <w:marLeft w:val="0"/>
          <w:marRight w:val="0"/>
          <w:marTop w:val="0"/>
          <w:marBottom w:val="0"/>
          <w:divBdr>
            <w:top w:val="none" w:sz="0" w:space="0" w:color="auto"/>
            <w:left w:val="none" w:sz="0" w:space="0" w:color="auto"/>
            <w:bottom w:val="none" w:sz="0" w:space="0" w:color="auto"/>
            <w:right w:val="none" w:sz="0" w:space="0" w:color="auto"/>
          </w:divBdr>
          <w:divsChild>
            <w:div w:id="63795444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595747376">
      <w:bodyDiv w:val="1"/>
      <w:marLeft w:val="0"/>
      <w:marRight w:val="0"/>
      <w:marTop w:val="0"/>
      <w:marBottom w:val="0"/>
      <w:divBdr>
        <w:top w:val="none" w:sz="0" w:space="0" w:color="auto"/>
        <w:left w:val="none" w:sz="0" w:space="0" w:color="auto"/>
        <w:bottom w:val="none" w:sz="0" w:space="0" w:color="auto"/>
        <w:right w:val="none" w:sz="0" w:space="0" w:color="auto"/>
      </w:divBdr>
    </w:div>
    <w:div w:id="1872068120">
      <w:bodyDiv w:val="1"/>
      <w:marLeft w:val="0"/>
      <w:marRight w:val="0"/>
      <w:marTop w:val="0"/>
      <w:marBottom w:val="0"/>
      <w:divBdr>
        <w:top w:val="none" w:sz="0" w:space="0" w:color="auto"/>
        <w:left w:val="none" w:sz="0" w:space="0" w:color="auto"/>
        <w:bottom w:val="none" w:sz="0" w:space="0" w:color="auto"/>
        <w:right w:val="none" w:sz="0" w:space="0" w:color="auto"/>
      </w:divBdr>
    </w:div>
    <w:div w:id="1921718366">
      <w:bodyDiv w:val="1"/>
      <w:marLeft w:val="0"/>
      <w:marRight w:val="0"/>
      <w:marTop w:val="0"/>
      <w:marBottom w:val="0"/>
      <w:divBdr>
        <w:top w:val="none" w:sz="0" w:space="0" w:color="auto"/>
        <w:left w:val="none" w:sz="0" w:space="0" w:color="auto"/>
        <w:bottom w:val="none" w:sz="0" w:space="0" w:color="auto"/>
        <w:right w:val="none" w:sz="0" w:space="0" w:color="auto"/>
      </w:divBdr>
    </w:div>
    <w:div w:id="2004896389">
      <w:bodyDiv w:val="1"/>
      <w:marLeft w:val="0"/>
      <w:marRight w:val="0"/>
      <w:marTop w:val="0"/>
      <w:marBottom w:val="0"/>
      <w:divBdr>
        <w:top w:val="none" w:sz="0" w:space="0" w:color="auto"/>
        <w:left w:val="none" w:sz="0" w:space="0" w:color="auto"/>
        <w:bottom w:val="none" w:sz="0" w:space="0" w:color="auto"/>
        <w:right w:val="none" w:sz="0" w:space="0" w:color="auto"/>
      </w:divBdr>
    </w:div>
    <w:div w:id="208078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etnao365.sharepoint.com/sites/PolarisPHDDocumentationReview/Shared%20Documents/General/TW%20February%20Release/Kianah%20Drafts/CMS-2-01742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Props1.xml><?xml version="1.0" encoding="utf-8"?>
<ds:datastoreItem xmlns:ds="http://schemas.openxmlformats.org/officeDocument/2006/customXml" ds:itemID="{9A4D1D30-541B-43E0-A70B-78E9E35639B0}">
  <ds:schemaRefs>
    <ds:schemaRef ds:uri="http://schemas.openxmlformats.org/officeDocument/2006/bibliography"/>
  </ds:schemaRefs>
</ds:datastoreItem>
</file>

<file path=customXml/itemProps2.xml><?xml version="1.0" encoding="utf-8"?>
<ds:datastoreItem xmlns:ds="http://schemas.openxmlformats.org/officeDocument/2006/customXml" ds:itemID="{A3AF9D30-24AF-4894-9710-56594C094C45}">
  <ds:schemaRefs>
    <ds:schemaRef ds:uri="http://schemas.microsoft.com/sharepoint/v3/contenttype/forms"/>
  </ds:schemaRefs>
</ds:datastoreItem>
</file>

<file path=customXml/itemProps3.xml><?xml version="1.0" encoding="utf-8"?>
<ds:datastoreItem xmlns:ds="http://schemas.openxmlformats.org/officeDocument/2006/customXml" ds:itemID="{1D464DCB-B063-4B0F-9462-6227183864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6D3EE5-4081-4CC5-9EB1-EFA7D4721DF3}">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1218</Words>
  <Characters>6943</Characters>
  <Application>Microsoft Office Word</Application>
  <DocSecurity>0</DocSecurity>
  <Lines>57</Lines>
  <Paragraphs>16</Paragraphs>
  <ScaleCrop>false</ScaleCrop>
  <Company>Caremark</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cp:lastModifiedBy>Gambino, Ashley</cp:lastModifiedBy>
  <cp:revision>13</cp:revision>
  <dcterms:created xsi:type="dcterms:W3CDTF">2024-01-08T19:49:00Z</dcterms:created>
  <dcterms:modified xsi:type="dcterms:W3CDTF">2024-03-01T00:24:00Z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2023-12-28T16:50:49Z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51748d4b-8190-4934-9d46-1aeb62fa9a88</vt:lpwstr>
  </property>
  <property fmtid="{D5CDD505-2E9C-101B-9397-08002B2CF9AE}" pid="8" name="MSIP_Label_1ecdf243-b9b0-4f63-8694-76742e4201b7_ContentBits">
    <vt:lpwstr>0</vt:lpwstr>
  </property>
  <property fmtid="{D5CDD505-2E9C-101B-9397-08002B2CF9AE}" pid="9" name="MediaServiceImageTags">
    <vt:lpwstr/>
  </property>
  <property fmtid="{D5CDD505-2E9C-101B-9397-08002B2CF9AE}" pid="10" name="ContentTypeId">
    <vt:lpwstr>0x010100BFF65EA64E6B344EA2F2A4020CC41A24</vt:lpwstr>
  </property>
</Properties>
</file>