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6D41D" w14:textId="68FA681C" w:rsidR="0060516D" w:rsidRDefault="007554E1" w:rsidP="0060516D">
      <w:pPr>
        <w:rPr>
          <w:rFonts w:ascii="Verdana" w:hAnsi="Verdana" w:cs="Arial"/>
          <w:b/>
          <w:color w:val="000000"/>
          <w:sz w:val="36"/>
          <w:szCs w:val="36"/>
        </w:rPr>
      </w:pPr>
      <w:bookmarkStart w:id="0" w:name="_top"/>
      <w:bookmarkStart w:id="1" w:name="OLE_LINK35"/>
      <w:bookmarkStart w:id="2" w:name="OLE_LINK34"/>
      <w:bookmarkStart w:id="3" w:name="OLE_LINK21"/>
      <w:bookmarkStart w:id="4" w:name="_Toc358234285"/>
      <w:bookmarkStart w:id="5" w:name="_Toc358372423"/>
      <w:bookmarkStart w:id="6" w:name="_Toc419756473"/>
      <w:bookmarkStart w:id="7" w:name="_Toc437510986"/>
      <w:bookmarkStart w:id="8" w:name="OLE_LINK10"/>
      <w:bookmarkStart w:id="9" w:name="_Toc103940196"/>
      <w:bookmarkStart w:id="10" w:name="_Toc103940292"/>
      <w:bookmarkEnd w:id="0"/>
      <w:r>
        <w:rPr>
          <w:rFonts w:ascii="Verdana" w:hAnsi="Verdana" w:cs="Arial"/>
          <w:b/>
          <w:color w:val="000000"/>
          <w:sz w:val="36"/>
          <w:szCs w:val="36"/>
        </w:rPr>
        <w:t xml:space="preserve">Compass </w:t>
      </w:r>
      <w:r w:rsidR="0060516D">
        <w:rPr>
          <w:rFonts w:ascii="Verdana" w:hAnsi="Verdana" w:cs="Arial"/>
          <w:b/>
          <w:color w:val="000000"/>
          <w:sz w:val="36"/>
          <w:szCs w:val="36"/>
        </w:rPr>
        <w:t xml:space="preserve">MED D </w:t>
      </w:r>
      <w:r w:rsidR="004022FB">
        <w:rPr>
          <w:rFonts w:ascii="Verdana" w:hAnsi="Verdana" w:cs="Arial"/>
          <w:b/>
          <w:color w:val="000000"/>
          <w:sz w:val="36"/>
          <w:szCs w:val="36"/>
        </w:rPr>
        <w:t>-</w:t>
      </w:r>
      <w:r w:rsidR="0060516D">
        <w:rPr>
          <w:rFonts w:ascii="Verdana" w:hAnsi="Verdana" w:cs="Arial"/>
          <w:b/>
          <w:color w:val="000000"/>
          <w:sz w:val="36"/>
          <w:szCs w:val="36"/>
        </w:rPr>
        <w:t xml:space="preserve"> </w:t>
      </w:r>
      <w:bookmarkStart w:id="11" w:name="OLE_LINK2"/>
      <w:bookmarkStart w:id="12" w:name="OLE_LINK3"/>
      <w:r w:rsidR="0060516D">
        <w:rPr>
          <w:rFonts w:ascii="Verdana" w:hAnsi="Verdana" w:cs="Arial"/>
          <w:b/>
          <w:color w:val="000000"/>
          <w:sz w:val="36"/>
          <w:szCs w:val="36"/>
        </w:rPr>
        <w:t xml:space="preserve">SilverScript and Blue MedicareRx (NEJE) </w:t>
      </w:r>
      <w:r w:rsidR="004022FB">
        <w:rPr>
          <w:rFonts w:ascii="Verdana" w:hAnsi="Verdana" w:cs="Arial"/>
          <w:b/>
          <w:color w:val="000000"/>
          <w:sz w:val="36"/>
          <w:szCs w:val="36"/>
        </w:rPr>
        <w:t>-</w:t>
      </w:r>
      <w:r w:rsidR="0060516D">
        <w:rPr>
          <w:rFonts w:ascii="Verdana" w:hAnsi="Verdana" w:cs="Arial"/>
          <w:b/>
          <w:color w:val="000000"/>
          <w:sz w:val="36"/>
          <w:szCs w:val="36"/>
        </w:rPr>
        <w:t xml:space="preserve"> Resolving Eligibility Issues for Incarcerated or Not Lawfully Present</w:t>
      </w:r>
      <w:bookmarkEnd w:id="11"/>
      <w:bookmarkEnd w:id="12"/>
      <w:r w:rsidR="0060516D">
        <w:rPr>
          <w:rFonts w:ascii="Verdana" w:hAnsi="Verdana" w:cs="Arial"/>
          <w:b/>
          <w:color w:val="000000"/>
          <w:sz w:val="36"/>
          <w:szCs w:val="36"/>
        </w:rPr>
        <w:t xml:space="preserve"> </w:t>
      </w:r>
      <w:bookmarkStart w:id="13" w:name="OLE_LINK33"/>
      <w:r w:rsidR="0060516D">
        <w:rPr>
          <w:rFonts w:ascii="Verdana" w:hAnsi="Verdana" w:cs="Arial"/>
          <w:b/>
          <w:color w:val="000000"/>
          <w:sz w:val="36"/>
          <w:szCs w:val="36"/>
        </w:rPr>
        <w:t>Beneficiaries</w:t>
      </w:r>
      <w:bookmarkEnd w:id="13"/>
      <w:r w:rsidR="0060516D">
        <w:rPr>
          <w:rFonts w:ascii="Verdana" w:hAnsi="Verdana" w:cs="Arial"/>
          <w:b/>
          <w:color w:val="000000"/>
          <w:sz w:val="36"/>
          <w:szCs w:val="36"/>
        </w:rPr>
        <w:t xml:space="preserve"> </w:t>
      </w:r>
      <w:bookmarkEnd w:id="1"/>
      <w:bookmarkEnd w:id="2"/>
    </w:p>
    <w:bookmarkEnd w:id="3"/>
    <w:p w14:paraId="2D045A57" w14:textId="77777777" w:rsidR="0060516D" w:rsidRDefault="0060516D" w:rsidP="0060516D">
      <w:pPr>
        <w:rPr>
          <w:rFonts w:ascii="Verdana" w:hAnsi="Verdana"/>
        </w:rPr>
      </w:pPr>
    </w:p>
    <w:p w14:paraId="66068BF3" w14:textId="77777777" w:rsidR="0060516D" w:rsidRDefault="0060516D" w:rsidP="008E46FE">
      <w:pPr>
        <w:pStyle w:val="TOC2"/>
        <w:rPr>
          <w:rFonts w:asciiTheme="minorHAnsi" w:eastAsiaTheme="minorEastAsia" w:hAnsiTheme="minorHAnsi" w:cstheme="minorBidi"/>
          <w:noProof/>
          <w:sz w:val="22"/>
          <w:szCs w:val="22"/>
        </w:rPr>
      </w:pPr>
      <w:r>
        <w:fldChar w:fldCharType="begin"/>
      </w:r>
      <w:r>
        <w:instrText xml:space="preserve"> TOC \o "2-2" \n \p " " \h \z \u </w:instrText>
      </w:r>
      <w:r>
        <w:fldChar w:fldCharType="separate"/>
      </w:r>
      <w:hyperlink w:anchor="_Toc106882491" w:history="1">
        <w:r w:rsidRPr="006E6D3E">
          <w:rPr>
            <w:rStyle w:val="Hyperlink"/>
            <w:rFonts w:ascii="Verdana" w:hAnsi="Verdana"/>
            <w:noProof/>
          </w:rPr>
          <w:t>Overview</w:t>
        </w:r>
      </w:hyperlink>
    </w:p>
    <w:p w14:paraId="2433E6EF" w14:textId="77777777" w:rsidR="0060516D" w:rsidRDefault="00000000" w:rsidP="008E46FE">
      <w:pPr>
        <w:pStyle w:val="TOC2"/>
        <w:rPr>
          <w:rFonts w:asciiTheme="minorHAnsi" w:eastAsiaTheme="minorEastAsia" w:hAnsiTheme="minorHAnsi" w:cstheme="minorBidi"/>
          <w:noProof/>
          <w:sz w:val="22"/>
          <w:szCs w:val="22"/>
        </w:rPr>
      </w:pPr>
      <w:hyperlink w:anchor="_Toc106882492" w:history="1">
        <w:r w:rsidR="0060516D" w:rsidRPr="006E6D3E">
          <w:rPr>
            <w:rStyle w:val="Hyperlink"/>
            <w:rFonts w:ascii="Verdana" w:hAnsi="Verdana"/>
            <w:noProof/>
          </w:rPr>
          <w:t>Involuntary Disenrollment</w:t>
        </w:r>
      </w:hyperlink>
    </w:p>
    <w:p w14:paraId="762F29C0" w14:textId="77777777" w:rsidR="0060516D" w:rsidRDefault="00000000" w:rsidP="008E46FE">
      <w:pPr>
        <w:pStyle w:val="TOC2"/>
        <w:rPr>
          <w:rFonts w:asciiTheme="minorHAnsi" w:eastAsiaTheme="minorEastAsia" w:hAnsiTheme="minorHAnsi" w:cstheme="minorBidi"/>
          <w:noProof/>
          <w:sz w:val="22"/>
          <w:szCs w:val="22"/>
        </w:rPr>
      </w:pPr>
      <w:hyperlink w:anchor="_Toc106882493" w:history="1">
        <w:r w:rsidR="0060516D" w:rsidRPr="006E6D3E">
          <w:rPr>
            <w:rStyle w:val="Hyperlink"/>
            <w:rFonts w:ascii="Verdana" w:hAnsi="Verdana"/>
            <w:noProof/>
          </w:rPr>
          <w:t>FAQs Incarceration/ Not Lawfully Present</w:t>
        </w:r>
      </w:hyperlink>
    </w:p>
    <w:p w14:paraId="0A619D2B" w14:textId="77777777" w:rsidR="0060516D" w:rsidRDefault="00000000" w:rsidP="008E46FE">
      <w:pPr>
        <w:pStyle w:val="TOC2"/>
        <w:rPr>
          <w:rFonts w:asciiTheme="minorHAnsi" w:eastAsiaTheme="minorEastAsia" w:hAnsiTheme="minorHAnsi" w:cstheme="minorBidi"/>
          <w:noProof/>
          <w:sz w:val="22"/>
          <w:szCs w:val="22"/>
        </w:rPr>
      </w:pPr>
      <w:hyperlink w:anchor="_Toc106882494" w:history="1">
        <w:r w:rsidR="0060516D" w:rsidRPr="006E6D3E">
          <w:rPr>
            <w:rStyle w:val="Hyperlink"/>
            <w:rFonts w:ascii="Verdana" w:hAnsi="Verdana"/>
            <w:noProof/>
          </w:rPr>
          <w:t>Related Documents</w:t>
        </w:r>
      </w:hyperlink>
    </w:p>
    <w:p w14:paraId="3DD1F649" w14:textId="5DD73C2F" w:rsidR="0060516D" w:rsidRDefault="0060516D" w:rsidP="0060516D">
      <w:pPr>
        <w:rPr>
          <w:rFonts w:ascii="Verdana" w:hAnsi="Verdana"/>
        </w:rPr>
      </w:pPr>
      <w:r>
        <w:fldChar w:fldCharType="end"/>
      </w:r>
    </w:p>
    <w:p w14:paraId="3AE22E81" w14:textId="77777777" w:rsidR="0060516D" w:rsidRDefault="0060516D" w:rsidP="0060516D">
      <w:pPr>
        <w:rPr>
          <w:rFonts w:ascii="Verdana" w:hAnsi="Verdana"/>
        </w:rPr>
      </w:pPr>
    </w:p>
    <w:p w14:paraId="121ED87E" w14:textId="77777777" w:rsidR="0060516D" w:rsidRDefault="0060516D" w:rsidP="0060516D">
      <w:pPr>
        <w:rPr>
          <w:rFonts w:ascii="Verdana" w:hAnsi="Verdana"/>
          <w:color w:val="000000"/>
        </w:rPr>
      </w:pPr>
      <w:r>
        <w:rPr>
          <w:rFonts w:ascii="Verdana" w:hAnsi="Verdana"/>
          <w:b/>
        </w:rPr>
        <w:t xml:space="preserve">Description:  </w:t>
      </w:r>
      <w:bookmarkStart w:id="14" w:name="OLE_LINK1"/>
      <w:r>
        <w:rPr>
          <w:rFonts w:ascii="Verdana" w:hAnsi="Verdana"/>
        </w:rPr>
        <w:t>Follow this work instruction for SilverScript and Blue MedicareRx (NEJE) for calls related to incarcerated or not lawfully present</w:t>
      </w:r>
      <w:r>
        <w:t xml:space="preserve"> </w:t>
      </w:r>
      <w:r>
        <w:rPr>
          <w:rFonts w:ascii="Verdana" w:hAnsi="Verdana"/>
        </w:rPr>
        <w:t>beneficiaries.</w:t>
      </w:r>
    </w:p>
    <w:p w14:paraId="4E659606" w14:textId="77777777" w:rsidR="0060516D" w:rsidRDefault="0060516D" w:rsidP="0060516D">
      <w:pPr>
        <w:jc w:val="right"/>
      </w:pPr>
      <w:bookmarkStart w:id="15" w:name="_Rationale"/>
      <w:bookmarkStart w:id="16" w:name="_Definitions"/>
      <w:bookmarkStart w:id="17" w:name="_Abbreviations/Definitions"/>
      <w:bookmarkEnd w:id="14"/>
      <w:bookmarkEnd w:id="15"/>
      <w:bookmarkEnd w:id="16"/>
      <w:bookmarkEnd w:id="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60516D" w14:paraId="71A85080" w14:textId="77777777" w:rsidTr="0060516D">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A394211" w14:textId="008FD9D9" w:rsidR="0060516D" w:rsidRDefault="0060516D">
            <w:pPr>
              <w:pStyle w:val="Heading2"/>
              <w:spacing w:before="0" w:after="0"/>
              <w:rPr>
                <w:rFonts w:ascii="Verdana" w:hAnsi="Verdana"/>
                <w:i w:val="0"/>
              </w:rPr>
            </w:pPr>
            <w:bookmarkStart w:id="18" w:name="_Process"/>
            <w:bookmarkStart w:id="19" w:name="_Various_Work_Instructions1"/>
            <w:bookmarkStart w:id="20" w:name="_Various_Work_Instructions_1"/>
            <w:bookmarkStart w:id="21" w:name="_Qualifying_the_Call"/>
            <w:bookmarkStart w:id="22" w:name="_Determining_if_an"/>
            <w:bookmarkStart w:id="23" w:name="_Toc106882491"/>
            <w:bookmarkEnd w:id="18"/>
            <w:bookmarkEnd w:id="19"/>
            <w:bookmarkEnd w:id="20"/>
            <w:bookmarkEnd w:id="21"/>
            <w:bookmarkEnd w:id="22"/>
            <w:r>
              <w:rPr>
                <w:rFonts w:ascii="Verdana" w:hAnsi="Verdana"/>
                <w:i w:val="0"/>
              </w:rPr>
              <w:t>Overview</w:t>
            </w:r>
            <w:bookmarkEnd w:id="23"/>
            <w:r>
              <w:rPr>
                <w:rFonts w:ascii="Verdana" w:hAnsi="Verdana"/>
                <w:i w:val="0"/>
              </w:rPr>
              <w:t xml:space="preserve"> </w:t>
            </w:r>
          </w:p>
        </w:tc>
      </w:tr>
    </w:tbl>
    <w:p w14:paraId="612545E5" w14:textId="77777777" w:rsidR="0060516D" w:rsidRDefault="0060516D" w:rsidP="0060516D">
      <w:pPr>
        <w:rPr>
          <w:rFonts w:ascii="Verdana" w:hAnsi="Verdana"/>
        </w:rPr>
      </w:pPr>
    </w:p>
    <w:p w14:paraId="6DF744B8" w14:textId="77777777" w:rsidR="0060516D" w:rsidRDefault="0060516D" w:rsidP="0060516D">
      <w:pPr>
        <w:rPr>
          <w:rFonts w:ascii="Verdana" w:hAnsi="Verdana"/>
        </w:rPr>
      </w:pPr>
      <w:r>
        <w:rPr>
          <w:rFonts w:ascii="Verdana" w:hAnsi="Verdana"/>
        </w:rPr>
        <w:t xml:space="preserve">MED D Customer Care Representatives (CCRs) may receive questions from beneficiaries that have been either involuntary disenrolled or were rejected/denied enrollment due to incarceration status or are considered unlawfully present in the United States.  The beneficiary’s disenrollment will be effective the first day of the month following notification by CMS. </w:t>
      </w:r>
    </w:p>
    <w:p w14:paraId="42144194" w14:textId="77777777" w:rsidR="0060516D" w:rsidRDefault="0060516D" w:rsidP="0060516D">
      <w:pPr>
        <w:rPr>
          <w:rFonts w:ascii="Verdana" w:hAnsi="Verdana"/>
        </w:rPr>
      </w:pPr>
    </w:p>
    <w:p w14:paraId="1E2492A0" w14:textId="77777777" w:rsidR="0060516D" w:rsidRDefault="0060516D" w:rsidP="0060516D">
      <w:pPr>
        <w:rPr>
          <w:rFonts w:ascii="Verdana" w:hAnsi="Verdana"/>
        </w:rPr>
      </w:pPr>
      <w:r>
        <w:rPr>
          <w:rFonts w:ascii="Verdana" w:hAnsi="Verdana"/>
        </w:rPr>
        <w:t>The Plan will send a notice informing of the beneficiary’s disenrollment within ten (10) calendar days of receiving notification by CMS:</w:t>
      </w:r>
    </w:p>
    <w:p w14:paraId="7C19BF04" w14:textId="77777777" w:rsidR="0060516D" w:rsidRDefault="0060516D" w:rsidP="0060516D">
      <w:pPr>
        <w:rPr>
          <w:rFonts w:ascii="Verdana" w:hAnsi="Verdana"/>
          <w:b/>
          <w:bCs/>
        </w:rPr>
      </w:pPr>
      <w:bookmarkStart w:id="24" w:name="OLE_LINK92"/>
      <w:bookmarkStart w:id="25" w:name="OLE_LINK93"/>
      <w:bookmarkStart w:id="26" w:name="OLE_LINK85"/>
      <w:r>
        <w:rPr>
          <w:rFonts w:ascii="Verdana" w:hAnsi="Verdana"/>
          <w:b/>
          <w:bCs/>
        </w:rPr>
        <w:t>SilverScript</w:t>
      </w:r>
      <w:bookmarkEnd w:id="24"/>
      <w:bookmarkEnd w:id="25"/>
      <w:r>
        <w:rPr>
          <w:rFonts w:ascii="Verdana" w:hAnsi="Verdana"/>
          <w:b/>
          <w:bCs/>
        </w:rPr>
        <w:t xml:space="preserve">: </w:t>
      </w:r>
    </w:p>
    <w:bookmarkStart w:id="27" w:name="OLE_LINK90"/>
    <w:bookmarkEnd w:id="26"/>
    <w:p w14:paraId="02C1F3D1" w14:textId="77777777" w:rsidR="0060516D" w:rsidRDefault="0060516D" w:rsidP="0060516D">
      <w:pPr>
        <w:numPr>
          <w:ilvl w:val="0"/>
          <w:numId w:val="1"/>
        </w:numPr>
        <w:rPr>
          <w:rFonts w:ascii="Verdana" w:hAnsi="Verdana"/>
        </w:rPr>
      </w:pPr>
      <w:r>
        <w:fldChar w:fldCharType="begin"/>
      </w:r>
      <w:r>
        <w:instrText xml:space="preserve"> HYPERLINK "file:///C:\\Users\\C071417\\Documents\\MED%20D%20ENROLLMENT\\Incarceration%20Documents\\For%20Review\\TSRC-PROD-051255" </w:instrText>
      </w:r>
      <w:r>
        <w:fldChar w:fldCharType="separate"/>
      </w:r>
      <w:r>
        <w:rPr>
          <w:rStyle w:val="Hyperlink"/>
          <w:rFonts w:ascii="Verdana" w:hAnsi="Verdana"/>
        </w:rPr>
        <w:t xml:space="preserve">Exhibit 36: </w:t>
      </w:r>
      <w:bookmarkStart w:id="28" w:name="OLE_LINK20"/>
      <w:r>
        <w:rPr>
          <w:rStyle w:val="Hyperlink"/>
          <w:rFonts w:ascii="Verdana" w:hAnsi="Verdana"/>
        </w:rPr>
        <w:t xml:space="preserve">SilverScript Notification of Involuntary Disenrollment </w:t>
      </w:r>
      <w:bookmarkEnd w:id="28"/>
      <w:r>
        <w:rPr>
          <w:rStyle w:val="Hyperlink"/>
          <w:rFonts w:ascii="Verdana" w:hAnsi="Verdana"/>
        </w:rPr>
        <w:t>by the Centers for Medicare &amp; Medicaid Services Due to Incarceration</w:t>
      </w:r>
      <w:r>
        <w:fldChar w:fldCharType="end"/>
      </w:r>
    </w:p>
    <w:p w14:paraId="65B35A09" w14:textId="77777777" w:rsidR="0060516D" w:rsidRDefault="00000000" w:rsidP="0060516D">
      <w:pPr>
        <w:numPr>
          <w:ilvl w:val="0"/>
          <w:numId w:val="1"/>
        </w:numPr>
        <w:rPr>
          <w:rFonts w:ascii="Verdana" w:hAnsi="Verdana"/>
        </w:rPr>
      </w:pPr>
      <w:hyperlink r:id="rId11" w:history="1">
        <w:r w:rsidR="0060516D">
          <w:rPr>
            <w:rStyle w:val="Hyperlink"/>
            <w:rFonts w:ascii="Verdana" w:hAnsi="Verdana"/>
          </w:rPr>
          <w:t>Exhibit 37: SilverScript Notification of Involuntary Disenrollment by the Centers for Medicare &amp; Medicaid Services Due to Loss of Lawful Presence</w:t>
        </w:r>
      </w:hyperlink>
    </w:p>
    <w:bookmarkEnd w:id="27"/>
    <w:p w14:paraId="2C92058E" w14:textId="77777777" w:rsidR="0060516D" w:rsidRDefault="0060516D" w:rsidP="0060516D">
      <w:pPr>
        <w:rPr>
          <w:rFonts w:ascii="Verdana" w:hAnsi="Verdana"/>
        </w:rPr>
      </w:pPr>
    </w:p>
    <w:p w14:paraId="78EBF3D8" w14:textId="77777777" w:rsidR="0060516D" w:rsidRDefault="0060516D" w:rsidP="0060516D">
      <w:pPr>
        <w:rPr>
          <w:rFonts w:ascii="Verdana" w:hAnsi="Verdana"/>
          <w:b/>
          <w:bCs/>
        </w:rPr>
      </w:pPr>
      <w:bookmarkStart w:id="29" w:name="OLE_LINK86"/>
      <w:r>
        <w:rPr>
          <w:rFonts w:ascii="Verdana" w:hAnsi="Verdana"/>
          <w:b/>
          <w:bCs/>
        </w:rPr>
        <w:t>Blue MedicareRx (NEJE):</w:t>
      </w:r>
    </w:p>
    <w:bookmarkStart w:id="30" w:name="OLE_LINK96"/>
    <w:bookmarkEnd w:id="29"/>
    <w:p w14:paraId="0EF6AED1" w14:textId="77777777" w:rsidR="0060516D" w:rsidRDefault="0060516D" w:rsidP="0060516D">
      <w:pPr>
        <w:numPr>
          <w:ilvl w:val="0"/>
          <w:numId w:val="1"/>
        </w:numPr>
        <w:rPr>
          <w:rFonts w:ascii="Verdana" w:hAnsi="Verdana"/>
        </w:rPr>
      </w:pPr>
      <w:r>
        <w:fldChar w:fldCharType="begin"/>
      </w:r>
      <w:r>
        <w:instrText xml:space="preserve"> HYPERLINK "file:///C:\\Users\\C071417\\Documents\\MED%20D%20ENROLLMENT\\Incarceration%20Documents\\For%20Review\\TSRC-PROD-051376" </w:instrText>
      </w:r>
      <w:r>
        <w:fldChar w:fldCharType="separate"/>
      </w:r>
      <w:r>
        <w:rPr>
          <w:rStyle w:val="Hyperlink"/>
          <w:rFonts w:ascii="Verdana" w:hAnsi="Verdana"/>
        </w:rPr>
        <w:t>Exhibit 36: Blue MedicareRx Notification of Involuntary Disenrollment by the Centers for Medicare &amp; Medicaid Services Due to Incarceration</w:t>
      </w:r>
      <w:r>
        <w:fldChar w:fldCharType="end"/>
      </w:r>
    </w:p>
    <w:bookmarkEnd w:id="30"/>
    <w:p w14:paraId="289D3975" w14:textId="77777777" w:rsidR="0060516D" w:rsidRDefault="0060516D" w:rsidP="0060516D">
      <w:pPr>
        <w:ind w:left="720"/>
        <w:rPr>
          <w:rFonts w:ascii="Verdana" w:hAnsi="Verdana"/>
        </w:rPr>
      </w:pPr>
      <w:r>
        <w:rPr>
          <w:rFonts w:ascii="Verdana" w:hAnsi="Verdana"/>
          <w:b/>
          <w:bCs/>
        </w:rPr>
        <w:t xml:space="preserve">Note: </w:t>
      </w:r>
      <w:r>
        <w:rPr>
          <w:rFonts w:ascii="Verdana" w:hAnsi="Verdana"/>
        </w:rPr>
        <w:t xml:space="preserve">Coming Soon Exhibit 37: Blue MedicareRx Notification of Involuntary Disenrollment by the Centers for Medicare &amp; Medicaid Services Due to Loss of Lawful Presence </w:t>
      </w:r>
    </w:p>
    <w:p w14:paraId="32B1F374" w14:textId="77777777" w:rsidR="0060516D" w:rsidRDefault="0060516D" w:rsidP="0060516D">
      <w:pPr>
        <w:rPr>
          <w:rFonts w:ascii="Verdana" w:hAnsi="Verdana"/>
        </w:rPr>
      </w:pPr>
    </w:p>
    <w:p w14:paraId="6FD57A96" w14:textId="77777777" w:rsidR="0060516D" w:rsidRDefault="0060516D" w:rsidP="0060516D">
      <w:pPr>
        <w:rPr>
          <w:rFonts w:ascii="Verdana" w:hAnsi="Verdana"/>
        </w:rPr>
      </w:pPr>
      <w:r>
        <w:rPr>
          <w:rFonts w:ascii="Verdana" w:hAnsi="Verdana"/>
        </w:rPr>
        <w:t>A denial or rejection of enrollment letter will be sent by the plan, if applicable:</w:t>
      </w:r>
    </w:p>
    <w:p w14:paraId="6BCCB756" w14:textId="77777777" w:rsidR="0060516D" w:rsidRDefault="0060516D" w:rsidP="0060516D">
      <w:pPr>
        <w:rPr>
          <w:rFonts w:ascii="Verdana" w:hAnsi="Verdana"/>
          <w:b/>
          <w:bCs/>
        </w:rPr>
      </w:pPr>
      <w:r>
        <w:rPr>
          <w:rFonts w:ascii="Verdana" w:hAnsi="Verdana"/>
          <w:b/>
          <w:bCs/>
        </w:rPr>
        <w:t xml:space="preserve">SilverScript: </w:t>
      </w:r>
    </w:p>
    <w:bookmarkStart w:id="31" w:name="OLE_LINK87"/>
    <w:p w14:paraId="27A25F58" w14:textId="77777777" w:rsidR="0060516D" w:rsidRDefault="0060516D" w:rsidP="0060516D">
      <w:pPr>
        <w:numPr>
          <w:ilvl w:val="0"/>
          <w:numId w:val="2"/>
        </w:numPr>
        <w:rPr>
          <w:rFonts w:ascii="Verdana" w:hAnsi="Verdana"/>
        </w:rPr>
      </w:pPr>
      <w:r>
        <w:fldChar w:fldCharType="begin"/>
      </w:r>
      <w:r>
        <w:instrText xml:space="preserve"> HYPERLINK "file:///C:\\Users\\C071417\\Documents\\MED%20D%20ENROLLMENT\\Incarceration%20Documents\\For%20Review\\TSRC-PROD-051298" </w:instrText>
      </w:r>
      <w:r>
        <w:fldChar w:fldCharType="separate"/>
      </w:r>
      <w:r>
        <w:rPr>
          <w:rStyle w:val="Hyperlink"/>
          <w:rFonts w:ascii="Verdana" w:hAnsi="Verdana"/>
        </w:rPr>
        <w:t>Exhibit 6: MED D – SilverScript Rejection Letter from Plan</w:t>
      </w:r>
      <w:r>
        <w:fldChar w:fldCharType="end"/>
      </w:r>
    </w:p>
    <w:p w14:paraId="1B308B9D" w14:textId="77777777" w:rsidR="0060516D" w:rsidRDefault="00000000" w:rsidP="0060516D">
      <w:pPr>
        <w:numPr>
          <w:ilvl w:val="0"/>
          <w:numId w:val="3"/>
        </w:numPr>
        <w:rPr>
          <w:rFonts w:ascii="Verdana" w:hAnsi="Verdana"/>
        </w:rPr>
      </w:pPr>
      <w:hyperlink r:id="rId12" w:history="1">
        <w:r w:rsidR="0060516D">
          <w:rPr>
            <w:rStyle w:val="Hyperlink"/>
            <w:rFonts w:ascii="Verdana" w:hAnsi="Verdana"/>
          </w:rPr>
          <w:t>Exhibit 7: MED D – SilverScript Denial Letter from Plan</w:t>
        </w:r>
      </w:hyperlink>
    </w:p>
    <w:bookmarkEnd w:id="31"/>
    <w:p w14:paraId="3068B4F1" w14:textId="77777777" w:rsidR="0060516D" w:rsidRDefault="0060516D" w:rsidP="0060516D">
      <w:pPr>
        <w:rPr>
          <w:rFonts w:ascii="Verdana" w:hAnsi="Verdana"/>
        </w:rPr>
      </w:pPr>
    </w:p>
    <w:p w14:paraId="3BF25027" w14:textId="77777777" w:rsidR="0060516D" w:rsidRDefault="0060516D" w:rsidP="0060516D">
      <w:pPr>
        <w:rPr>
          <w:rFonts w:ascii="Verdana" w:hAnsi="Verdana"/>
          <w:b/>
          <w:bCs/>
        </w:rPr>
      </w:pPr>
      <w:bookmarkStart w:id="32" w:name="OLE_LINK91"/>
      <w:r>
        <w:rPr>
          <w:rFonts w:ascii="Verdana" w:hAnsi="Verdana"/>
          <w:b/>
          <w:bCs/>
        </w:rPr>
        <w:t>Blue MedicareRx</w:t>
      </w:r>
      <w:bookmarkEnd w:id="32"/>
      <w:r>
        <w:rPr>
          <w:rFonts w:ascii="Verdana" w:hAnsi="Verdana"/>
          <w:b/>
          <w:bCs/>
        </w:rPr>
        <w:t xml:space="preserve"> (NEJE):</w:t>
      </w:r>
    </w:p>
    <w:p w14:paraId="59F9B066" w14:textId="77777777" w:rsidR="0060516D" w:rsidRDefault="00000000" w:rsidP="0060516D">
      <w:pPr>
        <w:numPr>
          <w:ilvl w:val="0"/>
          <w:numId w:val="4"/>
        </w:numPr>
        <w:rPr>
          <w:rFonts w:ascii="Verdana" w:hAnsi="Verdana"/>
        </w:rPr>
      </w:pPr>
      <w:hyperlink r:id="rId13" w:history="1">
        <w:r w:rsidR="0060516D">
          <w:rPr>
            <w:rStyle w:val="Hyperlink"/>
            <w:rFonts w:ascii="Verdana" w:hAnsi="Verdana"/>
          </w:rPr>
          <w:t xml:space="preserve">Exhibit 6: MED D – </w:t>
        </w:r>
        <w:bookmarkStart w:id="33" w:name="OLE_LINK89"/>
        <w:bookmarkStart w:id="34" w:name="OLE_LINK88"/>
        <w:r w:rsidR="0060516D">
          <w:rPr>
            <w:rStyle w:val="Hyperlink"/>
            <w:rFonts w:ascii="Verdana" w:hAnsi="Verdana"/>
          </w:rPr>
          <w:t>Blue MedicareRx</w:t>
        </w:r>
        <w:bookmarkEnd w:id="33"/>
        <w:bookmarkEnd w:id="34"/>
        <w:r w:rsidR="0060516D">
          <w:rPr>
            <w:rStyle w:val="Hyperlink"/>
            <w:rFonts w:ascii="Verdana" w:hAnsi="Verdana"/>
          </w:rPr>
          <w:t xml:space="preserve"> Rejection Letter from Plan</w:t>
        </w:r>
      </w:hyperlink>
    </w:p>
    <w:bookmarkStart w:id="35" w:name="OLE_LINK94"/>
    <w:bookmarkStart w:id="36" w:name="OLE_LINK95"/>
    <w:p w14:paraId="5AF116CA" w14:textId="77777777" w:rsidR="0060516D" w:rsidRDefault="0060516D" w:rsidP="0060516D">
      <w:pPr>
        <w:numPr>
          <w:ilvl w:val="0"/>
          <w:numId w:val="5"/>
        </w:numPr>
        <w:rPr>
          <w:rFonts w:ascii="Verdana" w:hAnsi="Verdana"/>
        </w:rPr>
      </w:pPr>
      <w:r>
        <w:fldChar w:fldCharType="begin"/>
      </w:r>
      <w:r>
        <w:instrText xml:space="preserve"> HYPERLINK "file:///C:\\Users\\C071417\\Documents\\MED%20D%20ENROLLMENT\\Incarceration%20Documents\\For%20Review\\TSRC-PROD-051374" </w:instrText>
      </w:r>
      <w:r>
        <w:fldChar w:fldCharType="separate"/>
      </w:r>
      <w:r>
        <w:rPr>
          <w:rStyle w:val="Hyperlink"/>
          <w:rFonts w:ascii="Verdana" w:hAnsi="Verdana"/>
        </w:rPr>
        <w:t>Exhibit 7</w:t>
      </w:r>
      <w:bookmarkEnd w:id="35"/>
      <w:r>
        <w:rPr>
          <w:rStyle w:val="Hyperlink"/>
          <w:rFonts w:ascii="Verdana" w:hAnsi="Verdana"/>
        </w:rPr>
        <w:t>: MED D – Blue MedicareRx Denial Letter from Plan</w:t>
      </w:r>
      <w:r>
        <w:fldChar w:fldCharType="end"/>
      </w:r>
    </w:p>
    <w:bookmarkEnd w:id="36"/>
    <w:p w14:paraId="6E042623" w14:textId="77777777" w:rsidR="0060516D" w:rsidRDefault="0060516D" w:rsidP="0060516D">
      <w:pPr>
        <w:ind w:left="720"/>
        <w:rPr>
          <w:rFonts w:ascii="Verdana" w:hAnsi="Verdana"/>
          <w:b/>
          <w:bCs/>
        </w:rPr>
      </w:pPr>
    </w:p>
    <w:p w14:paraId="3037F5FE" w14:textId="6CD97FEC" w:rsidR="0060516D" w:rsidRDefault="00000000" w:rsidP="0060516D">
      <w:pPr>
        <w:jc w:val="right"/>
        <w:rPr>
          <w:rFonts w:ascii="Verdana" w:hAnsi="Verdana"/>
        </w:rPr>
      </w:pPr>
      <w:hyperlink w:anchor="_top" w:history="1">
        <w:r w:rsidR="0060516D">
          <w:rPr>
            <w:rStyle w:val="Hyperlink"/>
            <w:rFonts w:ascii="Verdana" w:hAnsi="Verdana"/>
          </w:rPr>
          <w:t>Top of the Document</w:t>
        </w:r>
      </w:hyperlink>
      <w:bookmarkStart w:id="37" w:name="_Adding_a_PBO_1"/>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60516D" w14:paraId="7D8D7DB6" w14:textId="77777777" w:rsidTr="0060516D">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DE4CCB0" w14:textId="3C1D49D0" w:rsidR="0060516D" w:rsidRDefault="0060516D">
            <w:pPr>
              <w:pStyle w:val="Heading2"/>
              <w:spacing w:before="0" w:after="0"/>
              <w:rPr>
                <w:rFonts w:ascii="Verdana" w:hAnsi="Verdana"/>
                <w:i w:val="0"/>
              </w:rPr>
            </w:pPr>
            <w:bookmarkStart w:id="38" w:name="_Adding_a_Plan"/>
            <w:bookmarkStart w:id="39" w:name="_Adding_a_PBO"/>
            <w:bookmarkStart w:id="40" w:name="_Toc106882492"/>
            <w:bookmarkEnd w:id="38"/>
            <w:bookmarkEnd w:id="39"/>
            <w:r>
              <w:rPr>
                <w:rFonts w:ascii="Verdana" w:hAnsi="Verdana"/>
                <w:i w:val="0"/>
              </w:rPr>
              <w:t>Involuntary Disenrollment</w:t>
            </w:r>
            <w:bookmarkEnd w:id="40"/>
            <w:r>
              <w:rPr>
                <w:rFonts w:ascii="Verdana" w:hAnsi="Verdana"/>
                <w:i w:val="0"/>
              </w:rPr>
              <w:t xml:space="preserve"> </w:t>
            </w:r>
          </w:p>
        </w:tc>
      </w:tr>
    </w:tbl>
    <w:p w14:paraId="381CA009" w14:textId="77777777" w:rsidR="0060516D" w:rsidRDefault="0060516D" w:rsidP="0060516D">
      <w:pPr>
        <w:rPr>
          <w:rFonts w:ascii="Verdana" w:hAnsi="Verdana"/>
        </w:rPr>
      </w:pPr>
    </w:p>
    <w:p w14:paraId="3D3448EB" w14:textId="77777777" w:rsidR="0060516D" w:rsidRDefault="0060516D" w:rsidP="0060516D">
      <w:r>
        <w:rPr>
          <w:rFonts w:ascii="Verdana" w:hAnsi="Verdana"/>
        </w:rPr>
        <w:t>If a beneficiary is calling to discuss the letters</w:t>
      </w:r>
      <w:r>
        <w:t xml:space="preserve"> </w:t>
      </w:r>
      <w:r>
        <w:rPr>
          <w:rFonts w:ascii="Verdana" w:hAnsi="Verdana"/>
        </w:rPr>
        <w:t>above, follow the process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701"/>
        <w:gridCol w:w="1819"/>
        <w:gridCol w:w="3052"/>
        <w:gridCol w:w="2883"/>
        <w:gridCol w:w="4495"/>
      </w:tblGrid>
      <w:tr w:rsidR="0060516D" w14:paraId="78AA1F91" w14:textId="77777777" w:rsidTr="0B0ED8C2">
        <w:tc>
          <w:tcPr>
            <w:tcW w:w="22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DE3C6F" w14:textId="77777777" w:rsidR="0060516D" w:rsidRDefault="0060516D">
            <w:pPr>
              <w:jc w:val="center"/>
              <w:rPr>
                <w:rFonts w:ascii="Verdana" w:hAnsi="Verdana"/>
                <w:b/>
              </w:rPr>
            </w:pPr>
            <w:r>
              <w:rPr>
                <w:rFonts w:ascii="Verdana" w:hAnsi="Verdana"/>
                <w:b/>
              </w:rPr>
              <w:t>Step</w:t>
            </w:r>
          </w:p>
        </w:tc>
        <w:tc>
          <w:tcPr>
            <w:tcW w:w="4771"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C138B9" w14:textId="77777777" w:rsidR="0060516D" w:rsidRDefault="0060516D">
            <w:pPr>
              <w:autoSpaceDE w:val="0"/>
              <w:autoSpaceDN w:val="0"/>
              <w:adjustRightInd w:val="0"/>
              <w:jc w:val="center"/>
              <w:rPr>
                <w:rFonts w:ascii="Verdana" w:hAnsi="Verdana"/>
                <w:b/>
              </w:rPr>
            </w:pPr>
            <w:r>
              <w:rPr>
                <w:rFonts w:ascii="Verdana" w:hAnsi="Verdana"/>
                <w:b/>
              </w:rPr>
              <w:t>Action</w:t>
            </w:r>
          </w:p>
        </w:tc>
      </w:tr>
      <w:tr w:rsidR="0060516D" w14:paraId="3F13C010" w14:textId="77777777" w:rsidTr="0B0ED8C2">
        <w:tc>
          <w:tcPr>
            <w:tcW w:w="229" w:type="pct"/>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14:paraId="318A0260" w14:textId="77777777" w:rsidR="0060516D" w:rsidRDefault="0060516D">
            <w:pPr>
              <w:jc w:val="center"/>
              <w:rPr>
                <w:rFonts w:ascii="Verdana" w:hAnsi="Verdana"/>
                <w:b/>
              </w:rPr>
            </w:pPr>
            <w:r>
              <w:rPr>
                <w:rFonts w:ascii="Verdana" w:hAnsi="Verdana"/>
                <w:b/>
              </w:rPr>
              <w:t>1</w:t>
            </w:r>
          </w:p>
        </w:tc>
        <w:tc>
          <w:tcPr>
            <w:tcW w:w="4771" w:type="pct"/>
            <w:gridSpan w:val="4"/>
            <w:tcBorders>
              <w:top w:val="single" w:sz="4" w:space="0" w:color="auto"/>
              <w:left w:val="single" w:sz="4" w:space="0" w:color="auto"/>
              <w:bottom w:val="single" w:sz="4" w:space="0" w:color="auto"/>
              <w:right w:val="single" w:sz="4" w:space="0" w:color="auto"/>
            </w:tcBorders>
          </w:tcPr>
          <w:p w14:paraId="1689EABA" w14:textId="29B8BF30" w:rsidR="0060516D" w:rsidRDefault="0060516D">
            <w:pPr>
              <w:rPr>
                <w:rFonts w:ascii="Verdana" w:hAnsi="Verdana"/>
              </w:rPr>
            </w:pPr>
            <w:r w:rsidRPr="0B0ED8C2">
              <w:rPr>
                <w:rFonts w:ascii="Verdana" w:hAnsi="Verdana"/>
              </w:rPr>
              <w:t xml:space="preserve">From the </w:t>
            </w:r>
            <w:r w:rsidR="007C2793" w:rsidRPr="0B0ED8C2">
              <w:rPr>
                <w:rFonts w:ascii="Verdana" w:hAnsi="Verdana"/>
              </w:rPr>
              <w:t xml:space="preserve">Member Snapshot Landing </w:t>
            </w:r>
            <w:r w:rsidR="00601E77" w:rsidRPr="0B0ED8C2">
              <w:rPr>
                <w:rFonts w:ascii="Verdana" w:hAnsi="Verdana"/>
              </w:rPr>
              <w:t>P</w:t>
            </w:r>
            <w:r w:rsidR="007C2793" w:rsidRPr="0B0ED8C2">
              <w:rPr>
                <w:rFonts w:ascii="Verdana" w:hAnsi="Verdana"/>
              </w:rPr>
              <w:t>age</w:t>
            </w:r>
            <w:r w:rsidRPr="0B0ED8C2">
              <w:rPr>
                <w:rFonts w:ascii="Verdana" w:hAnsi="Verdana"/>
              </w:rPr>
              <w:t xml:space="preserve">, click the </w:t>
            </w:r>
            <w:r w:rsidRPr="0B0ED8C2">
              <w:rPr>
                <w:rFonts w:ascii="Verdana" w:hAnsi="Verdana"/>
                <w:b/>
                <w:bCs/>
              </w:rPr>
              <w:t>Medicare</w:t>
            </w:r>
            <w:r w:rsidR="30A0583A" w:rsidRPr="0B0ED8C2">
              <w:rPr>
                <w:rFonts w:ascii="Verdana" w:hAnsi="Verdana"/>
                <w:b/>
                <w:bCs/>
              </w:rPr>
              <w:t xml:space="preserve"> D Landing Page</w:t>
            </w:r>
            <w:r w:rsidRPr="0B0ED8C2">
              <w:rPr>
                <w:rFonts w:ascii="Verdana" w:hAnsi="Verdana"/>
              </w:rPr>
              <w:t>.</w:t>
            </w:r>
          </w:p>
          <w:p w14:paraId="43FEB0D8" w14:textId="77777777" w:rsidR="0060516D" w:rsidRDefault="0060516D">
            <w:pPr>
              <w:rPr>
                <w:rFonts w:ascii="Verdana" w:hAnsi="Verdana"/>
              </w:rPr>
            </w:pPr>
          </w:p>
          <w:p w14:paraId="1CD32F0E" w14:textId="2F8B6D74" w:rsidR="0060516D" w:rsidRDefault="0071675D">
            <w:pPr>
              <w:jc w:val="center"/>
              <w:rPr>
                <w:rFonts w:ascii="Verdana" w:hAnsi="Verdana"/>
              </w:rPr>
            </w:pPr>
            <w:r>
              <w:rPr>
                <w:noProof/>
              </w:rPr>
              <w:t xml:space="preserve"> </w:t>
            </w:r>
            <w:r>
              <w:rPr>
                <w:noProof/>
              </w:rPr>
              <w:drawing>
                <wp:inline distT="0" distB="0" distL="0" distR="0" wp14:anchorId="5B935BA7" wp14:editId="28EFA4C8">
                  <wp:extent cx="9144000" cy="1376165"/>
                  <wp:effectExtent l="19050" t="19050" r="19050"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144000" cy="1376165"/>
                          </a:xfrm>
                          <a:prstGeom prst="rect">
                            <a:avLst/>
                          </a:prstGeom>
                          <a:ln>
                            <a:solidFill>
                              <a:srgbClr val="000000"/>
                            </a:solidFill>
                          </a:ln>
                        </pic:spPr>
                      </pic:pic>
                    </a:graphicData>
                  </a:graphic>
                </wp:inline>
              </w:drawing>
            </w:r>
          </w:p>
          <w:p w14:paraId="6CC0E4BB" w14:textId="77777777" w:rsidR="0060516D" w:rsidRDefault="0060516D">
            <w:pPr>
              <w:jc w:val="right"/>
              <w:rPr>
                <w:rFonts w:ascii="Verdana" w:hAnsi="Verdana"/>
                <w:bCs/>
                <w:color w:val="000000"/>
              </w:rPr>
            </w:pPr>
          </w:p>
        </w:tc>
      </w:tr>
      <w:tr w:rsidR="00B86887" w14:paraId="3ADAC5CE" w14:textId="77777777" w:rsidTr="0B0ED8C2">
        <w:tc>
          <w:tcPr>
            <w:tcW w:w="229" w:type="pct"/>
            <w:vMerge/>
            <w:vAlign w:val="center"/>
            <w:hideMark/>
          </w:tcPr>
          <w:p w14:paraId="73BBEF77" w14:textId="77777777" w:rsidR="0060516D" w:rsidRDefault="0060516D">
            <w:pPr>
              <w:rPr>
                <w:rFonts w:ascii="Verdana" w:hAnsi="Verdana"/>
                <w:b/>
              </w:rPr>
            </w:pPr>
          </w:p>
        </w:tc>
        <w:tc>
          <w:tcPr>
            <w:tcW w:w="74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DE9747" w14:textId="77777777" w:rsidR="0060516D" w:rsidRDefault="0060516D">
            <w:pPr>
              <w:jc w:val="center"/>
              <w:rPr>
                <w:rFonts w:ascii="Verdana" w:hAnsi="Verdana"/>
                <w:color w:val="000000"/>
              </w:rPr>
            </w:pPr>
            <w:r>
              <w:rPr>
                <w:rFonts w:ascii="Verdana" w:hAnsi="Verdana"/>
                <w:b/>
              </w:rPr>
              <w:t>If the beneficiary…</w:t>
            </w:r>
          </w:p>
        </w:tc>
        <w:tc>
          <w:tcPr>
            <w:tcW w:w="403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5E39C2" w14:textId="77777777" w:rsidR="0060516D" w:rsidRDefault="0060516D">
            <w:pPr>
              <w:jc w:val="center"/>
              <w:rPr>
                <w:rFonts w:ascii="Verdana" w:hAnsi="Verdana"/>
                <w:color w:val="000000"/>
              </w:rPr>
            </w:pPr>
            <w:r>
              <w:rPr>
                <w:rFonts w:ascii="Verdana" w:hAnsi="Verdana"/>
                <w:b/>
              </w:rPr>
              <w:t>Then…</w:t>
            </w:r>
          </w:p>
        </w:tc>
      </w:tr>
      <w:tr w:rsidR="00A14903" w14:paraId="4CE7E612" w14:textId="77777777" w:rsidTr="0B0ED8C2">
        <w:tc>
          <w:tcPr>
            <w:tcW w:w="229" w:type="pct"/>
            <w:vMerge/>
            <w:vAlign w:val="center"/>
            <w:hideMark/>
          </w:tcPr>
          <w:p w14:paraId="75E35343" w14:textId="77777777" w:rsidR="0060516D" w:rsidRDefault="0060516D">
            <w:pPr>
              <w:rPr>
                <w:rFonts w:ascii="Verdana" w:hAnsi="Verdana"/>
                <w:b/>
              </w:rPr>
            </w:pPr>
          </w:p>
        </w:tc>
        <w:tc>
          <w:tcPr>
            <w:tcW w:w="740" w:type="pct"/>
            <w:vMerge w:val="restart"/>
            <w:tcBorders>
              <w:top w:val="single" w:sz="4" w:space="0" w:color="auto"/>
              <w:left w:val="single" w:sz="4" w:space="0" w:color="auto"/>
              <w:bottom w:val="single" w:sz="4" w:space="0" w:color="auto"/>
              <w:right w:val="single" w:sz="4" w:space="0" w:color="auto"/>
            </w:tcBorders>
            <w:hideMark/>
          </w:tcPr>
          <w:p w14:paraId="2CFE32F8" w14:textId="77777777" w:rsidR="0060516D" w:rsidRDefault="0060516D">
            <w:pPr>
              <w:rPr>
                <w:rFonts w:ascii="Verdana" w:hAnsi="Verdana"/>
                <w:color w:val="000000"/>
              </w:rPr>
            </w:pPr>
            <w:r>
              <w:rPr>
                <w:rFonts w:ascii="Verdana" w:hAnsi="Verdana"/>
                <w:color w:val="000000"/>
              </w:rPr>
              <w:t>States that they received a letter from the plan due to incarceration or unlawful presence status.</w:t>
            </w:r>
          </w:p>
        </w:tc>
        <w:tc>
          <w:tcPr>
            <w:tcW w:w="4030" w:type="pct"/>
            <w:gridSpan w:val="3"/>
            <w:tcBorders>
              <w:top w:val="single" w:sz="4" w:space="0" w:color="auto"/>
              <w:left w:val="single" w:sz="4" w:space="0" w:color="auto"/>
              <w:bottom w:val="single" w:sz="4" w:space="0" w:color="auto"/>
              <w:right w:val="single" w:sz="4" w:space="0" w:color="auto"/>
            </w:tcBorders>
          </w:tcPr>
          <w:p w14:paraId="2EF610DD" w14:textId="62AF52A2" w:rsidR="0060516D" w:rsidRDefault="0060516D">
            <w:pPr>
              <w:spacing w:line="276" w:lineRule="auto"/>
              <w:rPr>
                <w:rFonts w:ascii="Verdana" w:hAnsi="Verdana"/>
                <w:b/>
                <w:color w:val="000000"/>
              </w:rPr>
            </w:pPr>
            <w:r>
              <w:rPr>
                <w:rFonts w:ascii="Verdana" w:hAnsi="Verdana"/>
                <w:bCs/>
                <w:color w:val="000000"/>
              </w:rPr>
              <w:t xml:space="preserve">1. </w:t>
            </w:r>
            <w:r>
              <w:rPr>
                <w:rFonts w:ascii="Verdana" w:hAnsi="Verdana"/>
                <w:b/>
                <w:noProof/>
                <w:color w:val="000000"/>
              </w:rPr>
              <w:drawing>
                <wp:inline distT="0" distB="0" distL="0" distR="0" wp14:anchorId="72364AD3" wp14:editId="4976EA8D">
                  <wp:extent cx="285750" cy="1841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4150"/>
                          </a:xfrm>
                          <a:prstGeom prst="rect">
                            <a:avLst/>
                          </a:prstGeom>
                          <a:noFill/>
                          <a:ln>
                            <a:noFill/>
                          </a:ln>
                        </pic:spPr>
                      </pic:pic>
                    </a:graphicData>
                  </a:graphic>
                </wp:inline>
              </w:drawing>
            </w:r>
            <w:r w:rsidR="004022FB">
              <w:rPr>
                <w:rFonts w:ascii="Verdana" w:hAnsi="Verdana"/>
                <w:bCs/>
                <w:color w:val="000000"/>
              </w:rPr>
              <w:t xml:space="preserve"> </w:t>
            </w:r>
            <w:r>
              <w:rPr>
                <w:rFonts w:ascii="Verdana" w:hAnsi="Verdana"/>
                <w:bCs/>
                <w:color w:val="000000"/>
              </w:rPr>
              <w:t>Let me check the information in the letter you have received.</w:t>
            </w:r>
            <w:r>
              <w:rPr>
                <w:rFonts w:ascii="Verdana" w:hAnsi="Verdana"/>
                <w:b/>
                <w:color w:val="000000"/>
              </w:rPr>
              <w:t xml:space="preserve"> </w:t>
            </w:r>
          </w:p>
          <w:p w14:paraId="30F1ADAD" w14:textId="77777777" w:rsidR="0060516D" w:rsidRDefault="0060516D">
            <w:pPr>
              <w:spacing w:line="276" w:lineRule="auto"/>
              <w:ind w:left="720"/>
              <w:rPr>
                <w:rFonts w:ascii="Verdana" w:hAnsi="Verdana"/>
                <w:b/>
                <w:color w:val="000000"/>
              </w:rPr>
            </w:pPr>
          </w:p>
          <w:p w14:paraId="42A092F3" w14:textId="001F3E5E" w:rsidR="0060516D" w:rsidRDefault="0060516D">
            <w:pPr>
              <w:spacing w:line="276" w:lineRule="auto"/>
              <w:rPr>
                <w:rFonts w:ascii="Verdana" w:hAnsi="Verdana"/>
              </w:rPr>
            </w:pPr>
            <w:r>
              <w:rPr>
                <w:rFonts w:ascii="Verdana" w:hAnsi="Verdana"/>
              </w:rPr>
              <w:t xml:space="preserve">2. Click the </w:t>
            </w:r>
            <w:r>
              <w:rPr>
                <w:rFonts w:ascii="Verdana" w:hAnsi="Verdana"/>
                <w:b/>
              </w:rPr>
              <w:t xml:space="preserve">Last 12 months of Communication </w:t>
            </w:r>
            <w:r w:rsidR="003521F5" w:rsidRPr="003B2E45">
              <w:rPr>
                <w:rFonts w:ascii="Verdana" w:hAnsi="Verdana"/>
                <w:bCs/>
              </w:rPr>
              <w:t>hyperlink</w:t>
            </w:r>
            <w:r w:rsidR="003521F5">
              <w:rPr>
                <w:rFonts w:ascii="Verdana" w:hAnsi="Verdana"/>
                <w:b/>
              </w:rPr>
              <w:t xml:space="preserve"> </w:t>
            </w:r>
            <w:r w:rsidR="003521F5" w:rsidRPr="003B2E45">
              <w:rPr>
                <w:rFonts w:ascii="Verdana" w:hAnsi="Verdana"/>
                <w:bCs/>
              </w:rPr>
              <w:t xml:space="preserve">(located within the </w:t>
            </w:r>
            <w:r w:rsidR="003521F5" w:rsidRPr="00601E77">
              <w:rPr>
                <w:rFonts w:ascii="Verdana" w:hAnsi="Verdana"/>
                <w:b/>
              </w:rPr>
              <w:t>Medicare D Quick Actions</w:t>
            </w:r>
            <w:r w:rsidR="003521F5" w:rsidRPr="003B2E45">
              <w:rPr>
                <w:rFonts w:ascii="Verdana" w:hAnsi="Verdana"/>
                <w:bCs/>
              </w:rPr>
              <w:t xml:space="preserve"> panel)</w:t>
            </w:r>
            <w:r>
              <w:rPr>
                <w:rFonts w:ascii="Verdana" w:hAnsi="Verdana"/>
              </w:rPr>
              <w:t xml:space="preserve">. Locate one of the following letters by reviewing the </w:t>
            </w:r>
            <w:r>
              <w:rPr>
                <w:rFonts w:ascii="Verdana" w:hAnsi="Verdana"/>
                <w:b/>
                <w:bCs/>
              </w:rPr>
              <w:t>Event Codes:</w:t>
            </w:r>
          </w:p>
          <w:p w14:paraId="25324A99" w14:textId="77777777" w:rsidR="0060516D" w:rsidRDefault="0060516D">
            <w:pPr>
              <w:numPr>
                <w:ilvl w:val="1"/>
                <w:numId w:val="6"/>
              </w:numPr>
              <w:spacing w:line="276" w:lineRule="auto"/>
              <w:rPr>
                <w:rFonts w:ascii="Verdana" w:hAnsi="Verdana"/>
              </w:rPr>
            </w:pPr>
            <w:bookmarkStart w:id="41" w:name="OLE_LINK84"/>
            <w:r>
              <w:rPr>
                <w:rFonts w:ascii="Verdana" w:hAnsi="Verdana"/>
                <w:b/>
                <w:bCs/>
              </w:rPr>
              <w:t>DINCR</w:t>
            </w:r>
            <w:r>
              <w:rPr>
                <w:rFonts w:ascii="Verdana" w:hAnsi="Verdana"/>
              </w:rPr>
              <w:t xml:space="preserve"> - Incarceration</w:t>
            </w:r>
          </w:p>
          <w:p w14:paraId="15648CA7" w14:textId="77777777" w:rsidR="0060516D" w:rsidRDefault="0060516D">
            <w:pPr>
              <w:numPr>
                <w:ilvl w:val="1"/>
                <w:numId w:val="6"/>
              </w:numPr>
              <w:spacing w:line="276" w:lineRule="auto"/>
              <w:rPr>
                <w:rFonts w:ascii="Verdana" w:hAnsi="Verdana"/>
                <w:b/>
                <w:color w:val="000000"/>
              </w:rPr>
            </w:pPr>
            <w:r>
              <w:rPr>
                <w:rFonts w:ascii="Verdana" w:hAnsi="Verdana"/>
                <w:b/>
                <w:bCs/>
              </w:rPr>
              <w:t>DULAW</w:t>
            </w:r>
            <w:r>
              <w:rPr>
                <w:rFonts w:ascii="Verdana" w:hAnsi="Verdana"/>
              </w:rPr>
              <w:t xml:space="preserve"> – Unlawful Presence</w:t>
            </w:r>
          </w:p>
          <w:p w14:paraId="4D749791" w14:textId="77777777" w:rsidR="0060516D" w:rsidRDefault="0060516D">
            <w:pPr>
              <w:numPr>
                <w:ilvl w:val="1"/>
                <w:numId w:val="6"/>
              </w:numPr>
              <w:spacing w:line="276" w:lineRule="auto"/>
              <w:rPr>
                <w:rFonts w:ascii="Verdana" w:hAnsi="Verdana"/>
                <w:bCs/>
                <w:color w:val="000000"/>
              </w:rPr>
            </w:pPr>
            <w:r>
              <w:rPr>
                <w:rFonts w:ascii="Verdana" w:hAnsi="Verdana"/>
                <w:b/>
                <w:color w:val="000000"/>
              </w:rPr>
              <w:t>DDMCO</w:t>
            </w:r>
            <w:r>
              <w:rPr>
                <w:rFonts w:ascii="Verdana" w:hAnsi="Verdana"/>
                <w:bCs/>
                <w:color w:val="000000"/>
              </w:rPr>
              <w:t xml:space="preserve"> - Denial of Enrollment</w:t>
            </w:r>
          </w:p>
          <w:p w14:paraId="0CE778A9" w14:textId="77777777" w:rsidR="0060516D" w:rsidRDefault="0060516D">
            <w:pPr>
              <w:numPr>
                <w:ilvl w:val="1"/>
                <w:numId w:val="6"/>
              </w:numPr>
              <w:spacing w:line="276" w:lineRule="auto"/>
              <w:rPr>
                <w:rFonts w:ascii="Verdana" w:hAnsi="Verdana"/>
                <w:bCs/>
                <w:color w:val="000000"/>
              </w:rPr>
            </w:pPr>
            <w:r>
              <w:rPr>
                <w:rFonts w:ascii="Verdana" w:hAnsi="Verdana"/>
                <w:b/>
                <w:color w:val="000000"/>
              </w:rPr>
              <w:t>DDENL</w:t>
            </w:r>
            <w:r>
              <w:rPr>
                <w:rFonts w:ascii="Verdana" w:hAnsi="Verdana"/>
                <w:bCs/>
                <w:color w:val="000000"/>
              </w:rPr>
              <w:t xml:space="preserve"> </w:t>
            </w:r>
            <w:proofErr w:type="gramStart"/>
            <w:r>
              <w:rPr>
                <w:rFonts w:ascii="Verdana" w:hAnsi="Verdana"/>
                <w:bCs/>
                <w:color w:val="000000"/>
              </w:rPr>
              <w:t>-  Rejection</w:t>
            </w:r>
            <w:proofErr w:type="gramEnd"/>
            <w:r>
              <w:rPr>
                <w:rFonts w:ascii="Verdana" w:hAnsi="Verdana"/>
                <w:bCs/>
                <w:color w:val="000000"/>
              </w:rPr>
              <w:t xml:space="preserve"> of Enrollment</w:t>
            </w:r>
            <w:bookmarkEnd w:id="41"/>
          </w:p>
          <w:p w14:paraId="270C9CD9" w14:textId="77777777" w:rsidR="0060516D" w:rsidRDefault="0060516D">
            <w:pPr>
              <w:spacing w:line="276" w:lineRule="auto"/>
              <w:rPr>
                <w:rFonts w:ascii="Verdana" w:hAnsi="Verdana"/>
                <w:b/>
                <w:color w:val="000000"/>
              </w:rPr>
            </w:pPr>
          </w:p>
          <w:p w14:paraId="29EA062D" w14:textId="49A84D3A" w:rsidR="0060516D" w:rsidRDefault="00646B3B">
            <w:pPr>
              <w:jc w:val="center"/>
              <w:rPr>
                <w:noProof/>
              </w:rPr>
            </w:pPr>
            <w:r>
              <w:rPr>
                <w:noProof/>
              </w:rPr>
              <w:t xml:space="preserve"> </w:t>
            </w:r>
            <w:r w:rsidR="00DE001D">
              <w:rPr>
                <w:noProof/>
              </w:rPr>
              <w:drawing>
                <wp:inline distT="0" distB="0" distL="0" distR="0" wp14:anchorId="0E05CC9A" wp14:editId="11D06E8F">
                  <wp:extent cx="8229600" cy="1406836"/>
                  <wp:effectExtent l="19050" t="19050" r="19050" b="222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29600" cy="1406836"/>
                          </a:xfrm>
                          <a:prstGeom prst="rect">
                            <a:avLst/>
                          </a:prstGeom>
                          <a:noFill/>
                          <a:ln>
                            <a:solidFill>
                              <a:srgbClr val="000000"/>
                            </a:solidFill>
                          </a:ln>
                        </pic:spPr>
                      </pic:pic>
                    </a:graphicData>
                  </a:graphic>
                </wp:inline>
              </w:drawing>
            </w:r>
          </w:p>
          <w:p w14:paraId="11FBC1EB" w14:textId="77777777" w:rsidR="0060516D" w:rsidRDefault="0060516D">
            <w:pPr>
              <w:jc w:val="center"/>
              <w:rPr>
                <w:noProof/>
              </w:rPr>
            </w:pPr>
          </w:p>
          <w:p w14:paraId="024B187C" w14:textId="77777777" w:rsidR="0060516D" w:rsidRDefault="0060516D">
            <w:pPr>
              <w:rPr>
                <w:noProof/>
              </w:rPr>
            </w:pPr>
          </w:p>
          <w:p w14:paraId="15F704CC" w14:textId="24E84F5B" w:rsidR="0060516D" w:rsidRPr="00ED4F69" w:rsidRDefault="0060516D" w:rsidP="004022FB">
            <w:pPr>
              <w:ind w:left="720"/>
              <w:rPr>
                <w:rFonts w:ascii="Verdana" w:hAnsi="Verdana"/>
                <w:noProof/>
              </w:rPr>
            </w:pPr>
            <w:r w:rsidRPr="00ED4F69">
              <w:rPr>
                <w:rFonts w:ascii="Verdana" w:hAnsi="Verdana"/>
                <w:noProof/>
              </w:rPr>
              <w:t xml:space="preserve">Refer to:  </w:t>
            </w:r>
            <w:hyperlink r:id="rId17" w:anchor="!/view?docid=6bce8cc8-2318-4271-85a3-07198190a18c" w:history="1">
              <w:r w:rsidR="004022FB" w:rsidRPr="004022FB">
                <w:rPr>
                  <w:rStyle w:val="Hyperlink"/>
                  <w:rFonts w:ascii="Verdana" w:hAnsi="Verdana"/>
                  <w:noProof/>
                </w:rPr>
                <w:t>Compass MED D - Viewing Correspondence and Requesting Reprints</w:t>
              </w:r>
            </w:hyperlink>
            <w:r w:rsidRPr="00ED4F69">
              <w:rPr>
                <w:rFonts w:ascii="Verdana" w:hAnsi="Verdana"/>
                <w:noProof/>
              </w:rPr>
              <w:t>.</w:t>
            </w:r>
          </w:p>
          <w:p w14:paraId="407FBEFC" w14:textId="77777777" w:rsidR="0060516D" w:rsidRDefault="0060516D">
            <w:pPr>
              <w:rPr>
                <w:noProof/>
              </w:rPr>
            </w:pPr>
          </w:p>
          <w:p w14:paraId="7FCE8EDA" w14:textId="77777777" w:rsidR="0060516D" w:rsidRDefault="0060516D">
            <w:pPr>
              <w:rPr>
                <w:rFonts w:ascii="Verdana" w:hAnsi="Verdana"/>
              </w:rPr>
            </w:pPr>
            <w:r>
              <w:rPr>
                <w:rFonts w:ascii="Verdana" w:hAnsi="Verdana"/>
                <w:noProof/>
              </w:rPr>
              <w:t xml:space="preserve">3. Access MARx. </w:t>
            </w:r>
          </w:p>
          <w:p w14:paraId="324B4213" w14:textId="77777777" w:rsidR="0060516D" w:rsidRDefault="0060516D">
            <w:pPr>
              <w:rPr>
                <w:rFonts w:ascii="Verdana" w:hAnsi="Verdana"/>
                <w:color w:val="000000"/>
              </w:rPr>
            </w:pPr>
          </w:p>
          <w:p w14:paraId="0C329691" w14:textId="7F3926C1" w:rsidR="0060516D" w:rsidRDefault="0060516D" w:rsidP="004022FB">
            <w:pPr>
              <w:ind w:left="720"/>
              <w:rPr>
                <w:rFonts w:ascii="Verdana" w:hAnsi="Verdana"/>
                <w:color w:val="000000"/>
              </w:rPr>
            </w:pPr>
            <w:r>
              <w:rPr>
                <w:rFonts w:ascii="Verdana" w:hAnsi="Verdana"/>
                <w:color w:val="000000"/>
              </w:rPr>
              <w:t xml:space="preserve">Click the </w:t>
            </w:r>
            <w:r>
              <w:rPr>
                <w:rFonts w:ascii="Verdana" w:hAnsi="Verdana"/>
                <w:b/>
                <w:bCs/>
                <w:color w:val="000000"/>
              </w:rPr>
              <w:t>Eligibility</w:t>
            </w:r>
            <w:r>
              <w:rPr>
                <w:rFonts w:ascii="Verdana" w:hAnsi="Verdana"/>
                <w:color w:val="000000"/>
              </w:rPr>
              <w:t xml:space="preserve"> link.</w:t>
            </w:r>
          </w:p>
          <w:p w14:paraId="0BC6ECFB" w14:textId="77777777" w:rsidR="0060516D" w:rsidRDefault="0060516D" w:rsidP="004022FB">
            <w:pPr>
              <w:ind w:left="720"/>
              <w:rPr>
                <w:rFonts w:ascii="Verdana" w:hAnsi="Verdana"/>
                <w:color w:val="000000"/>
              </w:rPr>
            </w:pPr>
          </w:p>
          <w:p w14:paraId="697E046A" w14:textId="77777777" w:rsidR="0060516D" w:rsidRDefault="0060516D" w:rsidP="004022FB">
            <w:pPr>
              <w:ind w:left="720"/>
              <w:rPr>
                <w:rFonts w:ascii="Verdana" w:hAnsi="Verdana"/>
                <w:color w:val="000000"/>
              </w:rPr>
            </w:pPr>
            <w:r>
              <w:rPr>
                <w:rFonts w:ascii="Verdana" w:hAnsi="Verdana"/>
                <w:b/>
                <w:bCs/>
                <w:color w:val="000000"/>
              </w:rPr>
              <w:t>Result:</w:t>
            </w:r>
            <w:r>
              <w:rPr>
                <w:rFonts w:ascii="Verdana" w:hAnsi="Verdana"/>
                <w:color w:val="000000"/>
              </w:rPr>
              <w:t xml:space="preserve">  The Beneficiary:  Eligibility </w:t>
            </w:r>
            <w:r>
              <w:rPr>
                <w:rFonts w:ascii="Verdana" w:hAnsi="Verdana"/>
                <w:b/>
                <w:bCs/>
                <w:color w:val="000000"/>
              </w:rPr>
              <w:t>(M232)</w:t>
            </w:r>
            <w:r>
              <w:rPr>
                <w:rFonts w:ascii="Verdana" w:hAnsi="Verdana"/>
                <w:color w:val="000000"/>
              </w:rPr>
              <w:t xml:space="preserve"> screen will display.</w:t>
            </w:r>
          </w:p>
          <w:p w14:paraId="227C4F4B" w14:textId="77777777" w:rsidR="0060516D" w:rsidRDefault="0060516D">
            <w:pPr>
              <w:rPr>
                <w:rFonts w:ascii="Verdana" w:hAnsi="Verdana"/>
                <w:color w:val="000000"/>
              </w:rPr>
            </w:pPr>
          </w:p>
          <w:p w14:paraId="15FAC298" w14:textId="49E0EFE0" w:rsidR="0060516D" w:rsidRDefault="0060516D">
            <w:pPr>
              <w:jc w:val="center"/>
              <w:rPr>
                <w:rFonts w:ascii="Verdana" w:hAnsi="Verdana"/>
                <w:color w:val="000000"/>
              </w:rPr>
            </w:pPr>
            <w:r>
              <w:rPr>
                <w:noProof/>
              </w:rPr>
              <w:drawing>
                <wp:inline distT="0" distB="0" distL="0" distR="0" wp14:anchorId="11302246" wp14:editId="48965252">
                  <wp:extent cx="5397500" cy="278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7500" cy="2781300"/>
                          </a:xfrm>
                          <a:prstGeom prst="rect">
                            <a:avLst/>
                          </a:prstGeom>
                          <a:noFill/>
                          <a:ln>
                            <a:noFill/>
                          </a:ln>
                        </pic:spPr>
                      </pic:pic>
                    </a:graphicData>
                  </a:graphic>
                </wp:inline>
              </w:drawing>
            </w:r>
          </w:p>
          <w:p w14:paraId="50080C99" w14:textId="77777777" w:rsidR="0060516D" w:rsidRDefault="0060516D">
            <w:pPr>
              <w:rPr>
                <w:rFonts w:ascii="Verdana" w:hAnsi="Verdana"/>
                <w:color w:val="000000"/>
              </w:rPr>
            </w:pPr>
          </w:p>
          <w:p w14:paraId="5FD81914" w14:textId="30CACA1B" w:rsidR="0060516D" w:rsidRDefault="0060516D">
            <w:pPr>
              <w:jc w:val="center"/>
              <w:rPr>
                <w:rFonts w:ascii="Verdana" w:hAnsi="Verdana"/>
                <w:color w:val="000000"/>
              </w:rPr>
            </w:pPr>
            <w:r>
              <w:rPr>
                <w:noProof/>
              </w:rPr>
              <w:drawing>
                <wp:inline distT="0" distB="0" distL="0" distR="0" wp14:anchorId="7E9F96D1" wp14:editId="7989A6A4">
                  <wp:extent cx="5403850" cy="35115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3850" cy="3511550"/>
                          </a:xfrm>
                          <a:prstGeom prst="rect">
                            <a:avLst/>
                          </a:prstGeom>
                          <a:noFill/>
                          <a:ln>
                            <a:noFill/>
                          </a:ln>
                        </pic:spPr>
                      </pic:pic>
                    </a:graphicData>
                  </a:graphic>
                </wp:inline>
              </w:drawing>
            </w:r>
          </w:p>
          <w:p w14:paraId="004709C2" w14:textId="77777777" w:rsidR="0060516D" w:rsidRDefault="0060516D">
            <w:pPr>
              <w:rPr>
                <w:rFonts w:ascii="Verdana" w:hAnsi="Verdana"/>
                <w:color w:val="000000"/>
              </w:rPr>
            </w:pPr>
          </w:p>
          <w:p w14:paraId="0BF310BC" w14:textId="0A8138E6" w:rsidR="0060516D" w:rsidRDefault="0060516D" w:rsidP="004022FB">
            <w:pPr>
              <w:spacing w:line="276" w:lineRule="auto"/>
              <w:ind w:left="720"/>
              <w:rPr>
                <w:rFonts w:ascii="Verdana" w:hAnsi="Verdana"/>
              </w:rPr>
            </w:pPr>
            <w:r>
              <w:rPr>
                <w:rFonts w:ascii="Verdana" w:hAnsi="Verdana"/>
              </w:rPr>
              <w:t xml:space="preserve">Refer to </w:t>
            </w:r>
            <w:hyperlink r:id="rId20" w:anchor="!/view?docid=97073956-89ea-45dc-be12-d8b49af47bab" w:history="1">
              <w:r w:rsidR="004022FB" w:rsidRPr="004022FB">
                <w:rPr>
                  <w:rStyle w:val="Hyperlink"/>
                  <w:rFonts w:ascii="Verdana" w:hAnsi="Verdana"/>
                </w:rPr>
                <w:t xml:space="preserve">Compass MED D - Verifying Enrollment, Eligibility, and LIS in </w:t>
              </w:r>
              <w:proofErr w:type="spellStart"/>
              <w:r w:rsidR="004022FB" w:rsidRPr="004022FB">
                <w:rPr>
                  <w:rStyle w:val="Hyperlink"/>
                  <w:rFonts w:ascii="Verdana" w:hAnsi="Verdana"/>
                </w:rPr>
                <w:t>MARx</w:t>
              </w:r>
              <w:proofErr w:type="spellEnd"/>
            </w:hyperlink>
            <w:r>
              <w:rPr>
                <w:rFonts w:ascii="Verdana" w:hAnsi="Verdana"/>
              </w:rPr>
              <w:t xml:space="preserve">. </w:t>
            </w:r>
          </w:p>
          <w:p w14:paraId="06D5A357" w14:textId="77777777" w:rsidR="0060516D" w:rsidRDefault="0060516D">
            <w:pPr>
              <w:rPr>
                <w:rFonts w:ascii="Verdana" w:hAnsi="Verdana"/>
                <w:color w:val="000000"/>
              </w:rPr>
            </w:pPr>
          </w:p>
        </w:tc>
      </w:tr>
      <w:tr w:rsidR="00777583" w14:paraId="1C7B2C99" w14:textId="77777777" w:rsidTr="0B0ED8C2">
        <w:tc>
          <w:tcPr>
            <w:tcW w:w="229" w:type="pct"/>
            <w:vMerge/>
            <w:vAlign w:val="center"/>
            <w:hideMark/>
          </w:tcPr>
          <w:p w14:paraId="7772137B" w14:textId="77777777" w:rsidR="0060516D" w:rsidRDefault="0060516D">
            <w:pPr>
              <w:rPr>
                <w:rFonts w:ascii="Verdana" w:hAnsi="Verdana"/>
                <w:b/>
              </w:rPr>
            </w:pPr>
          </w:p>
        </w:tc>
        <w:tc>
          <w:tcPr>
            <w:tcW w:w="740" w:type="pct"/>
            <w:vMerge/>
            <w:vAlign w:val="center"/>
            <w:hideMark/>
          </w:tcPr>
          <w:p w14:paraId="6E6258CE" w14:textId="77777777" w:rsidR="0060516D" w:rsidRDefault="0060516D">
            <w:pPr>
              <w:rPr>
                <w:rFonts w:ascii="Verdana" w:hAnsi="Verdana"/>
                <w:color w:val="000000"/>
              </w:rPr>
            </w:pPr>
          </w:p>
        </w:tc>
        <w:tc>
          <w:tcPr>
            <w:tcW w:w="117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F5D23E" w14:textId="77777777" w:rsidR="0060516D" w:rsidRDefault="0060516D">
            <w:pPr>
              <w:jc w:val="center"/>
              <w:rPr>
                <w:rFonts w:ascii="Verdana" w:hAnsi="Verdana"/>
                <w:b/>
                <w:bCs/>
              </w:rPr>
            </w:pPr>
            <w:r>
              <w:rPr>
                <w:rFonts w:ascii="Verdana" w:hAnsi="Verdana"/>
                <w:b/>
                <w:bCs/>
              </w:rPr>
              <w:t>If the incarceration or unlawful presence status periods…</w:t>
            </w:r>
          </w:p>
        </w:tc>
        <w:tc>
          <w:tcPr>
            <w:tcW w:w="2853"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A8F74A7" w14:textId="77777777" w:rsidR="0060516D" w:rsidRDefault="0060516D">
            <w:pPr>
              <w:jc w:val="center"/>
              <w:rPr>
                <w:rFonts w:ascii="Verdana" w:hAnsi="Verdana"/>
                <w:b/>
                <w:bCs/>
              </w:rPr>
            </w:pPr>
            <w:r>
              <w:rPr>
                <w:rFonts w:ascii="Verdana" w:hAnsi="Verdana"/>
                <w:b/>
                <w:bCs/>
              </w:rPr>
              <w:t>Then…</w:t>
            </w:r>
          </w:p>
        </w:tc>
      </w:tr>
      <w:tr w:rsidR="00200B65" w14:paraId="164B0A80" w14:textId="77777777" w:rsidTr="0B0ED8C2">
        <w:tc>
          <w:tcPr>
            <w:tcW w:w="229" w:type="pct"/>
            <w:vMerge/>
            <w:vAlign w:val="center"/>
            <w:hideMark/>
          </w:tcPr>
          <w:p w14:paraId="3C6A9BB6" w14:textId="77777777" w:rsidR="0060516D" w:rsidRDefault="0060516D">
            <w:pPr>
              <w:rPr>
                <w:rFonts w:ascii="Verdana" w:hAnsi="Verdana"/>
                <w:b/>
              </w:rPr>
            </w:pPr>
          </w:p>
        </w:tc>
        <w:tc>
          <w:tcPr>
            <w:tcW w:w="740" w:type="pct"/>
            <w:vMerge/>
            <w:vAlign w:val="center"/>
            <w:hideMark/>
          </w:tcPr>
          <w:p w14:paraId="60E45C72" w14:textId="77777777" w:rsidR="0060516D" w:rsidRDefault="0060516D">
            <w:pPr>
              <w:rPr>
                <w:rFonts w:ascii="Verdana" w:hAnsi="Verdana"/>
                <w:color w:val="000000"/>
              </w:rPr>
            </w:pPr>
          </w:p>
        </w:tc>
        <w:tc>
          <w:tcPr>
            <w:tcW w:w="1177" w:type="pct"/>
            <w:vMerge w:val="restart"/>
            <w:tcBorders>
              <w:top w:val="single" w:sz="4" w:space="0" w:color="auto"/>
              <w:left w:val="single" w:sz="4" w:space="0" w:color="auto"/>
              <w:bottom w:val="single" w:sz="4" w:space="0" w:color="auto"/>
              <w:right w:val="single" w:sz="4" w:space="0" w:color="auto"/>
            </w:tcBorders>
          </w:tcPr>
          <w:p w14:paraId="33BB7E9F" w14:textId="77777777" w:rsidR="0060516D" w:rsidRDefault="0060516D">
            <w:pPr>
              <w:rPr>
                <w:rFonts w:ascii="Verdana" w:hAnsi="Verdana"/>
              </w:rPr>
            </w:pPr>
            <w:r>
              <w:rPr>
                <w:rFonts w:ascii="Verdana" w:hAnsi="Verdana"/>
              </w:rPr>
              <w:t xml:space="preserve">Are </w:t>
            </w:r>
            <w:r>
              <w:rPr>
                <w:rFonts w:ascii="Verdana" w:hAnsi="Verdana"/>
                <w:b/>
                <w:bCs/>
              </w:rPr>
              <w:t>not</w:t>
            </w:r>
            <w:r>
              <w:rPr>
                <w:rFonts w:ascii="Verdana" w:hAnsi="Verdana"/>
              </w:rPr>
              <w:t xml:space="preserve"> removed in </w:t>
            </w:r>
            <w:bookmarkStart w:id="42" w:name="OLE_LINK36"/>
            <w:proofErr w:type="spellStart"/>
            <w:r>
              <w:rPr>
                <w:rFonts w:ascii="Verdana" w:hAnsi="Verdana"/>
              </w:rPr>
              <w:t>MARx</w:t>
            </w:r>
            <w:bookmarkEnd w:id="42"/>
            <w:proofErr w:type="spellEnd"/>
          </w:p>
          <w:p w14:paraId="3AF5613E" w14:textId="77777777" w:rsidR="0060516D" w:rsidRDefault="0060516D">
            <w:pPr>
              <w:rPr>
                <w:rFonts w:ascii="Verdana" w:hAnsi="Verdana"/>
                <w:color w:val="000000"/>
              </w:rPr>
            </w:pPr>
          </w:p>
        </w:tc>
        <w:tc>
          <w:tcPr>
            <w:tcW w:w="2853" w:type="pct"/>
            <w:gridSpan w:val="2"/>
            <w:tcBorders>
              <w:top w:val="single" w:sz="4" w:space="0" w:color="auto"/>
              <w:left w:val="single" w:sz="4" w:space="0" w:color="auto"/>
              <w:bottom w:val="single" w:sz="4" w:space="0" w:color="auto"/>
              <w:right w:val="single" w:sz="4" w:space="0" w:color="auto"/>
            </w:tcBorders>
          </w:tcPr>
          <w:p w14:paraId="72A06C4D" w14:textId="681D0E0B" w:rsidR="0060516D" w:rsidRDefault="0060516D">
            <w:pPr>
              <w:spacing w:line="276" w:lineRule="auto"/>
              <w:rPr>
                <w:rFonts w:ascii="Verdana" w:hAnsi="Verdana"/>
              </w:rPr>
            </w:pPr>
            <w:r>
              <w:rPr>
                <w:rFonts w:ascii="Verdana" w:hAnsi="Verdana"/>
                <w:b/>
                <w:noProof/>
                <w:color w:val="000000"/>
              </w:rPr>
              <w:drawing>
                <wp:inline distT="0" distB="0" distL="0" distR="0" wp14:anchorId="4B69C364" wp14:editId="6CB7F41E">
                  <wp:extent cx="285750" cy="1841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4150"/>
                          </a:xfrm>
                          <a:prstGeom prst="rect">
                            <a:avLst/>
                          </a:prstGeom>
                          <a:noFill/>
                          <a:ln>
                            <a:noFill/>
                          </a:ln>
                        </pic:spPr>
                      </pic:pic>
                    </a:graphicData>
                  </a:graphic>
                </wp:inline>
              </w:drawing>
            </w:r>
            <w:r>
              <w:rPr>
                <w:rFonts w:ascii="Verdana" w:hAnsi="Verdana"/>
              </w:rPr>
              <w:t xml:space="preserve">I have verified in CMS’ system that you are currently ineligible to be enrolled in the Plan.  </w:t>
            </w:r>
          </w:p>
          <w:p w14:paraId="0F67AB94" w14:textId="77777777" w:rsidR="0060516D" w:rsidRDefault="0060516D">
            <w:pPr>
              <w:spacing w:line="276" w:lineRule="auto"/>
              <w:rPr>
                <w:rFonts w:ascii="Verdana" w:hAnsi="Verdana"/>
                <w:b/>
                <w:color w:val="000000"/>
              </w:rPr>
            </w:pPr>
          </w:p>
          <w:p w14:paraId="172E0BEF" w14:textId="527D3672" w:rsidR="0060516D" w:rsidRDefault="0060516D">
            <w:pPr>
              <w:spacing w:line="276" w:lineRule="auto"/>
              <w:rPr>
                <w:rFonts w:ascii="Verdana" w:hAnsi="Verdana"/>
              </w:rPr>
            </w:pPr>
            <w:r>
              <w:rPr>
                <w:rFonts w:ascii="Verdana" w:hAnsi="Verdana"/>
                <w:b/>
                <w:noProof/>
                <w:color w:val="000000"/>
              </w:rPr>
              <w:drawing>
                <wp:inline distT="0" distB="0" distL="0" distR="0" wp14:anchorId="3379A9B9" wp14:editId="57DCF3AE">
                  <wp:extent cx="285750" cy="184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4150"/>
                          </a:xfrm>
                          <a:prstGeom prst="rect">
                            <a:avLst/>
                          </a:prstGeom>
                          <a:noFill/>
                          <a:ln>
                            <a:noFill/>
                          </a:ln>
                        </pic:spPr>
                      </pic:pic>
                    </a:graphicData>
                  </a:graphic>
                </wp:inline>
              </w:drawing>
            </w:r>
            <w:r>
              <w:rPr>
                <w:rFonts w:ascii="Verdana" w:hAnsi="Verdana"/>
              </w:rPr>
              <w:t xml:space="preserve">Your disenrollment date was provided on the letter you received. </w:t>
            </w:r>
          </w:p>
          <w:p w14:paraId="5C8C8805" w14:textId="77777777" w:rsidR="0060516D" w:rsidRDefault="0060516D">
            <w:pPr>
              <w:rPr>
                <w:rFonts w:ascii="Verdana" w:hAnsi="Verdana"/>
                <w:color w:val="000000"/>
              </w:rPr>
            </w:pPr>
          </w:p>
        </w:tc>
      </w:tr>
      <w:tr w:rsidR="006A0C55" w14:paraId="425743E1" w14:textId="77777777" w:rsidTr="0B0ED8C2">
        <w:tc>
          <w:tcPr>
            <w:tcW w:w="229" w:type="pct"/>
            <w:vMerge/>
            <w:vAlign w:val="center"/>
            <w:hideMark/>
          </w:tcPr>
          <w:p w14:paraId="57DE8C71" w14:textId="77777777" w:rsidR="0060516D" w:rsidRDefault="0060516D">
            <w:pPr>
              <w:rPr>
                <w:rFonts w:ascii="Verdana" w:hAnsi="Verdana"/>
                <w:b/>
              </w:rPr>
            </w:pPr>
          </w:p>
        </w:tc>
        <w:tc>
          <w:tcPr>
            <w:tcW w:w="740" w:type="pct"/>
            <w:vMerge/>
            <w:vAlign w:val="center"/>
            <w:hideMark/>
          </w:tcPr>
          <w:p w14:paraId="0FBEB0E2" w14:textId="77777777" w:rsidR="0060516D" w:rsidRDefault="0060516D">
            <w:pPr>
              <w:rPr>
                <w:rFonts w:ascii="Verdana" w:hAnsi="Verdana"/>
                <w:color w:val="000000"/>
              </w:rPr>
            </w:pPr>
          </w:p>
        </w:tc>
        <w:tc>
          <w:tcPr>
            <w:tcW w:w="1177" w:type="pct"/>
            <w:vMerge/>
            <w:vAlign w:val="center"/>
            <w:hideMark/>
          </w:tcPr>
          <w:p w14:paraId="21947BCF" w14:textId="77777777" w:rsidR="0060516D" w:rsidRDefault="0060516D">
            <w:pPr>
              <w:rPr>
                <w:rFonts w:ascii="Verdana" w:hAnsi="Verdana"/>
                <w:color w:val="000000"/>
              </w:rPr>
            </w:pPr>
          </w:p>
        </w:tc>
        <w:tc>
          <w:tcPr>
            <w:tcW w:w="111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85E8665" w14:textId="77777777" w:rsidR="0060516D" w:rsidRDefault="0060516D">
            <w:pPr>
              <w:jc w:val="center"/>
              <w:rPr>
                <w:rFonts w:ascii="Verdana" w:hAnsi="Verdana"/>
                <w:b/>
                <w:bCs/>
                <w:color w:val="000000"/>
              </w:rPr>
            </w:pPr>
            <w:r>
              <w:rPr>
                <w:rFonts w:ascii="Verdana" w:hAnsi="Verdana"/>
                <w:b/>
                <w:bCs/>
                <w:color w:val="000000"/>
              </w:rPr>
              <w:t>If…</w:t>
            </w:r>
          </w:p>
        </w:tc>
        <w:tc>
          <w:tcPr>
            <w:tcW w:w="174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D56B47F" w14:textId="77777777" w:rsidR="0060516D" w:rsidRDefault="0060516D">
            <w:pPr>
              <w:jc w:val="center"/>
              <w:rPr>
                <w:rFonts w:ascii="Verdana" w:hAnsi="Verdana"/>
                <w:b/>
                <w:bCs/>
                <w:color w:val="000000"/>
              </w:rPr>
            </w:pPr>
            <w:r>
              <w:rPr>
                <w:rFonts w:ascii="Verdana" w:hAnsi="Verdana"/>
                <w:b/>
                <w:bCs/>
                <w:color w:val="000000"/>
              </w:rPr>
              <w:t>Then…</w:t>
            </w:r>
          </w:p>
        </w:tc>
      </w:tr>
      <w:tr w:rsidR="002B72A7" w14:paraId="0DC1FC54" w14:textId="77777777" w:rsidTr="0B0ED8C2">
        <w:tc>
          <w:tcPr>
            <w:tcW w:w="229" w:type="pct"/>
            <w:vMerge/>
            <w:vAlign w:val="center"/>
            <w:hideMark/>
          </w:tcPr>
          <w:p w14:paraId="28D3DD1D" w14:textId="77777777" w:rsidR="0060516D" w:rsidRDefault="0060516D">
            <w:pPr>
              <w:rPr>
                <w:rFonts w:ascii="Verdana" w:hAnsi="Verdana"/>
                <w:b/>
              </w:rPr>
            </w:pPr>
          </w:p>
        </w:tc>
        <w:tc>
          <w:tcPr>
            <w:tcW w:w="740" w:type="pct"/>
            <w:vMerge/>
            <w:vAlign w:val="center"/>
            <w:hideMark/>
          </w:tcPr>
          <w:p w14:paraId="62D67B39" w14:textId="77777777" w:rsidR="0060516D" w:rsidRDefault="0060516D">
            <w:pPr>
              <w:rPr>
                <w:rFonts w:ascii="Verdana" w:hAnsi="Verdana"/>
                <w:color w:val="000000"/>
              </w:rPr>
            </w:pPr>
          </w:p>
        </w:tc>
        <w:tc>
          <w:tcPr>
            <w:tcW w:w="1177" w:type="pct"/>
            <w:vMerge/>
            <w:vAlign w:val="center"/>
            <w:hideMark/>
          </w:tcPr>
          <w:p w14:paraId="594223CE" w14:textId="77777777" w:rsidR="0060516D" w:rsidRDefault="0060516D">
            <w:pPr>
              <w:rPr>
                <w:rFonts w:ascii="Verdana" w:hAnsi="Verdana"/>
                <w:color w:val="000000"/>
              </w:rPr>
            </w:pPr>
          </w:p>
        </w:tc>
        <w:tc>
          <w:tcPr>
            <w:tcW w:w="1111" w:type="pct"/>
            <w:tcBorders>
              <w:top w:val="single" w:sz="4" w:space="0" w:color="auto"/>
              <w:left w:val="nil"/>
              <w:bottom w:val="single" w:sz="4" w:space="0" w:color="auto"/>
              <w:right w:val="single" w:sz="4" w:space="0" w:color="auto"/>
            </w:tcBorders>
            <w:hideMark/>
          </w:tcPr>
          <w:p w14:paraId="59647777" w14:textId="77777777" w:rsidR="0060516D" w:rsidRDefault="0060516D">
            <w:pPr>
              <w:rPr>
                <w:rFonts w:ascii="Verdana" w:hAnsi="Verdana"/>
                <w:color w:val="000000"/>
              </w:rPr>
            </w:pPr>
            <w:r>
              <w:rPr>
                <w:rFonts w:ascii="Verdana" w:hAnsi="Verdana"/>
                <w:bCs/>
              </w:rPr>
              <w:t xml:space="preserve">The beneficiary disputes the information </w:t>
            </w:r>
          </w:p>
        </w:tc>
        <w:tc>
          <w:tcPr>
            <w:tcW w:w="1742" w:type="pct"/>
            <w:tcBorders>
              <w:top w:val="single" w:sz="4" w:space="0" w:color="auto"/>
              <w:left w:val="single" w:sz="4" w:space="0" w:color="auto"/>
              <w:bottom w:val="single" w:sz="4" w:space="0" w:color="auto"/>
              <w:right w:val="single" w:sz="4" w:space="0" w:color="auto"/>
            </w:tcBorders>
          </w:tcPr>
          <w:p w14:paraId="7E480411" w14:textId="77777777" w:rsidR="0060516D" w:rsidRDefault="0060516D">
            <w:pPr>
              <w:rPr>
                <w:rFonts w:ascii="Verdana" w:hAnsi="Verdana"/>
                <w:bCs/>
              </w:rPr>
            </w:pPr>
            <w:r>
              <w:rPr>
                <w:rFonts w:ascii="Verdana" w:hAnsi="Verdana"/>
                <w:bCs/>
              </w:rPr>
              <w:t xml:space="preserve">Advise the enrollee to contact the Social Security Administration (SSA). </w:t>
            </w:r>
          </w:p>
          <w:p w14:paraId="2BD0F956" w14:textId="77777777" w:rsidR="0060516D" w:rsidRDefault="0060516D">
            <w:pPr>
              <w:rPr>
                <w:rFonts w:ascii="Verdana" w:hAnsi="Verdana"/>
                <w:b/>
              </w:rPr>
            </w:pPr>
          </w:p>
          <w:p w14:paraId="0AFA2725" w14:textId="4039E6F4" w:rsidR="0060516D" w:rsidRDefault="0060516D">
            <w:pPr>
              <w:spacing w:line="276" w:lineRule="auto"/>
              <w:rPr>
                <w:rFonts w:ascii="Verdana" w:hAnsi="Verdana"/>
              </w:rPr>
            </w:pPr>
            <w:r>
              <w:rPr>
                <w:rFonts w:ascii="Verdana" w:hAnsi="Verdana"/>
                <w:b/>
                <w:noProof/>
                <w:color w:val="000000"/>
              </w:rPr>
              <w:drawing>
                <wp:inline distT="0" distB="0" distL="0" distR="0" wp14:anchorId="5D70E23E" wp14:editId="710AA3C6">
                  <wp:extent cx="285750" cy="184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4150"/>
                          </a:xfrm>
                          <a:prstGeom prst="rect">
                            <a:avLst/>
                          </a:prstGeom>
                          <a:noFill/>
                          <a:ln>
                            <a:noFill/>
                          </a:ln>
                        </pic:spPr>
                      </pic:pic>
                    </a:graphicData>
                  </a:graphic>
                </wp:inline>
              </w:drawing>
            </w:r>
            <w:r>
              <w:rPr>
                <w:rFonts w:ascii="Verdana" w:hAnsi="Verdana"/>
              </w:rPr>
              <w:t xml:space="preserve">Your disenrollment date was provided on the letter you received. </w:t>
            </w:r>
          </w:p>
          <w:p w14:paraId="39BC742F" w14:textId="77777777" w:rsidR="0060516D" w:rsidRDefault="0060516D">
            <w:pPr>
              <w:rPr>
                <w:rFonts w:ascii="Verdana" w:hAnsi="Verdana"/>
                <w:color w:val="000000"/>
              </w:rPr>
            </w:pPr>
          </w:p>
        </w:tc>
      </w:tr>
      <w:tr w:rsidR="00200B65" w14:paraId="2113EA0B" w14:textId="77777777" w:rsidTr="0B0ED8C2">
        <w:tc>
          <w:tcPr>
            <w:tcW w:w="229" w:type="pct"/>
            <w:vMerge/>
            <w:vAlign w:val="center"/>
            <w:hideMark/>
          </w:tcPr>
          <w:p w14:paraId="65F9E068" w14:textId="77777777" w:rsidR="0060516D" w:rsidRDefault="0060516D">
            <w:pPr>
              <w:rPr>
                <w:rFonts w:ascii="Verdana" w:hAnsi="Verdana"/>
                <w:b/>
              </w:rPr>
            </w:pPr>
          </w:p>
        </w:tc>
        <w:tc>
          <w:tcPr>
            <w:tcW w:w="740" w:type="pct"/>
            <w:vMerge/>
            <w:vAlign w:val="center"/>
            <w:hideMark/>
          </w:tcPr>
          <w:p w14:paraId="3E22D0F8" w14:textId="77777777" w:rsidR="0060516D" w:rsidRDefault="0060516D">
            <w:pPr>
              <w:rPr>
                <w:rFonts w:ascii="Verdana" w:hAnsi="Verdana"/>
                <w:color w:val="000000"/>
              </w:rPr>
            </w:pPr>
          </w:p>
        </w:tc>
        <w:tc>
          <w:tcPr>
            <w:tcW w:w="1177" w:type="pct"/>
            <w:tcBorders>
              <w:top w:val="single" w:sz="4" w:space="0" w:color="auto"/>
              <w:left w:val="single" w:sz="4" w:space="0" w:color="auto"/>
              <w:bottom w:val="single" w:sz="4" w:space="0" w:color="auto"/>
              <w:right w:val="single" w:sz="4" w:space="0" w:color="auto"/>
            </w:tcBorders>
            <w:hideMark/>
          </w:tcPr>
          <w:p w14:paraId="58B7961B" w14:textId="77777777" w:rsidR="0060516D" w:rsidRDefault="0060516D">
            <w:pPr>
              <w:rPr>
                <w:rFonts w:ascii="Verdana" w:hAnsi="Verdana"/>
              </w:rPr>
            </w:pPr>
            <w:r>
              <w:rPr>
                <w:rFonts w:ascii="Verdana" w:hAnsi="Verdana"/>
              </w:rPr>
              <w:t>Are Removed</w:t>
            </w:r>
          </w:p>
        </w:tc>
        <w:tc>
          <w:tcPr>
            <w:tcW w:w="2853" w:type="pct"/>
            <w:gridSpan w:val="2"/>
            <w:tcBorders>
              <w:top w:val="single" w:sz="4" w:space="0" w:color="auto"/>
              <w:left w:val="single" w:sz="4" w:space="0" w:color="auto"/>
              <w:bottom w:val="single" w:sz="4" w:space="0" w:color="auto"/>
              <w:right w:val="single" w:sz="4" w:space="0" w:color="auto"/>
            </w:tcBorders>
          </w:tcPr>
          <w:p w14:paraId="160665C0" w14:textId="02463DB2" w:rsidR="0060516D" w:rsidRDefault="0060516D">
            <w:pPr>
              <w:spacing w:line="276" w:lineRule="auto"/>
              <w:rPr>
                <w:rFonts w:ascii="Verdana" w:hAnsi="Verdana"/>
              </w:rPr>
            </w:pPr>
            <w:r>
              <w:rPr>
                <w:rFonts w:ascii="Verdana" w:hAnsi="Verdana"/>
                <w:b/>
                <w:noProof/>
                <w:color w:val="000000"/>
              </w:rPr>
              <w:drawing>
                <wp:inline distT="0" distB="0" distL="0" distR="0" wp14:anchorId="4EA43BAA" wp14:editId="7B0ECFC9">
                  <wp:extent cx="285750" cy="184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4150"/>
                          </a:xfrm>
                          <a:prstGeom prst="rect">
                            <a:avLst/>
                          </a:prstGeom>
                          <a:noFill/>
                          <a:ln>
                            <a:noFill/>
                          </a:ln>
                        </pic:spPr>
                      </pic:pic>
                    </a:graphicData>
                  </a:graphic>
                </wp:inline>
              </w:drawing>
            </w:r>
            <w:r>
              <w:rPr>
                <w:rFonts w:ascii="Verdana" w:hAnsi="Verdana"/>
                <w:b/>
                <w:color w:val="000000"/>
              </w:rPr>
              <w:t xml:space="preserve"> </w:t>
            </w:r>
            <w:r>
              <w:rPr>
                <w:rFonts w:ascii="Verdana" w:hAnsi="Verdana"/>
              </w:rPr>
              <w:t xml:space="preserve">I have reviewed the information in CMS’ system, and you may be eligible for enrollment. I will submit a request for review. You will receive a notification after the review is completed. </w:t>
            </w:r>
          </w:p>
          <w:p w14:paraId="0E7A255C" w14:textId="77777777" w:rsidR="0060516D" w:rsidRDefault="0060516D">
            <w:pPr>
              <w:spacing w:line="276" w:lineRule="auto"/>
              <w:rPr>
                <w:rFonts w:ascii="Verdana" w:hAnsi="Verdana"/>
                <w:bCs/>
              </w:rPr>
            </w:pPr>
          </w:p>
          <w:p w14:paraId="7EF7ED25" w14:textId="67405405" w:rsidR="0060516D" w:rsidRDefault="0060516D">
            <w:pPr>
              <w:spacing w:line="276" w:lineRule="auto"/>
              <w:rPr>
                <w:rFonts w:ascii="Verdana" w:hAnsi="Verdana"/>
                <w:bCs/>
              </w:rPr>
            </w:pPr>
            <w:r>
              <w:rPr>
                <w:rFonts w:ascii="Verdana" w:hAnsi="Verdana"/>
                <w:bCs/>
              </w:rPr>
              <w:t xml:space="preserve">Submit the following </w:t>
            </w:r>
            <w:r w:rsidR="007C6D41">
              <w:rPr>
                <w:rFonts w:ascii="Verdana" w:hAnsi="Verdana"/>
                <w:bCs/>
              </w:rPr>
              <w:t xml:space="preserve">Support </w:t>
            </w:r>
            <w:r>
              <w:rPr>
                <w:rFonts w:ascii="Verdana" w:hAnsi="Verdana"/>
                <w:bCs/>
              </w:rPr>
              <w:t xml:space="preserve">Task in </w:t>
            </w:r>
            <w:r w:rsidR="00004BC4">
              <w:rPr>
                <w:rFonts w:ascii="Verdana" w:hAnsi="Verdana"/>
                <w:b/>
                <w:bCs/>
              </w:rPr>
              <w:t>Compass</w:t>
            </w:r>
            <w:r>
              <w:rPr>
                <w:rFonts w:ascii="Verdana" w:hAnsi="Verdana"/>
                <w:b/>
                <w:bCs/>
              </w:rPr>
              <w:t>:</w:t>
            </w:r>
          </w:p>
          <w:p w14:paraId="30DBCCAB" w14:textId="77777777" w:rsidR="006A0C55" w:rsidRDefault="006A0C55">
            <w:pPr>
              <w:spacing w:line="276" w:lineRule="auto"/>
              <w:rPr>
                <w:rFonts w:ascii="Verdana" w:hAnsi="Verdana"/>
                <w:bCs/>
              </w:rPr>
            </w:pPr>
          </w:p>
          <w:p w14:paraId="3E776F11" w14:textId="77777777" w:rsidR="0060516D" w:rsidRDefault="0060516D" w:rsidP="004022FB">
            <w:pPr>
              <w:spacing w:line="276" w:lineRule="auto"/>
              <w:ind w:left="576"/>
              <w:rPr>
                <w:rFonts w:ascii="Verdana" w:hAnsi="Verdana"/>
                <w:bCs/>
              </w:rPr>
            </w:pPr>
            <w:r>
              <w:rPr>
                <w:rFonts w:ascii="Verdana" w:hAnsi="Verdana"/>
                <w:b/>
                <w:bCs/>
              </w:rPr>
              <w:t xml:space="preserve">Task Type:  </w:t>
            </w:r>
            <w:r>
              <w:rPr>
                <w:rFonts w:ascii="Verdana" w:hAnsi="Verdana"/>
                <w:bCs/>
              </w:rPr>
              <w:t>Mistaken Disenrollment</w:t>
            </w:r>
          </w:p>
          <w:p w14:paraId="3FED7DDF" w14:textId="77777777" w:rsidR="0060516D" w:rsidRDefault="0060516D" w:rsidP="004022FB">
            <w:pPr>
              <w:spacing w:line="276" w:lineRule="auto"/>
              <w:ind w:left="576"/>
              <w:rPr>
                <w:rFonts w:ascii="Verdana" w:hAnsi="Verdana"/>
                <w:bCs/>
              </w:rPr>
            </w:pPr>
            <w:r>
              <w:rPr>
                <w:rFonts w:ascii="Verdana" w:hAnsi="Verdana"/>
                <w:b/>
                <w:bCs/>
              </w:rPr>
              <w:t>Notes:</w:t>
            </w:r>
            <w:r>
              <w:rPr>
                <w:rFonts w:ascii="Verdana" w:hAnsi="Verdana"/>
                <w:bCs/>
              </w:rPr>
              <w:t xml:space="preserve">  Beneficiary &lt;or POA/AOR&gt; called to advise they were involuntarily disenrolled due to </w:t>
            </w:r>
            <w:r>
              <w:rPr>
                <w:rFonts w:ascii="Verdana" w:hAnsi="Verdana"/>
                <w:b/>
                <w:bCs/>
              </w:rPr>
              <w:t xml:space="preserve">&lt;Incarceration&gt; </w:t>
            </w:r>
            <w:r>
              <w:rPr>
                <w:rFonts w:ascii="Verdana" w:hAnsi="Verdana"/>
                <w:bCs/>
              </w:rPr>
              <w:t xml:space="preserve">or </w:t>
            </w:r>
            <w:r>
              <w:rPr>
                <w:rFonts w:ascii="Verdana" w:hAnsi="Verdana"/>
                <w:b/>
                <w:bCs/>
              </w:rPr>
              <w:t>&lt;Unlawful Presence&gt;</w:t>
            </w:r>
            <w:r>
              <w:rPr>
                <w:rFonts w:ascii="Verdana" w:hAnsi="Verdana"/>
                <w:bCs/>
              </w:rPr>
              <w:t xml:space="preserve">. Beneficiary can be reached at </w:t>
            </w:r>
            <w:r>
              <w:rPr>
                <w:rFonts w:ascii="Verdana" w:hAnsi="Verdana"/>
                <w:b/>
                <w:bCs/>
              </w:rPr>
              <w:t>&lt;current phone number&gt;</w:t>
            </w:r>
            <w:r>
              <w:rPr>
                <w:rFonts w:ascii="Verdana" w:hAnsi="Verdana"/>
                <w:bCs/>
              </w:rPr>
              <w:t xml:space="preserve"> at </w:t>
            </w:r>
            <w:r>
              <w:rPr>
                <w:rFonts w:ascii="Verdana" w:hAnsi="Verdana"/>
                <w:b/>
                <w:bCs/>
              </w:rPr>
              <w:t>&lt;best time to contact&gt;</w:t>
            </w:r>
            <w:r>
              <w:rPr>
                <w:rFonts w:ascii="Verdana" w:hAnsi="Verdana"/>
                <w:bCs/>
              </w:rPr>
              <w:t xml:space="preserve">. Eligibility was verified in </w:t>
            </w:r>
            <w:proofErr w:type="spellStart"/>
            <w:r>
              <w:rPr>
                <w:rFonts w:ascii="Verdana" w:hAnsi="Verdana"/>
                <w:bCs/>
              </w:rPr>
              <w:t>MARx</w:t>
            </w:r>
            <w:proofErr w:type="spellEnd"/>
            <w:r>
              <w:rPr>
                <w:rFonts w:ascii="Verdana" w:hAnsi="Verdana"/>
                <w:bCs/>
              </w:rPr>
              <w:t>.</w:t>
            </w:r>
          </w:p>
          <w:p w14:paraId="3106F66D" w14:textId="77777777" w:rsidR="0060516D" w:rsidRDefault="0060516D">
            <w:pPr>
              <w:rPr>
                <w:rFonts w:ascii="Verdana" w:hAnsi="Verdana"/>
                <w:color w:val="000000"/>
              </w:rPr>
            </w:pPr>
          </w:p>
          <w:p w14:paraId="155EE0C5" w14:textId="608C2BD3" w:rsidR="00204D65" w:rsidRDefault="00204D65" w:rsidP="00204D65">
            <w:pPr>
              <w:spacing w:line="276" w:lineRule="auto"/>
              <w:rPr>
                <w:rFonts w:ascii="Verdana" w:hAnsi="Verdana"/>
                <w:bCs/>
              </w:rPr>
            </w:pPr>
            <w:r w:rsidRPr="0B0ED8C2">
              <w:rPr>
                <w:rFonts w:ascii="Verdana" w:hAnsi="Verdana"/>
              </w:rPr>
              <w:t xml:space="preserve">Refer to </w:t>
            </w:r>
            <w:hyperlink r:id="rId21" w:anchor="!/view?docid=64f18e5a-4d56-4175-ba8e-e7d094e501d6" w:history="1">
              <w:r w:rsidRPr="0B0ED8C2">
                <w:rPr>
                  <w:rStyle w:val="Hyperlink"/>
                  <w:rFonts w:ascii="Verdana" w:hAnsi="Verdana"/>
                </w:rPr>
                <w:t>Compass - Create a Support Task</w:t>
              </w:r>
            </w:hyperlink>
            <w:r w:rsidRPr="0B0ED8C2">
              <w:rPr>
                <w:rFonts w:ascii="Verdana" w:hAnsi="Verdana"/>
              </w:rPr>
              <w:t xml:space="preserve"> as needed.</w:t>
            </w:r>
          </w:p>
          <w:p w14:paraId="1502A22A" w14:textId="53B3BA82" w:rsidR="00D55064" w:rsidRDefault="00D55064">
            <w:pPr>
              <w:rPr>
                <w:rFonts w:ascii="Verdana" w:hAnsi="Verdana"/>
                <w:color w:val="000000"/>
              </w:rPr>
            </w:pPr>
          </w:p>
        </w:tc>
      </w:tr>
      <w:tr w:rsidR="0060516D" w14:paraId="399EDB89" w14:textId="77777777" w:rsidTr="0B0ED8C2">
        <w:tc>
          <w:tcPr>
            <w:tcW w:w="229" w:type="pct"/>
            <w:tcBorders>
              <w:top w:val="single" w:sz="4" w:space="0" w:color="auto"/>
              <w:left w:val="single" w:sz="4" w:space="0" w:color="auto"/>
              <w:bottom w:val="single" w:sz="4" w:space="0" w:color="auto"/>
              <w:right w:val="single" w:sz="4" w:space="0" w:color="auto"/>
            </w:tcBorders>
          </w:tcPr>
          <w:p w14:paraId="14067819" w14:textId="77777777" w:rsidR="0060516D" w:rsidRDefault="0060516D">
            <w:pPr>
              <w:jc w:val="center"/>
              <w:rPr>
                <w:rFonts w:ascii="Verdana" w:hAnsi="Verdana"/>
                <w:b/>
              </w:rPr>
            </w:pPr>
            <w:r>
              <w:rPr>
                <w:rFonts w:ascii="Verdana" w:hAnsi="Verdana"/>
                <w:b/>
              </w:rPr>
              <w:t>2</w:t>
            </w:r>
          </w:p>
          <w:p w14:paraId="573A113A" w14:textId="77777777" w:rsidR="0060516D" w:rsidRDefault="0060516D">
            <w:pPr>
              <w:jc w:val="center"/>
              <w:rPr>
                <w:rFonts w:ascii="Verdana" w:hAnsi="Verdana"/>
                <w:b/>
              </w:rPr>
            </w:pPr>
          </w:p>
        </w:tc>
        <w:tc>
          <w:tcPr>
            <w:tcW w:w="4771" w:type="pct"/>
            <w:gridSpan w:val="4"/>
            <w:tcBorders>
              <w:top w:val="single" w:sz="4" w:space="0" w:color="auto"/>
              <w:left w:val="single" w:sz="4" w:space="0" w:color="auto"/>
              <w:bottom w:val="single" w:sz="4" w:space="0" w:color="auto"/>
              <w:right w:val="single" w:sz="4" w:space="0" w:color="auto"/>
            </w:tcBorders>
          </w:tcPr>
          <w:p w14:paraId="69B3B61C" w14:textId="77777777" w:rsidR="0060516D" w:rsidRDefault="0060516D">
            <w:pPr>
              <w:rPr>
                <w:rFonts w:ascii="Verdana" w:hAnsi="Verdana"/>
                <w:color w:val="000000"/>
                <w:szCs w:val="20"/>
              </w:rPr>
            </w:pPr>
            <w:bookmarkStart w:id="43" w:name="close_the_call"/>
            <w:bookmarkStart w:id="44" w:name="OLE_LINK14"/>
            <w:r>
              <w:rPr>
                <w:rFonts w:ascii="Verdana" w:hAnsi="Verdana"/>
                <w:color w:val="000000"/>
                <w:szCs w:val="20"/>
              </w:rPr>
              <w:t>Close</w:t>
            </w:r>
            <w:bookmarkEnd w:id="43"/>
            <w:r>
              <w:rPr>
                <w:rFonts w:ascii="Verdana" w:hAnsi="Verdana"/>
                <w:color w:val="000000"/>
                <w:szCs w:val="20"/>
              </w:rPr>
              <w:t xml:space="preserve"> the call:</w:t>
            </w:r>
          </w:p>
          <w:p w14:paraId="7F7A38D0" w14:textId="77777777" w:rsidR="004022FB" w:rsidRDefault="004022FB">
            <w:pPr>
              <w:rPr>
                <w:rFonts w:ascii="Verdana" w:hAnsi="Verdana"/>
                <w:color w:val="000000"/>
                <w:szCs w:val="20"/>
              </w:rPr>
            </w:pPr>
          </w:p>
          <w:p w14:paraId="2E5E3A6C" w14:textId="77777777" w:rsidR="0060516D" w:rsidRDefault="0060516D">
            <w:pPr>
              <w:numPr>
                <w:ilvl w:val="0"/>
                <w:numId w:val="7"/>
              </w:numPr>
              <w:ind w:left="360"/>
              <w:rPr>
                <w:rFonts w:ascii="Verdana" w:hAnsi="Verdana"/>
                <w:color w:val="000000"/>
                <w:szCs w:val="20"/>
              </w:rPr>
            </w:pPr>
            <w:r>
              <w:rPr>
                <w:rFonts w:ascii="Verdana" w:hAnsi="Verdana"/>
                <w:color w:val="000000"/>
                <w:szCs w:val="20"/>
              </w:rPr>
              <w:t>Address any benefit issues.</w:t>
            </w:r>
          </w:p>
          <w:p w14:paraId="6FF40A70" w14:textId="77777777" w:rsidR="0060516D" w:rsidRDefault="0060516D">
            <w:pPr>
              <w:rPr>
                <w:rFonts w:ascii="Verdana" w:hAnsi="Verdana"/>
                <w:color w:val="000000"/>
                <w:szCs w:val="20"/>
              </w:rPr>
            </w:pPr>
          </w:p>
          <w:p w14:paraId="0041564A" w14:textId="77777777" w:rsidR="0060516D" w:rsidRDefault="0060516D">
            <w:pPr>
              <w:numPr>
                <w:ilvl w:val="0"/>
                <w:numId w:val="8"/>
              </w:numPr>
              <w:ind w:left="360"/>
              <w:rPr>
                <w:rFonts w:ascii="Verdana" w:hAnsi="Verdana"/>
                <w:bCs/>
              </w:rPr>
            </w:pPr>
            <w:r>
              <w:rPr>
                <w:rFonts w:ascii="Verdana" w:hAnsi="Verdana"/>
                <w:color w:val="000000"/>
                <w:szCs w:val="20"/>
              </w:rPr>
              <w:t>Document and close the call according to existing policies and procedures</w:t>
            </w:r>
            <w:r>
              <w:rPr>
                <w:rFonts w:ascii="Verdana" w:hAnsi="Verdana"/>
                <w:bCs/>
              </w:rPr>
              <w:t>, including all options discussed.</w:t>
            </w:r>
          </w:p>
          <w:p w14:paraId="65980210" w14:textId="77777777" w:rsidR="0060516D" w:rsidRDefault="0060516D">
            <w:pPr>
              <w:ind w:left="1080"/>
              <w:rPr>
                <w:rFonts w:ascii="Verdana" w:hAnsi="Verdana"/>
                <w:bCs/>
              </w:rPr>
            </w:pPr>
          </w:p>
          <w:p w14:paraId="13940DF6" w14:textId="79FC4E52" w:rsidR="0060516D" w:rsidRDefault="0060516D">
            <w:pPr>
              <w:rPr>
                <w:rFonts w:ascii="Verdana" w:hAnsi="Verdana"/>
                <w:bCs/>
              </w:rPr>
            </w:pPr>
            <w:r>
              <w:rPr>
                <w:rFonts w:ascii="Verdana" w:hAnsi="Verdana"/>
                <w:b/>
              </w:rPr>
              <w:t>Note:</w:t>
            </w:r>
            <w:r>
              <w:rPr>
                <w:rFonts w:ascii="Verdana" w:hAnsi="Verdana"/>
                <w:bCs/>
              </w:rPr>
              <w:t xml:space="preserve">  Refer to</w:t>
            </w:r>
            <w:r w:rsidRPr="00200B65">
              <w:rPr>
                <w:rFonts w:ascii="Verdana" w:hAnsi="Verdana"/>
                <w:bCs/>
              </w:rPr>
              <w:t xml:space="preserve"> </w:t>
            </w:r>
            <w:hyperlink r:id="rId22" w:anchor="!/view?docid=0296717e-6df6-4184-b337-13abcd4b070b" w:history="1">
              <w:r w:rsidR="00200B65" w:rsidRPr="00DD5B2F">
                <w:rPr>
                  <w:rStyle w:val="Hyperlink"/>
                  <w:rFonts w:ascii="Verdana" w:hAnsi="Verdana" w:cs="Segoe UI"/>
                </w:rPr>
                <w:t>Compass - Call Documentation</w:t>
              </w:r>
            </w:hyperlink>
            <w:r w:rsidR="00200B65" w:rsidRPr="008E46FE">
              <w:rPr>
                <w:rFonts w:ascii="Verdana" w:hAnsi="Verdana" w:cs="Segoe UI"/>
              </w:rPr>
              <w:t xml:space="preserve"> and </w:t>
            </w:r>
            <w:hyperlink r:id="rId23" w:anchor="!/view?docid=433711aa-8fa6-447c-872b-bd69cd6cd7c0" w:history="1">
              <w:r w:rsidR="00BD7BE9" w:rsidRPr="00BD7BE9">
                <w:rPr>
                  <w:rStyle w:val="Hyperlink"/>
                  <w:rFonts w:ascii="Verdana" w:hAnsi="Verdana" w:cs="Segoe UI"/>
                </w:rPr>
                <w:t>Compass Med D - Call Documentation Job Aid</w:t>
              </w:r>
            </w:hyperlink>
            <w:r>
              <w:rPr>
                <w:rFonts w:ascii="Verdana" w:hAnsi="Verdana"/>
                <w:bCs/>
              </w:rPr>
              <w:t>.</w:t>
            </w:r>
            <w:bookmarkEnd w:id="44"/>
          </w:p>
          <w:p w14:paraId="31E858AE" w14:textId="77777777" w:rsidR="0060516D" w:rsidRDefault="0060516D">
            <w:pPr>
              <w:jc w:val="right"/>
              <w:rPr>
                <w:rFonts w:ascii="Verdana" w:hAnsi="Verdana"/>
                <w:color w:val="000000"/>
              </w:rPr>
            </w:pPr>
          </w:p>
        </w:tc>
      </w:tr>
    </w:tbl>
    <w:p w14:paraId="1E58E5D2" w14:textId="77777777" w:rsidR="0060516D" w:rsidRDefault="0060516D" w:rsidP="0060516D">
      <w:pPr>
        <w:jc w:val="right"/>
        <w:rPr>
          <w:rFonts w:ascii="Verdana" w:hAnsi="Verdana"/>
        </w:rPr>
      </w:pPr>
    </w:p>
    <w:bookmarkStart w:id="45" w:name="_Log_Activity"/>
    <w:bookmarkEnd w:id="4"/>
    <w:bookmarkEnd w:id="5"/>
    <w:bookmarkEnd w:id="6"/>
    <w:bookmarkEnd w:id="7"/>
    <w:bookmarkEnd w:id="8"/>
    <w:bookmarkEnd w:id="9"/>
    <w:bookmarkEnd w:id="10"/>
    <w:bookmarkEnd w:id="45"/>
    <w:p w14:paraId="537574F7" w14:textId="73A16529" w:rsidR="0060516D" w:rsidRDefault="0060516D" w:rsidP="0060516D">
      <w:pPr>
        <w:jc w:val="right"/>
        <w:rPr>
          <w:rFonts w:ascii="Verdana" w:hAnsi="Verdana"/>
        </w:rPr>
      </w:pPr>
      <w:r>
        <w:rPr>
          <w:rFonts w:ascii="Verdana" w:hAnsi="Verdana"/>
        </w:rPr>
        <w:fldChar w:fldCharType="begin"/>
      </w:r>
      <w:r>
        <w:rPr>
          <w:rFonts w:ascii="Verdana" w:hAnsi="Verdana"/>
        </w:rPr>
        <w:instrText>HYPERLINK  \l "_top"</w:instrText>
      </w:r>
      <w:r>
        <w:rPr>
          <w:rFonts w:ascii="Verdana" w:hAnsi="Verdana"/>
        </w:rPr>
        <w:fldChar w:fldCharType="separate"/>
      </w:r>
      <w:r>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60516D" w14:paraId="2F8AB173" w14:textId="77777777" w:rsidTr="0060516D">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C15131A" w14:textId="1E24D0F1" w:rsidR="0060516D" w:rsidRDefault="0060516D">
            <w:pPr>
              <w:pStyle w:val="Heading2"/>
              <w:rPr>
                <w:rFonts w:ascii="Verdana" w:hAnsi="Verdana"/>
                <w:i w:val="0"/>
                <w:iCs w:val="0"/>
              </w:rPr>
            </w:pPr>
            <w:bookmarkStart w:id="46" w:name="_FAQs_Incarceration/_Not"/>
            <w:bookmarkStart w:id="47" w:name="_Toc103940295"/>
            <w:bookmarkStart w:id="48" w:name="_Toc106882493"/>
            <w:bookmarkEnd w:id="46"/>
            <w:r>
              <w:rPr>
                <w:rFonts w:ascii="Verdana" w:hAnsi="Verdana"/>
                <w:i w:val="0"/>
                <w:iCs w:val="0"/>
              </w:rPr>
              <w:t>FAQs Incarceration/ Not Lawfully Present</w:t>
            </w:r>
            <w:bookmarkEnd w:id="47"/>
            <w:bookmarkEnd w:id="48"/>
          </w:p>
        </w:tc>
      </w:tr>
    </w:tbl>
    <w:p w14:paraId="76C65CEB" w14:textId="77777777" w:rsidR="0060516D" w:rsidRDefault="0060516D" w:rsidP="0060516D">
      <w:pPr>
        <w:rPr>
          <w:rFonts w:ascii="Verdana" w:hAnsi="Verdana"/>
        </w:rPr>
      </w:pPr>
    </w:p>
    <w:p w14:paraId="32E7A2E6" w14:textId="77777777" w:rsidR="0060516D" w:rsidRDefault="0060516D" w:rsidP="0060516D">
      <w:pPr>
        <w:rPr>
          <w:rFonts w:ascii="Verdana" w:hAnsi="Verdana"/>
        </w:rPr>
      </w:pPr>
      <w:r>
        <w:rPr>
          <w:rFonts w:ascii="Verdana" w:hAnsi="Verdana"/>
        </w:rPr>
        <w:t>Use as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8801"/>
      </w:tblGrid>
      <w:tr w:rsidR="0060516D" w14:paraId="41854794" w14:textId="77777777" w:rsidTr="00B86887">
        <w:tc>
          <w:tcPr>
            <w:tcW w:w="1602" w:type="pct"/>
            <w:tcBorders>
              <w:top w:val="single" w:sz="4" w:space="0" w:color="auto"/>
              <w:left w:val="single" w:sz="4" w:space="0" w:color="auto"/>
              <w:bottom w:val="single" w:sz="4" w:space="0" w:color="auto"/>
              <w:right w:val="single" w:sz="4" w:space="0" w:color="auto"/>
            </w:tcBorders>
            <w:shd w:val="clear" w:color="auto" w:fill="F2F2F2"/>
            <w:hideMark/>
          </w:tcPr>
          <w:p w14:paraId="7B613162" w14:textId="77777777" w:rsidR="0060516D" w:rsidRDefault="0060516D">
            <w:pPr>
              <w:jc w:val="center"/>
              <w:rPr>
                <w:rFonts w:ascii="Verdana" w:hAnsi="Verdana"/>
                <w:b/>
              </w:rPr>
            </w:pPr>
            <w:r>
              <w:rPr>
                <w:rFonts w:ascii="Verdana" w:hAnsi="Verdana"/>
                <w:b/>
              </w:rPr>
              <w:t>Question</w:t>
            </w:r>
          </w:p>
        </w:tc>
        <w:tc>
          <w:tcPr>
            <w:tcW w:w="3398" w:type="pct"/>
            <w:tcBorders>
              <w:top w:val="single" w:sz="4" w:space="0" w:color="auto"/>
              <w:left w:val="single" w:sz="4" w:space="0" w:color="auto"/>
              <w:bottom w:val="single" w:sz="4" w:space="0" w:color="auto"/>
              <w:right w:val="single" w:sz="4" w:space="0" w:color="auto"/>
            </w:tcBorders>
            <w:shd w:val="clear" w:color="auto" w:fill="F2F2F2"/>
            <w:hideMark/>
          </w:tcPr>
          <w:p w14:paraId="5AB08904" w14:textId="77777777" w:rsidR="0060516D" w:rsidRDefault="0060516D">
            <w:pPr>
              <w:jc w:val="center"/>
              <w:rPr>
                <w:rFonts w:ascii="Verdana" w:hAnsi="Verdana"/>
                <w:b/>
              </w:rPr>
            </w:pPr>
            <w:r>
              <w:rPr>
                <w:rFonts w:ascii="Verdana" w:hAnsi="Verdana"/>
                <w:b/>
              </w:rPr>
              <w:t>Answer</w:t>
            </w:r>
          </w:p>
        </w:tc>
      </w:tr>
      <w:tr w:rsidR="0060516D" w14:paraId="4F3ABCDF" w14:textId="77777777" w:rsidTr="00B86887">
        <w:tc>
          <w:tcPr>
            <w:tcW w:w="1602" w:type="pct"/>
            <w:tcBorders>
              <w:top w:val="single" w:sz="4" w:space="0" w:color="auto"/>
              <w:left w:val="single" w:sz="4" w:space="0" w:color="auto"/>
              <w:bottom w:val="single" w:sz="4" w:space="0" w:color="auto"/>
              <w:right w:val="single" w:sz="4" w:space="0" w:color="auto"/>
            </w:tcBorders>
            <w:hideMark/>
          </w:tcPr>
          <w:p w14:paraId="3117CC89" w14:textId="77777777" w:rsidR="0060516D" w:rsidRDefault="0060516D">
            <w:pPr>
              <w:rPr>
                <w:rFonts w:ascii="Verdana" w:hAnsi="Verdana"/>
              </w:rPr>
            </w:pPr>
            <w:r>
              <w:rPr>
                <w:rFonts w:ascii="Verdana" w:hAnsi="Verdana"/>
              </w:rPr>
              <w:t xml:space="preserve">Will a beneficiary have an opportunity to re-enroll in a plan once SSA and CMS records have been corrected? </w:t>
            </w:r>
          </w:p>
        </w:tc>
        <w:tc>
          <w:tcPr>
            <w:tcW w:w="3398" w:type="pct"/>
            <w:tcBorders>
              <w:top w:val="single" w:sz="4" w:space="0" w:color="auto"/>
              <w:left w:val="single" w:sz="4" w:space="0" w:color="auto"/>
              <w:bottom w:val="single" w:sz="4" w:space="0" w:color="auto"/>
              <w:right w:val="single" w:sz="4" w:space="0" w:color="auto"/>
            </w:tcBorders>
          </w:tcPr>
          <w:p w14:paraId="790E8074" w14:textId="1DDA0E1A" w:rsidR="0060516D" w:rsidRDefault="0060516D">
            <w:pPr>
              <w:rPr>
                <w:rFonts w:ascii="Verdana" w:hAnsi="Verdana"/>
              </w:rPr>
            </w:pPr>
            <w:r>
              <w:rPr>
                <w:rFonts w:ascii="Verdana" w:hAnsi="Verdana"/>
                <w:b/>
                <w:noProof/>
                <w:color w:val="000000"/>
              </w:rPr>
              <w:drawing>
                <wp:inline distT="0" distB="0" distL="0" distR="0" wp14:anchorId="0D91CC1E" wp14:editId="7FF3AC38">
                  <wp:extent cx="285750" cy="184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4150"/>
                          </a:xfrm>
                          <a:prstGeom prst="rect">
                            <a:avLst/>
                          </a:prstGeom>
                          <a:noFill/>
                          <a:ln>
                            <a:noFill/>
                          </a:ln>
                        </pic:spPr>
                      </pic:pic>
                    </a:graphicData>
                  </a:graphic>
                </wp:inline>
              </w:drawing>
            </w:r>
            <w:r w:rsidR="004022FB">
              <w:rPr>
                <w:rFonts w:ascii="Verdana" w:hAnsi="Verdana"/>
              </w:rPr>
              <w:t xml:space="preserve"> </w:t>
            </w:r>
            <w:r>
              <w:rPr>
                <w:rFonts w:ascii="Verdana" w:hAnsi="Verdana"/>
              </w:rPr>
              <w:t xml:space="preserve">Yes, you have a Special Election Period (SEP) for </w:t>
            </w:r>
            <w:bookmarkStart w:id="49" w:name="OLE_LINK46"/>
            <w:r>
              <w:rPr>
                <w:rFonts w:ascii="Verdana" w:hAnsi="Verdana"/>
              </w:rPr>
              <w:t>2 full calendar months after the status is corrected by SSA to enroll in a Part D Plan</w:t>
            </w:r>
            <w:bookmarkEnd w:id="49"/>
            <w:r>
              <w:rPr>
                <w:rFonts w:ascii="Verdana" w:hAnsi="Verdana"/>
              </w:rPr>
              <w:t xml:space="preserve">. </w:t>
            </w:r>
          </w:p>
          <w:p w14:paraId="3C62D66E" w14:textId="77777777" w:rsidR="0060516D" w:rsidRDefault="0060516D">
            <w:pPr>
              <w:ind w:left="720"/>
              <w:rPr>
                <w:rFonts w:ascii="Verdana" w:hAnsi="Verdana"/>
              </w:rPr>
            </w:pPr>
          </w:p>
          <w:p w14:paraId="36C91034" w14:textId="77777777" w:rsidR="0060516D" w:rsidRDefault="0060516D">
            <w:pPr>
              <w:rPr>
                <w:rFonts w:ascii="Verdana" w:hAnsi="Verdana"/>
                <w:b/>
              </w:rPr>
            </w:pPr>
            <w:r>
              <w:rPr>
                <w:rFonts w:ascii="Verdana" w:hAnsi="Verdana"/>
                <w:b/>
              </w:rPr>
              <w:t>CCR Process Note:</w:t>
            </w:r>
          </w:p>
          <w:p w14:paraId="5A7F775A" w14:textId="77777777" w:rsidR="0060516D" w:rsidRDefault="0060516D">
            <w:pPr>
              <w:rPr>
                <w:rFonts w:ascii="Verdana" w:hAnsi="Verdana"/>
              </w:rPr>
            </w:pPr>
            <w:r>
              <w:rPr>
                <w:rFonts w:ascii="Verdana" w:hAnsi="Verdana"/>
              </w:rPr>
              <w:t xml:space="preserve">Refer to </w:t>
            </w:r>
            <w:hyperlink r:id="rId24" w:history="1">
              <w:r>
                <w:rPr>
                  <w:rStyle w:val="Hyperlink"/>
                  <w:rFonts w:ascii="Verdana" w:hAnsi="Verdana"/>
                </w:rPr>
                <w:t>MED D - Election Periods for Enrollment and Disenrollment (AEP, IEP, SEP)</w:t>
              </w:r>
            </w:hyperlink>
            <w:r>
              <w:rPr>
                <w:rFonts w:ascii="Verdana" w:hAnsi="Verdana"/>
              </w:rPr>
              <w:t>.</w:t>
            </w:r>
          </w:p>
          <w:p w14:paraId="67129714" w14:textId="77777777" w:rsidR="0060516D" w:rsidRDefault="0060516D">
            <w:pPr>
              <w:rPr>
                <w:rFonts w:ascii="Verdana" w:hAnsi="Verdana"/>
              </w:rPr>
            </w:pPr>
          </w:p>
        </w:tc>
      </w:tr>
      <w:tr w:rsidR="0060516D" w14:paraId="25FF50A0" w14:textId="77777777" w:rsidTr="00B86887">
        <w:tc>
          <w:tcPr>
            <w:tcW w:w="1602" w:type="pct"/>
            <w:tcBorders>
              <w:top w:val="single" w:sz="4" w:space="0" w:color="auto"/>
              <w:left w:val="single" w:sz="4" w:space="0" w:color="auto"/>
              <w:bottom w:val="single" w:sz="4" w:space="0" w:color="auto"/>
              <w:right w:val="single" w:sz="4" w:space="0" w:color="auto"/>
            </w:tcBorders>
            <w:hideMark/>
          </w:tcPr>
          <w:p w14:paraId="1B6C925A" w14:textId="77777777" w:rsidR="0060516D" w:rsidRDefault="0060516D">
            <w:pPr>
              <w:rPr>
                <w:rFonts w:ascii="Verdana" w:hAnsi="Verdana"/>
              </w:rPr>
            </w:pPr>
            <w:r>
              <w:rPr>
                <w:rFonts w:ascii="Verdana" w:hAnsi="Verdana"/>
              </w:rPr>
              <w:t xml:space="preserve">Will a beneficiary be required to pay a Late Enrollment Penalty (LEP)?  </w:t>
            </w:r>
          </w:p>
        </w:tc>
        <w:tc>
          <w:tcPr>
            <w:tcW w:w="3398" w:type="pct"/>
            <w:tcBorders>
              <w:top w:val="single" w:sz="4" w:space="0" w:color="auto"/>
              <w:left w:val="single" w:sz="4" w:space="0" w:color="auto"/>
              <w:bottom w:val="single" w:sz="4" w:space="0" w:color="auto"/>
              <w:right w:val="single" w:sz="4" w:space="0" w:color="auto"/>
            </w:tcBorders>
          </w:tcPr>
          <w:p w14:paraId="2F374A48" w14:textId="5E402523" w:rsidR="0060516D" w:rsidRDefault="0060516D">
            <w:pPr>
              <w:rPr>
                <w:rFonts w:ascii="Verdana" w:hAnsi="Verdana"/>
              </w:rPr>
            </w:pPr>
            <w:r>
              <w:rPr>
                <w:rFonts w:ascii="Verdana" w:hAnsi="Verdana"/>
                <w:b/>
                <w:noProof/>
                <w:color w:val="000000"/>
              </w:rPr>
              <w:drawing>
                <wp:inline distT="0" distB="0" distL="0" distR="0" wp14:anchorId="2D5048D5" wp14:editId="2CF8C014">
                  <wp:extent cx="285750" cy="184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4150"/>
                          </a:xfrm>
                          <a:prstGeom prst="rect">
                            <a:avLst/>
                          </a:prstGeom>
                          <a:noFill/>
                          <a:ln>
                            <a:noFill/>
                          </a:ln>
                        </pic:spPr>
                      </pic:pic>
                    </a:graphicData>
                  </a:graphic>
                </wp:inline>
              </w:drawing>
            </w:r>
            <w:r w:rsidR="004022FB">
              <w:rPr>
                <w:rFonts w:ascii="Verdana" w:hAnsi="Verdana"/>
              </w:rPr>
              <w:t xml:space="preserve"> </w:t>
            </w:r>
            <w:r>
              <w:rPr>
                <w:rFonts w:ascii="Verdana" w:hAnsi="Verdana"/>
              </w:rPr>
              <w:t xml:space="preserve">No, CMS will not assess a late enrollment penalty (LEP) for the </w:t>
            </w:r>
            <w:proofErr w:type="gramStart"/>
            <w:r>
              <w:rPr>
                <w:rFonts w:ascii="Verdana" w:hAnsi="Verdana"/>
              </w:rPr>
              <w:t>time period</w:t>
            </w:r>
            <w:proofErr w:type="gramEnd"/>
            <w:r>
              <w:rPr>
                <w:rFonts w:ascii="Verdana" w:hAnsi="Verdana"/>
              </w:rPr>
              <w:t xml:space="preserve"> when you were not eligible. </w:t>
            </w:r>
          </w:p>
          <w:p w14:paraId="77297FD9" w14:textId="77777777" w:rsidR="0060516D" w:rsidRDefault="0060516D">
            <w:pPr>
              <w:ind w:left="720"/>
              <w:rPr>
                <w:rFonts w:ascii="Verdana" w:hAnsi="Verdana"/>
                <w:b/>
              </w:rPr>
            </w:pPr>
          </w:p>
          <w:p w14:paraId="0E1AA3EB" w14:textId="77777777" w:rsidR="0060516D" w:rsidRDefault="0060516D">
            <w:pPr>
              <w:rPr>
                <w:rFonts w:ascii="Verdana" w:hAnsi="Verdana"/>
                <w:b/>
              </w:rPr>
            </w:pPr>
            <w:r>
              <w:rPr>
                <w:rFonts w:ascii="Verdana" w:hAnsi="Verdana"/>
                <w:b/>
              </w:rPr>
              <w:t>CCR Process Note:</w:t>
            </w:r>
          </w:p>
          <w:p w14:paraId="2F0F1A0E" w14:textId="6AB3EA25" w:rsidR="0060516D" w:rsidRDefault="0060516D">
            <w:pPr>
              <w:rPr>
                <w:rFonts w:ascii="Verdana" w:hAnsi="Verdana"/>
              </w:rPr>
            </w:pPr>
            <w:r>
              <w:rPr>
                <w:rFonts w:ascii="Verdana" w:hAnsi="Verdana"/>
              </w:rPr>
              <w:t xml:space="preserve">Refer to </w:t>
            </w:r>
            <w:hyperlink r:id="rId25" w:anchor="!/view?docid=f57a4f76-7822-4cff-90ed-1aa5c31cf780" w:history="1">
              <w:r w:rsidR="002B2FC8" w:rsidRPr="002B2FC8">
                <w:rPr>
                  <w:rStyle w:val="Hyperlink"/>
                  <w:rFonts w:ascii="Verdana" w:hAnsi="Verdana"/>
                </w:rPr>
                <w:t>Compass MED D - Late Enrollment Penalty (LEP) Attestation and Appeals</w:t>
              </w:r>
            </w:hyperlink>
            <w:r w:rsidRPr="00B86887">
              <w:rPr>
                <w:rFonts w:ascii="Verdana" w:hAnsi="Verdana"/>
              </w:rPr>
              <w:t xml:space="preserve"> </w:t>
            </w:r>
            <w:r>
              <w:rPr>
                <w:rFonts w:ascii="Verdana" w:hAnsi="Verdana"/>
              </w:rPr>
              <w:t xml:space="preserve">and </w:t>
            </w:r>
            <w:hyperlink r:id="rId26" w:history="1">
              <w:r>
                <w:rPr>
                  <w:rStyle w:val="Hyperlink"/>
                  <w:rFonts w:ascii="Verdana" w:hAnsi="Verdana"/>
                </w:rPr>
                <w:t>MED D - Blue MedicareRx (NEJE) Late Enrollment Penalty (LEP)</w:t>
              </w:r>
            </w:hyperlink>
            <w:r>
              <w:rPr>
                <w:rFonts w:ascii="Verdana" w:hAnsi="Verdana"/>
              </w:rPr>
              <w:t xml:space="preserve">. </w:t>
            </w:r>
          </w:p>
          <w:p w14:paraId="716760F3" w14:textId="77777777" w:rsidR="0060516D" w:rsidRDefault="0060516D">
            <w:pPr>
              <w:rPr>
                <w:rFonts w:ascii="Verdana" w:hAnsi="Verdana"/>
              </w:rPr>
            </w:pPr>
          </w:p>
        </w:tc>
      </w:tr>
    </w:tbl>
    <w:p w14:paraId="4EC4D7D3" w14:textId="77777777" w:rsidR="0060516D" w:rsidRDefault="0060516D" w:rsidP="0060516D">
      <w:pPr>
        <w:jc w:val="right"/>
        <w:rPr>
          <w:rFonts w:ascii="Verdana" w:hAnsi="Verdana"/>
        </w:rPr>
      </w:pPr>
    </w:p>
    <w:p w14:paraId="7098A15A" w14:textId="65C2695A" w:rsidR="0060516D" w:rsidRDefault="00000000" w:rsidP="0060516D">
      <w:pPr>
        <w:jc w:val="right"/>
        <w:rPr>
          <w:rFonts w:ascii="Verdana" w:hAnsi="Verdana"/>
        </w:rPr>
      </w:pPr>
      <w:hyperlink w:anchor="_top" w:history="1">
        <w:r w:rsidR="0060516D">
          <w:rPr>
            <w:rStyle w:val="Hyperlink"/>
            <w:rFonts w:ascii="Verdana" w:hAnsi="Verdana"/>
          </w:rPr>
          <w:t>Top of the Document</w:t>
        </w:r>
      </w:hyperlink>
      <w:bookmarkStart w:id="50" w:name="_Benefit_Team_Transmittal"/>
      <w:bookmarkStart w:id="51" w:name="_Sending_Benefit_Team"/>
      <w:bookmarkEnd w:id="50"/>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60516D" w14:paraId="1468E6A7" w14:textId="77777777" w:rsidTr="0060516D">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A72E286" w14:textId="77777777" w:rsidR="0060516D" w:rsidRDefault="0060516D">
            <w:pPr>
              <w:pStyle w:val="Heading2"/>
              <w:rPr>
                <w:rFonts w:ascii="Verdana" w:hAnsi="Verdana"/>
                <w:i w:val="0"/>
                <w:iCs w:val="0"/>
              </w:rPr>
            </w:pPr>
            <w:bookmarkStart w:id="52" w:name="_Related_Documents"/>
            <w:bookmarkStart w:id="53" w:name="_Parent_SOP"/>
            <w:bookmarkStart w:id="54" w:name="_Toc103940296"/>
            <w:bookmarkStart w:id="55" w:name="_Toc106882494"/>
            <w:bookmarkEnd w:id="52"/>
            <w:bookmarkEnd w:id="53"/>
            <w:r>
              <w:rPr>
                <w:rFonts w:ascii="Verdana" w:hAnsi="Verdana"/>
                <w:i w:val="0"/>
                <w:iCs w:val="0"/>
              </w:rPr>
              <w:t>Related Documents</w:t>
            </w:r>
            <w:bookmarkEnd w:id="54"/>
            <w:bookmarkEnd w:id="55"/>
          </w:p>
        </w:tc>
      </w:tr>
    </w:tbl>
    <w:p w14:paraId="17656272" w14:textId="77777777" w:rsidR="0060516D" w:rsidRDefault="0060516D" w:rsidP="0060516D">
      <w:pPr>
        <w:rPr>
          <w:rFonts w:ascii="Verdana" w:hAnsi="Verdana"/>
          <w:b/>
        </w:rPr>
      </w:pPr>
    </w:p>
    <w:p w14:paraId="277E77B9" w14:textId="77777777" w:rsidR="0060516D" w:rsidRDefault="0060516D" w:rsidP="0060516D">
      <w:pPr>
        <w:rPr>
          <w:rFonts w:ascii="Verdana" w:hAnsi="Verdana"/>
          <w:color w:val="333333"/>
        </w:rPr>
      </w:pPr>
      <w:r>
        <w:rPr>
          <w:rFonts w:ascii="Verdana" w:hAnsi="Verdana"/>
          <w:b/>
        </w:rPr>
        <w:t xml:space="preserve">Parent SOP </w:t>
      </w:r>
      <w:r>
        <w:rPr>
          <w:rFonts w:ascii="Verdana" w:hAnsi="Verdana"/>
          <w:bCs/>
        </w:rPr>
        <w:t>CALL-0048:</w:t>
      </w:r>
      <w:r>
        <w:rPr>
          <w:rFonts w:ascii="Verdana" w:hAnsi="Verdana"/>
          <w:b/>
        </w:rPr>
        <w:t xml:space="preserve"> </w:t>
      </w:r>
      <w:hyperlink r:id="rId27" w:history="1">
        <w:r>
          <w:rPr>
            <w:rStyle w:val="Hyperlink"/>
            <w:rFonts w:ascii="Verdana" w:hAnsi="Verdana"/>
          </w:rPr>
          <w:t>Medicare Part D Customer Care Call Center Requirements-CVS Caremark Part D Services, L.L.C.</w:t>
        </w:r>
      </w:hyperlink>
    </w:p>
    <w:p w14:paraId="39C3B28C" w14:textId="77777777" w:rsidR="0060516D" w:rsidRDefault="0060516D" w:rsidP="0060516D">
      <w:pPr>
        <w:rPr>
          <w:rStyle w:val="Hyperlink"/>
        </w:rPr>
      </w:pPr>
      <w:r>
        <w:rPr>
          <w:rFonts w:ascii="Verdana" w:hAnsi="Verdana"/>
          <w:b/>
        </w:rPr>
        <w:t xml:space="preserve">Abbreviations/Definitions:  </w:t>
      </w:r>
      <w:hyperlink r:id="rId28" w:history="1">
        <w:r>
          <w:rPr>
            <w:rStyle w:val="Hyperlink"/>
            <w:rFonts w:ascii="Verdana" w:hAnsi="Verdana"/>
          </w:rPr>
          <w:t>Abbreviations / Definitions</w:t>
        </w:r>
      </w:hyperlink>
    </w:p>
    <w:p w14:paraId="23A5837F" w14:textId="77777777" w:rsidR="0060516D" w:rsidRDefault="0060516D" w:rsidP="0060516D"/>
    <w:p w14:paraId="1FB2626D" w14:textId="6AAC7A34" w:rsidR="0060516D" w:rsidRDefault="00000000" w:rsidP="0060516D">
      <w:pPr>
        <w:jc w:val="right"/>
        <w:rPr>
          <w:rFonts w:ascii="Verdana" w:hAnsi="Verdana"/>
        </w:rPr>
      </w:pPr>
      <w:hyperlink w:anchor="_top" w:history="1">
        <w:r w:rsidR="0060516D">
          <w:rPr>
            <w:rStyle w:val="Hyperlink"/>
            <w:rFonts w:ascii="Verdana" w:hAnsi="Verdana"/>
          </w:rPr>
          <w:t>Top of the Document</w:t>
        </w:r>
      </w:hyperlink>
    </w:p>
    <w:p w14:paraId="1976A76C" w14:textId="77777777" w:rsidR="0060516D" w:rsidRDefault="0060516D" w:rsidP="0060516D">
      <w:pPr>
        <w:jc w:val="right"/>
        <w:rPr>
          <w:rFonts w:ascii="Verdana" w:hAnsi="Verdana"/>
        </w:rPr>
      </w:pPr>
    </w:p>
    <w:p w14:paraId="78019A12" w14:textId="77777777" w:rsidR="0060516D" w:rsidRDefault="0060516D" w:rsidP="0060516D">
      <w:pPr>
        <w:jc w:val="center"/>
        <w:rPr>
          <w:rFonts w:ascii="Verdana" w:hAnsi="Verdana"/>
          <w:sz w:val="16"/>
          <w:szCs w:val="16"/>
        </w:rPr>
      </w:pPr>
    </w:p>
    <w:p w14:paraId="70809B73" w14:textId="77777777" w:rsidR="0060516D" w:rsidRDefault="0060516D" w:rsidP="0060516D">
      <w:pPr>
        <w:jc w:val="center"/>
        <w:rPr>
          <w:rFonts w:ascii="Verdana" w:hAnsi="Verdana"/>
          <w:sz w:val="16"/>
          <w:szCs w:val="16"/>
        </w:rPr>
      </w:pPr>
      <w:r>
        <w:rPr>
          <w:rFonts w:ascii="Verdana" w:hAnsi="Verdana"/>
          <w:sz w:val="16"/>
          <w:szCs w:val="16"/>
        </w:rPr>
        <w:t>Not to Be Reproduced or Disclosed to Others without Prior Written Approval</w:t>
      </w:r>
    </w:p>
    <w:p w14:paraId="10D86ECF" w14:textId="7C5FA359" w:rsidR="0060516D" w:rsidRDefault="0060516D" w:rsidP="0060516D">
      <w:pPr>
        <w:jc w:val="center"/>
        <w:rPr>
          <w:rFonts w:ascii="Verdana" w:hAnsi="Verdana"/>
          <w:sz w:val="16"/>
          <w:szCs w:val="16"/>
        </w:rPr>
      </w:pPr>
      <w:r>
        <w:rPr>
          <w:rFonts w:ascii="Verdana" w:hAnsi="Verdana"/>
          <w:b/>
          <w:color w:val="000000"/>
          <w:sz w:val="16"/>
          <w:szCs w:val="16"/>
        </w:rPr>
        <w:t xml:space="preserve">ELECTRONIC DATA = OFFICIAL VERSION </w:t>
      </w:r>
      <w:r w:rsidR="004E17DC">
        <w:rPr>
          <w:rFonts w:ascii="Verdana" w:hAnsi="Verdana"/>
          <w:b/>
          <w:color w:val="000000"/>
          <w:sz w:val="16"/>
          <w:szCs w:val="16"/>
        </w:rPr>
        <w:t>/</w:t>
      </w:r>
      <w:r>
        <w:rPr>
          <w:rFonts w:ascii="Verdana" w:hAnsi="Verdana"/>
          <w:b/>
          <w:color w:val="000000"/>
          <w:sz w:val="16"/>
          <w:szCs w:val="16"/>
        </w:rPr>
        <w:t xml:space="preserve"> PAPER COPY – INFORMATIONAL ONLY</w:t>
      </w:r>
    </w:p>
    <w:p w14:paraId="7784AF32" w14:textId="77777777" w:rsidR="00466250" w:rsidRDefault="00466250"/>
    <w:sectPr w:rsidR="00466250" w:rsidSect="0060516D">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FFBC6" w14:textId="77777777" w:rsidR="006978AB" w:rsidRDefault="006978AB" w:rsidP="0060516D">
      <w:r>
        <w:separator/>
      </w:r>
    </w:p>
  </w:endnote>
  <w:endnote w:type="continuationSeparator" w:id="0">
    <w:p w14:paraId="1C6B8B89" w14:textId="77777777" w:rsidR="006978AB" w:rsidRDefault="006978AB" w:rsidP="00605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6057F" w14:textId="77777777" w:rsidR="006978AB" w:rsidRDefault="006978AB" w:rsidP="0060516D">
      <w:r>
        <w:separator/>
      </w:r>
    </w:p>
  </w:footnote>
  <w:footnote w:type="continuationSeparator" w:id="0">
    <w:p w14:paraId="2596791B" w14:textId="77777777" w:rsidR="006978AB" w:rsidRDefault="006978AB" w:rsidP="006051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024"/>
    <w:multiLevelType w:val="hybridMultilevel"/>
    <w:tmpl w:val="8B467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E16DD9"/>
    <w:multiLevelType w:val="hybridMultilevel"/>
    <w:tmpl w:val="C0CE2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E715242"/>
    <w:multiLevelType w:val="hybridMultilevel"/>
    <w:tmpl w:val="07E4F8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2B968A6"/>
    <w:multiLevelType w:val="hybridMultilevel"/>
    <w:tmpl w:val="026A0C96"/>
    <w:lvl w:ilvl="0" w:tplc="FF10BDC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BD171C"/>
    <w:multiLevelType w:val="hybridMultilevel"/>
    <w:tmpl w:val="B1A0BE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248C6ADC">
      <w:start w:val="1"/>
      <w:numFmt w:val="bullet"/>
      <w:lvlText w:val=""/>
      <w:lvlJc w:val="left"/>
      <w:pPr>
        <w:tabs>
          <w:tab w:val="num" w:pos="2160"/>
        </w:tabs>
        <w:ind w:left="2160" w:hanging="360"/>
      </w:pPr>
      <w:rPr>
        <w:rFonts w:ascii="Wingdings" w:hAnsi="Wingdings" w:hint="default"/>
      </w:rPr>
    </w:lvl>
    <w:lvl w:ilvl="3" w:tplc="FD847BFA">
      <w:start w:val="1"/>
      <w:numFmt w:val="bullet"/>
      <w:lvlText w:val=""/>
      <w:lvlJc w:val="left"/>
      <w:pPr>
        <w:tabs>
          <w:tab w:val="num" w:pos="2880"/>
        </w:tabs>
        <w:ind w:left="2880" w:hanging="360"/>
      </w:pPr>
      <w:rPr>
        <w:rFonts w:ascii="Wingdings" w:hAnsi="Wingdings" w:hint="default"/>
      </w:rPr>
    </w:lvl>
    <w:lvl w:ilvl="4" w:tplc="B178E96C">
      <w:start w:val="1"/>
      <w:numFmt w:val="bullet"/>
      <w:lvlText w:val=""/>
      <w:lvlJc w:val="left"/>
      <w:pPr>
        <w:tabs>
          <w:tab w:val="num" w:pos="3600"/>
        </w:tabs>
        <w:ind w:left="3600" w:hanging="360"/>
      </w:pPr>
      <w:rPr>
        <w:rFonts w:ascii="Wingdings" w:hAnsi="Wingdings" w:hint="default"/>
      </w:rPr>
    </w:lvl>
    <w:lvl w:ilvl="5" w:tplc="5BE60F96">
      <w:start w:val="1"/>
      <w:numFmt w:val="bullet"/>
      <w:lvlText w:val=""/>
      <w:lvlJc w:val="left"/>
      <w:pPr>
        <w:tabs>
          <w:tab w:val="num" w:pos="4320"/>
        </w:tabs>
        <w:ind w:left="4320" w:hanging="360"/>
      </w:pPr>
      <w:rPr>
        <w:rFonts w:ascii="Wingdings" w:hAnsi="Wingdings" w:hint="default"/>
      </w:rPr>
    </w:lvl>
    <w:lvl w:ilvl="6" w:tplc="521EC232">
      <w:start w:val="1"/>
      <w:numFmt w:val="bullet"/>
      <w:lvlText w:val=""/>
      <w:lvlJc w:val="left"/>
      <w:pPr>
        <w:tabs>
          <w:tab w:val="num" w:pos="5040"/>
        </w:tabs>
        <w:ind w:left="5040" w:hanging="360"/>
      </w:pPr>
      <w:rPr>
        <w:rFonts w:ascii="Wingdings" w:hAnsi="Wingdings" w:hint="default"/>
      </w:rPr>
    </w:lvl>
    <w:lvl w:ilvl="7" w:tplc="8856BEC8">
      <w:start w:val="1"/>
      <w:numFmt w:val="bullet"/>
      <w:lvlText w:val=""/>
      <w:lvlJc w:val="left"/>
      <w:pPr>
        <w:tabs>
          <w:tab w:val="num" w:pos="5760"/>
        </w:tabs>
        <w:ind w:left="5760" w:hanging="360"/>
      </w:pPr>
      <w:rPr>
        <w:rFonts w:ascii="Wingdings" w:hAnsi="Wingdings" w:hint="default"/>
      </w:rPr>
    </w:lvl>
    <w:lvl w:ilvl="8" w:tplc="9CC25802">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72A00FB"/>
    <w:multiLevelType w:val="hybridMultilevel"/>
    <w:tmpl w:val="95FC8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33715835">
    <w:abstractNumId w:val="4"/>
  </w:num>
  <w:num w:numId="2" w16cid:durableId="557328169">
    <w:abstractNumId w:val="1"/>
  </w:num>
  <w:num w:numId="3" w16cid:durableId="1739016224">
    <w:abstractNumId w:val="0"/>
  </w:num>
  <w:num w:numId="4" w16cid:durableId="826282383">
    <w:abstractNumId w:val="1"/>
  </w:num>
  <w:num w:numId="5" w16cid:durableId="710886850">
    <w:abstractNumId w:val="0"/>
  </w:num>
  <w:num w:numId="6" w16cid:durableId="1308903041">
    <w:abstractNumId w:val="2"/>
  </w:num>
  <w:num w:numId="7" w16cid:durableId="444233460">
    <w:abstractNumId w:val="3"/>
  </w:num>
  <w:num w:numId="8" w16cid:durableId="4260789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oNotDisplayPageBoundaries/>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16D"/>
    <w:rsid w:val="00004BC4"/>
    <w:rsid w:val="00040A58"/>
    <w:rsid w:val="00105788"/>
    <w:rsid w:val="00200B65"/>
    <w:rsid w:val="00204D65"/>
    <w:rsid w:val="002B2FC8"/>
    <w:rsid w:val="002B72A7"/>
    <w:rsid w:val="003521F5"/>
    <w:rsid w:val="004022FB"/>
    <w:rsid w:val="00466250"/>
    <w:rsid w:val="004E17DC"/>
    <w:rsid w:val="00544B58"/>
    <w:rsid w:val="005B07EB"/>
    <w:rsid w:val="00601E77"/>
    <w:rsid w:val="0060516D"/>
    <w:rsid w:val="00646B3B"/>
    <w:rsid w:val="00647EAA"/>
    <w:rsid w:val="006616A0"/>
    <w:rsid w:val="006978AB"/>
    <w:rsid w:val="006A0C55"/>
    <w:rsid w:val="00712068"/>
    <w:rsid w:val="0071675D"/>
    <w:rsid w:val="007554E1"/>
    <w:rsid w:val="00777583"/>
    <w:rsid w:val="007C2793"/>
    <w:rsid w:val="007C6D41"/>
    <w:rsid w:val="008844CE"/>
    <w:rsid w:val="008E46FE"/>
    <w:rsid w:val="0095045D"/>
    <w:rsid w:val="00A14903"/>
    <w:rsid w:val="00B33EF2"/>
    <w:rsid w:val="00B748A0"/>
    <w:rsid w:val="00B83EBE"/>
    <w:rsid w:val="00B86887"/>
    <w:rsid w:val="00BD7BE9"/>
    <w:rsid w:val="00CC5F5C"/>
    <w:rsid w:val="00D55064"/>
    <w:rsid w:val="00D55B02"/>
    <w:rsid w:val="00D72BD4"/>
    <w:rsid w:val="00DD5B2F"/>
    <w:rsid w:val="00DE001D"/>
    <w:rsid w:val="00E17DF3"/>
    <w:rsid w:val="00ED4F69"/>
    <w:rsid w:val="00F766FF"/>
    <w:rsid w:val="0B0ED8C2"/>
    <w:rsid w:val="30A0583A"/>
    <w:rsid w:val="700D95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16BEA"/>
  <w15:chartTrackingRefBased/>
  <w15:docId w15:val="{430E96D5-FEA4-471A-B2B3-B32FF6A3B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16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semiHidden/>
    <w:unhideWhenUsed/>
    <w:qFormat/>
    <w:rsid w:val="0060516D"/>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60516D"/>
    <w:rPr>
      <w:rFonts w:ascii="Arial" w:eastAsia="Times New Roman" w:hAnsi="Arial" w:cs="Arial"/>
      <w:b/>
      <w:bCs/>
      <w:i/>
      <w:iCs/>
      <w:sz w:val="28"/>
      <w:szCs w:val="28"/>
    </w:rPr>
  </w:style>
  <w:style w:type="character" w:styleId="Hyperlink">
    <w:name w:val="Hyperlink"/>
    <w:uiPriority w:val="99"/>
    <w:unhideWhenUsed/>
    <w:rsid w:val="0060516D"/>
    <w:rPr>
      <w:color w:val="0000FF"/>
      <w:u w:val="single"/>
    </w:rPr>
  </w:style>
  <w:style w:type="paragraph" w:styleId="TOC2">
    <w:name w:val="toc 2"/>
    <w:basedOn w:val="Normal"/>
    <w:next w:val="Normal"/>
    <w:autoRedefine/>
    <w:uiPriority w:val="39"/>
    <w:unhideWhenUsed/>
    <w:rsid w:val="008E46FE"/>
    <w:pPr>
      <w:tabs>
        <w:tab w:val="right" w:leader="dot" w:pos="12950"/>
      </w:tabs>
    </w:pPr>
  </w:style>
  <w:style w:type="paragraph" w:styleId="TOC1">
    <w:name w:val="toc 1"/>
    <w:basedOn w:val="Normal"/>
    <w:next w:val="Normal"/>
    <w:autoRedefine/>
    <w:uiPriority w:val="39"/>
    <w:semiHidden/>
    <w:unhideWhenUsed/>
    <w:rsid w:val="0060516D"/>
    <w:pPr>
      <w:spacing w:after="100"/>
    </w:pPr>
    <w:rPr>
      <w:rFonts w:ascii="Verdana" w:hAnsi="Verdana"/>
    </w:rPr>
  </w:style>
  <w:style w:type="paragraph" w:styleId="Revision">
    <w:name w:val="Revision"/>
    <w:hidden/>
    <w:uiPriority w:val="99"/>
    <w:semiHidden/>
    <w:rsid w:val="007554E1"/>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D4F69"/>
    <w:rPr>
      <w:sz w:val="16"/>
      <w:szCs w:val="16"/>
    </w:rPr>
  </w:style>
  <w:style w:type="paragraph" w:styleId="CommentText">
    <w:name w:val="annotation text"/>
    <w:basedOn w:val="Normal"/>
    <w:link w:val="CommentTextChar"/>
    <w:uiPriority w:val="99"/>
    <w:unhideWhenUsed/>
    <w:rsid w:val="00ED4F69"/>
    <w:rPr>
      <w:sz w:val="20"/>
      <w:szCs w:val="20"/>
    </w:rPr>
  </w:style>
  <w:style w:type="character" w:customStyle="1" w:styleId="CommentTextChar">
    <w:name w:val="Comment Text Char"/>
    <w:basedOn w:val="DefaultParagraphFont"/>
    <w:link w:val="CommentText"/>
    <w:uiPriority w:val="99"/>
    <w:rsid w:val="00ED4F6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D4F69"/>
    <w:rPr>
      <w:b/>
      <w:bCs/>
    </w:rPr>
  </w:style>
  <w:style w:type="character" w:customStyle="1" w:styleId="CommentSubjectChar">
    <w:name w:val="Comment Subject Char"/>
    <w:basedOn w:val="CommentTextChar"/>
    <w:link w:val="CommentSubject"/>
    <w:uiPriority w:val="99"/>
    <w:semiHidden/>
    <w:rsid w:val="00ED4F69"/>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2B2FC8"/>
    <w:rPr>
      <w:color w:val="605E5C"/>
      <w:shd w:val="clear" w:color="auto" w:fill="E1DFDD"/>
    </w:rPr>
  </w:style>
  <w:style w:type="paragraph" w:styleId="ListParagraph">
    <w:name w:val="List Paragraph"/>
    <w:basedOn w:val="Normal"/>
    <w:uiPriority w:val="34"/>
    <w:qFormat/>
    <w:rsid w:val="00402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9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C071417/Documents/MED%20D%20ENROLLMENT/Incarceration%20Documents/For%20Review/TSRC-PROD-051375" TargetMode="External"/><Relationship Id="rId18" Type="http://schemas.openxmlformats.org/officeDocument/2006/relationships/image" Target="media/image4.png"/><Relationship Id="rId26" Type="http://schemas.openxmlformats.org/officeDocument/2006/relationships/hyperlink" Target="file:///C:/Users/C071417/Documents/MED%20D%20ENROLLMENT/Incarceration%20Documents/For%20Review/CMS-PCP1-024700"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hyperlink" Target="file:///C:/Users/C071417/Documents/MED%20D%20ENROLLMENT/Incarceration%20Documents/For%20Review/TSRC-PROD-051297"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thesource.cvshealth.com/nuxeo/thesourc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C071417/Documents/MED%20D%20ENROLLMENT/Incarceration%20Documents/For%20Review/TSRC-PROD-051256" TargetMode="External"/><Relationship Id="rId24" Type="http://schemas.openxmlformats.org/officeDocument/2006/relationships/hyperlink" Target="file:///C:/Users/C071417/Documents/MED%20D%20ENROLLMENT/Incarceration%20Documents/For%20Review/CMS-PCP1-040036"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thesource.cvshealth.com/nuxeo/thesource/" TargetMode="External"/><Relationship Id="rId28" Type="http://schemas.openxmlformats.org/officeDocument/2006/relationships/hyperlink" Target="file:///C:/Users/ax02205/Downloads/CMS-2-017428"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thesource.cvshealth.com/nuxeo/thesource/" TargetMode="External"/><Relationship Id="rId27" Type="http://schemas.openxmlformats.org/officeDocument/2006/relationships/hyperlink" Target="https://policy.corp.cvscaremark.com/pnp/faces/DocRenderer?documentId=CALL-0048"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6" ma:contentTypeDescription="Create a new document." ma:contentTypeScope="" ma:versionID="01a3ef7eac3a00ff8ad05275a9823c1a">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8BF208-B3FD-4913-9F83-CC69AA52D2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37256F-3ADC-49A7-A875-F0237979400C}">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3.xml><?xml version="1.0" encoding="utf-8"?>
<ds:datastoreItem xmlns:ds="http://schemas.openxmlformats.org/officeDocument/2006/customXml" ds:itemID="{B1BA53C6-1098-47AF-A754-5AEAB788E883}">
  <ds:schemaRefs>
    <ds:schemaRef ds:uri="http://schemas.openxmlformats.org/officeDocument/2006/bibliography"/>
  </ds:schemaRefs>
</ds:datastoreItem>
</file>

<file path=customXml/itemProps4.xml><?xml version="1.0" encoding="utf-8"?>
<ds:datastoreItem xmlns:ds="http://schemas.openxmlformats.org/officeDocument/2006/customXml" ds:itemID="{0A13EBDD-80A9-4C44-A340-DFD6203ABB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1149</Words>
  <Characters>6554</Characters>
  <Application>Microsoft Office Word</Application>
  <DocSecurity>0</DocSecurity>
  <Lines>54</Lines>
  <Paragraphs>15</Paragraphs>
  <ScaleCrop>false</ScaleCrop>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Mioducki, Laurie A</dc:creator>
  <cp:keywords/>
  <dc:description/>
  <cp:lastModifiedBy>Gambino, Ashley</cp:lastModifiedBy>
  <cp:revision>13</cp:revision>
  <dcterms:created xsi:type="dcterms:W3CDTF">2024-02-28T22:56:00Z</dcterms:created>
  <dcterms:modified xsi:type="dcterms:W3CDTF">2024-02-29T23:55:00Z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2022-06-23T17:13:44Z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f8dbb84b-ae60-4acb-9818-9dbb1b4191e8</vt:lpwstr>
  </property>
  <property fmtid="{D5CDD505-2E9C-101B-9397-08002B2CF9AE}" pid="8" name="MSIP_Label_67599526-06ca-49cc-9fa9-5307800a949a_ContentBits">
    <vt:lpwstr>0</vt:lpwstr>
  </property>
  <property fmtid="{D5CDD505-2E9C-101B-9397-08002B2CF9AE}" pid="9" name="ContentTypeId">
    <vt:lpwstr>0x010100BFF65EA64E6B344EA2F2A4020CC41A24</vt:lpwstr>
  </property>
  <property fmtid="{D5CDD505-2E9C-101B-9397-08002B2CF9AE}" pid="10" name="MediaServiceImageTags">
    <vt:lpwstr/>
  </property>
</Properties>
</file>