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5360" w14:textId="432EBFAC" w:rsidR="0009150E" w:rsidRPr="00221B36" w:rsidRDefault="008A6902" w:rsidP="00765C24">
      <w:pPr>
        <w:pStyle w:val="Heading1"/>
        <w:rPr>
          <w:rFonts w:ascii="Verdana" w:hAnsi="Verdana"/>
          <w:color w:val="000000"/>
          <w:sz w:val="36"/>
          <w:szCs w:val="36"/>
        </w:rPr>
      </w:pPr>
      <w:bookmarkStart w:id="0" w:name="_top"/>
      <w:bookmarkStart w:id="1" w:name="OLE_LINK75"/>
      <w:bookmarkEnd w:id="0"/>
      <w:r>
        <w:rPr>
          <w:rFonts w:ascii="Verdana" w:hAnsi="Verdana"/>
          <w:color w:val="000000"/>
          <w:sz w:val="36"/>
          <w:szCs w:val="36"/>
        </w:rPr>
        <w:t>Opioid Settlement</w:t>
      </w:r>
    </w:p>
    <w:bookmarkEnd w:id="1"/>
    <w:p w14:paraId="19620669" w14:textId="28AE855B" w:rsidR="00CC331F" w:rsidRDefault="00CC331F" w:rsidP="00CC331F">
      <w:pPr>
        <w:rPr>
          <w:rFonts w:ascii="Verdana" w:hAnsi="Verdana"/>
        </w:rPr>
      </w:pPr>
    </w:p>
    <w:p w14:paraId="188A6EC8" w14:textId="4A6B5F2F" w:rsidR="009E1150" w:rsidRDefault="009E1150">
      <w:pPr>
        <w:pStyle w:val="TOC2"/>
        <w:rPr>
          <w:rFonts w:asciiTheme="minorHAnsi" w:eastAsiaTheme="minorEastAsia" w:hAnsiTheme="minorHAnsi" w:cstheme="minorBidi"/>
          <w:noProof/>
          <w:sz w:val="22"/>
          <w:szCs w:val="22"/>
        </w:rPr>
      </w:pPr>
      <w:r>
        <w:rPr>
          <w:rFonts w:ascii="Verdana" w:hAnsi="Verdana"/>
        </w:rPr>
        <w:fldChar w:fldCharType="begin"/>
      </w:r>
      <w:r>
        <w:rPr>
          <w:rFonts w:ascii="Verdana" w:hAnsi="Verdana"/>
        </w:rPr>
        <w:instrText xml:space="preserve"> TOC \o "2-2" \n \p " " \h \z \u </w:instrText>
      </w:r>
      <w:r>
        <w:rPr>
          <w:rFonts w:ascii="Verdana" w:hAnsi="Verdana"/>
        </w:rPr>
        <w:fldChar w:fldCharType="separate"/>
      </w:r>
      <w:hyperlink w:anchor="_Toc118864419" w:history="1">
        <w:r w:rsidRPr="00F67EDF">
          <w:rPr>
            <w:rStyle w:val="Hyperlink"/>
            <w:rFonts w:ascii="Verdana" w:hAnsi="Verdana"/>
            <w:noProof/>
          </w:rPr>
          <w:t>Bac</w:t>
        </w:r>
        <w:r w:rsidRPr="00F67EDF">
          <w:rPr>
            <w:rStyle w:val="Hyperlink"/>
            <w:rFonts w:ascii="Verdana" w:hAnsi="Verdana"/>
            <w:noProof/>
          </w:rPr>
          <w:t>k</w:t>
        </w:r>
        <w:r w:rsidRPr="00F67EDF">
          <w:rPr>
            <w:rStyle w:val="Hyperlink"/>
            <w:rFonts w:ascii="Verdana" w:hAnsi="Verdana"/>
            <w:noProof/>
          </w:rPr>
          <w:t>ground</w:t>
        </w:r>
      </w:hyperlink>
    </w:p>
    <w:p w14:paraId="11C8AEDF" w14:textId="7B9817D2" w:rsidR="009E1150" w:rsidRDefault="00000000">
      <w:pPr>
        <w:pStyle w:val="TOC2"/>
        <w:rPr>
          <w:rFonts w:asciiTheme="minorHAnsi" w:eastAsiaTheme="minorEastAsia" w:hAnsiTheme="minorHAnsi" w:cstheme="minorBidi"/>
          <w:noProof/>
          <w:sz w:val="22"/>
          <w:szCs w:val="22"/>
        </w:rPr>
      </w:pPr>
      <w:hyperlink w:anchor="_Toc118864420" w:history="1">
        <w:r w:rsidR="009E1150" w:rsidRPr="00F67EDF">
          <w:rPr>
            <w:rStyle w:val="Hyperlink"/>
            <w:rFonts w:ascii="Verdana" w:hAnsi="Verdana"/>
            <w:noProof/>
          </w:rPr>
          <w:t>Question and Answ</w:t>
        </w:r>
        <w:r w:rsidR="009E1150" w:rsidRPr="00F67EDF">
          <w:rPr>
            <w:rStyle w:val="Hyperlink"/>
            <w:rFonts w:ascii="Verdana" w:hAnsi="Verdana"/>
            <w:noProof/>
          </w:rPr>
          <w:t>e</w:t>
        </w:r>
        <w:r w:rsidR="009E1150" w:rsidRPr="00F67EDF">
          <w:rPr>
            <w:rStyle w:val="Hyperlink"/>
            <w:rFonts w:ascii="Verdana" w:hAnsi="Verdana"/>
            <w:noProof/>
          </w:rPr>
          <w:t>rs</w:t>
        </w:r>
      </w:hyperlink>
    </w:p>
    <w:p w14:paraId="5AE96E09" w14:textId="0F880597" w:rsidR="009E1150" w:rsidRDefault="00000000">
      <w:pPr>
        <w:pStyle w:val="TOC2"/>
        <w:rPr>
          <w:rFonts w:asciiTheme="minorHAnsi" w:eastAsiaTheme="minorEastAsia" w:hAnsiTheme="minorHAnsi" w:cstheme="minorBidi"/>
          <w:noProof/>
          <w:sz w:val="22"/>
          <w:szCs w:val="22"/>
        </w:rPr>
      </w:pPr>
      <w:hyperlink w:anchor="_Toc118864421" w:history="1">
        <w:r w:rsidR="009E1150" w:rsidRPr="00F67EDF">
          <w:rPr>
            <w:rStyle w:val="Hyperlink"/>
            <w:rFonts w:ascii="Verdana" w:hAnsi="Verdana"/>
            <w:noProof/>
          </w:rPr>
          <w:t>Relate</w:t>
        </w:r>
        <w:r w:rsidR="009E1150" w:rsidRPr="00F67EDF">
          <w:rPr>
            <w:rStyle w:val="Hyperlink"/>
            <w:rFonts w:ascii="Verdana" w:hAnsi="Verdana"/>
            <w:noProof/>
          </w:rPr>
          <w:t>d</w:t>
        </w:r>
        <w:r w:rsidR="009E1150" w:rsidRPr="00F67EDF">
          <w:rPr>
            <w:rStyle w:val="Hyperlink"/>
            <w:rFonts w:ascii="Verdana" w:hAnsi="Verdana"/>
            <w:noProof/>
          </w:rPr>
          <w:t xml:space="preserve"> Documents</w:t>
        </w:r>
      </w:hyperlink>
    </w:p>
    <w:p w14:paraId="4A3EC535" w14:textId="482F44FB" w:rsidR="009E1150" w:rsidRDefault="009E1150" w:rsidP="00CC331F">
      <w:pPr>
        <w:rPr>
          <w:rFonts w:ascii="Verdana" w:hAnsi="Verdana"/>
        </w:rPr>
      </w:pPr>
      <w:r>
        <w:rPr>
          <w:rFonts w:ascii="Verdana" w:hAnsi="Verdana"/>
        </w:rPr>
        <w:fldChar w:fldCharType="end"/>
      </w:r>
    </w:p>
    <w:p w14:paraId="23D90925" w14:textId="77777777" w:rsidR="009E1150" w:rsidRDefault="009E1150" w:rsidP="00CC331F">
      <w:pPr>
        <w:rPr>
          <w:rFonts w:ascii="Verdana" w:hAnsi="Verdana"/>
        </w:rPr>
      </w:pPr>
    </w:p>
    <w:p w14:paraId="45287CFA" w14:textId="598A213F" w:rsidR="00EE1DC2" w:rsidRDefault="00680BBC" w:rsidP="006A1658">
      <w:pPr>
        <w:rPr>
          <w:rFonts w:ascii="Verdana" w:hAnsi="Verdana"/>
          <w:b/>
          <w:bCs/>
        </w:rPr>
      </w:pPr>
      <w:r w:rsidRPr="00DB1BE6">
        <w:rPr>
          <w:rFonts w:ascii="Verdana" w:hAnsi="Verdana"/>
          <w:b/>
          <w:bCs/>
        </w:rPr>
        <w:t xml:space="preserve">Description:   </w:t>
      </w:r>
      <w:bookmarkStart w:id="2" w:name="OLE_LINK76"/>
      <w:r w:rsidR="00684A3E">
        <w:rPr>
          <w:rFonts w:ascii="Verdana" w:hAnsi="Verdana"/>
        </w:rPr>
        <w:t>I</w:t>
      </w:r>
      <w:r w:rsidRPr="00DB1BE6">
        <w:rPr>
          <w:rFonts w:ascii="Verdana" w:hAnsi="Verdana"/>
        </w:rPr>
        <w:t xml:space="preserve">nformation about </w:t>
      </w:r>
      <w:r w:rsidR="006E31B1" w:rsidRPr="00DB1BE6">
        <w:rPr>
          <w:rFonts w:ascii="Verdana" w:hAnsi="Verdana"/>
        </w:rPr>
        <w:t xml:space="preserve">the Opioid Settlement that CVS Health has </w:t>
      </w:r>
      <w:r w:rsidR="00EE1DC2" w:rsidRPr="00DB1BE6">
        <w:rPr>
          <w:rFonts w:ascii="Verdana" w:hAnsi="Verdana"/>
        </w:rPr>
        <w:t>agreed to pay</w:t>
      </w:r>
      <w:r w:rsidR="002125FF">
        <w:rPr>
          <w:rFonts w:ascii="Verdana" w:hAnsi="Verdana"/>
        </w:rPr>
        <w:t>. CVS Health has settled,</w:t>
      </w:r>
      <w:r w:rsidR="00EE1DC2" w:rsidRPr="00DB1BE6">
        <w:rPr>
          <w:rFonts w:ascii="Verdana" w:hAnsi="Verdana"/>
        </w:rPr>
        <w:t xml:space="preserve"> however there is no admission of wrongdoing.</w:t>
      </w:r>
      <w:bookmarkEnd w:id="2"/>
    </w:p>
    <w:p w14:paraId="441619AE" w14:textId="77777777" w:rsidR="00EC72AB" w:rsidRDefault="00EC72AB" w:rsidP="00EC72AB">
      <w:pPr>
        <w:pStyle w:val="BodyTextIndent2"/>
        <w:spacing w:before="120" w:line="240" w:lineRule="auto"/>
        <w:ind w:left="5040"/>
        <w:jc w:val="right"/>
        <w:rPr>
          <w:rStyle w:val="Hyperlink"/>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C72AB" w14:paraId="2DF5A9F6" w14:textId="77777777" w:rsidTr="00EC72A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EE40DE4" w14:textId="232F2FC5" w:rsidR="00EC72AB" w:rsidRPr="00EC72AB" w:rsidRDefault="00EC72AB">
            <w:pPr>
              <w:pStyle w:val="Heading2"/>
              <w:spacing w:before="120" w:after="120"/>
              <w:rPr>
                <w:rFonts w:ascii="Arial" w:hAnsi="Arial"/>
                <w:b w:val="0"/>
                <w:i w:val="0"/>
                <w:iCs w:val="0"/>
                <w:color w:val="000000"/>
                <w:lang w:val="en-US"/>
              </w:rPr>
            </w:pPr>
            <w:bookmarkStart w:id="3" w:name="_Toc118864419"/>
            <w:r>
              <w:rPr>
                <w:rFonts w:ascii="Verdana" w:hAnsi="Verdana"/>
                <w:i w:val="0"/>
                <w:iCs w:val="0"/>
                <w:color w:val="000000"/>
                <w:lang w:val="en-US"/>
              </w:rPr>
              <w:t>Background</w:t>
            </w:r>
            <w:bookmarkEnd w:id="3"/>
          </w:p>
        </w:tc>
      </w:tr>
    </w:tbl>
    <w:p w14:paraId="610F99E3" w14:textId="2E8F7747" w:rsidR="00DB1BE6" w:rsidRDefault="00DB1BE6" w:rsidP="006A1658">
      <w:pPr>
        <w:rPr>
          <w:rFonts w:ascii="Verdana" w:hAnsi="Verdana"/>
          <w:b/>
          <w:bCs/>
        </w:rPr>
      </w:pPr>
    </w:p>
    <w:p w14:paraId="50DFA227" w14:textId="2E5C9753" w:rsidR="00DB1BE6" w:rsidRDefault="00DB1BE6" w:rsidP="006A1658">
      <w:pPr>
        <w:rPr>
          <w:rFonts w:ascii="Verdana" w:hAnsi="Verdana"/>
          <w:b/>
          <w:bCs/>
        </w:rPr>
      </w:pPr>
    </w:p>
    <w:p w14:paraId="43900272" w14:textId="4F9E9421" w:rsidR="00DB1BE6" w:rsidRPr="00C728A8" w:rsidRDefault="004B2454" w:rsidP="003D7A31">
      <w:pPr>
        <w:numPr>
          <w:ilvl w:val="0"/>
          <w:numId w:val="7"/>
        </w:numPr>
        <w:spacing w:before="120" w:after="120"/>
        <w:rPr>
          <w:rFonts w:ascii="Verdana" w:hAnsi="Verdana"/>
        </w:rPr>
      </w:pPr>
      <w:r>
        <w:rPr>
          <w:noProof/>
        </w:rPr>
        <w:drawing>
          <wp:inline distT="0" distB="0" distL="0" distR="0" wp14:anchorId="2FE5E818" wp14:editId="2205A2F5">
            <wp:extent cx="304762" cy="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62" cy="304762"/>
                    </a:xfrm>
                    <a:prstGeom prst="rect">
                      <a:avLst/>
                    </a:prstGeom>
                  </pic:spPr>
                </pic:pic>
              </a:graphicData>
            </a:graphic>
          </wp:inline>
        </w:drawing>
      </w:r>
      <w:r>
        <w:rPr>
          <w:rFonts w:ascii="Verdana" w:hAnsi="Verdana"/>
        </w:rPr>
        <w:t xml:space="preserve"> </w:t>
      </w:r>
      <w:r w:rsidR="00DB1BE6" w:rsidRPr="00C728A8">
        <w:rPr>
          <w:rFonts w:ascii="Verdana" w:hAnsi="Verdana"/>
        </w:rPr>
        <w:t xml:space="preserve">On November 2, </w:t>
      </w:r>
      <w:r>
        <w:rPr>
          <w:rFonts w:ascii="Verdana" w:hAnsi="Verdana"/>
        </w:rPr>
        <w:t>2023,</w:t>
      </w:r>
      <w:r w:rsidR="005C1ABF">
        <w:rPr>
          <w:rFonts w:ascii="Verdana" w:hAnsi="Verdana"/>
        </w:rPr>
        <w:t xml:space="preserve"> </w:t>
      </w:r>
      <w:r w:rsidR="00DB1BE6" w:rsidRPr="00C728A8">
        <w:rPr>
          <w:rFonts w:ascii="Verdana" w:hAnsi="Verdana"/>
        </w:rPr>
        <w:t>we announced an agreement in principle to a financial resolution designed to substantially resolve all opioid lawsuits and claims against CVS Health by states, political subdivisions, such as cities and counties, and tribes in the United States.</w:t>
      </w:r>
    </w:p>
    <w:p w14:paraId="06BAB3D2" w14:textId="77777777" w:rsidR="00DB1BE6" w:rsidRPr="00C728A8" w:rsidRDefault="00DB1BE6" w:rsidP="003D7A31">
      <w:pPr>
        <w:numPr>
          <w:ilvl w:val="0"/>
          <w:numId w:val="7"/>
        </w:numPr>
        <w:spacing w:before="120" w:after="120"/>
        <w:rPr>
          <w:rFonts w:ascii="Verdana" w:hAnsi="Verdana"/>
        </w:rPr>
      </w:pPr>
      <w:r w:rsidRPr="00C728A8">
        <w:rPr>
          <w:rFonts w:ascii="Verdana" w:hAnsi="Verdana"/>
        </w:rPr>
        <w:t>Under this global opioid settlement, we will pay approximately $5 billion over the next ten years beginning in 2023, depending on the number of governmental entities that agree to join the settlement.</w:t>
      </w:r>
    </w:p>
    <w:p w14:paraId="4391420D" w14:textId="1968B439" w:rsidR="00DB1BE6" w:rsidRPr="00C728A8" w:rsidRDefault="00DB1BE6" w:rsidP="003D7A31">
      <w:pPr>
        <w:numPr>
          <w:ilvl w:val="0"/>
          <w:numId w:val="7"/>
        </w:numPr>
        <w:spacing w:before="120" w:after="120"/>
        <w:rPr>
          <w:rFonts w:ascii="Verdana" w:hAnsi="Verdana"/>
        </w:rPr>
      </w:pPr>
      <w:r w:rsidRPr="00C728A8">
        <w:rPr>
          <w:rFonts w:ascii="Verdana" w:hAnsi="Verdana"/>
        </w:rPr>
        <w:t>The agreement applies to all CVS Health entities and resolves all claims across Retail Pharmacy (CVS Pharmacy), Mail Order/PBM (Caremark), Health Care Benefits (Aetna), Long Term Care (Omnicare) and Distribution</w:t>
      </w:r>
      <w:r w:rsidR="004B2454" w:rsidRPr="00C728A8">
        <w:rPr>
          <w:rFonts w:ascii="Verdana" w:hAnsi="Verdana"/>
        </w:rPr>
        <w:t xml:space="preserve">. </w:t>
      </w:r>
    </w:p>
    <w:p w14:paraId="369FC07E" w14:textId="77777777" w:rsidR="00DB1BE6" w:rsidRPr="00C728A8" w:rsidRDefault="00DB1BE6" w:rsidP="003D7A31">
      <w:pPr>
        <w:numPr>
          <w:ilvl w:val="0"/>
          <w:numId w:val="7"/>
        </w:numPr>
        <w:spacing w:before="120" w:after="120"/>
        <w:rPr>
          <w:rFonts w:ascii="Verdana" w:hAnsi="Verdana"/>
        </w:rPr>
      </w:pPr>
      <w:r w:rsidRPr="00C728A8">
        <w:rPr>
          <w:rFonts w:ascii="Verdana" w:hAnsi="Verdana"/>
        </w:rPr>
        <w:t>The settlement includes no admission of wrongdoing. Putting these claims behind us is in the best interest of all parties and we will continue our own important initiatives to help reduce the illegitimate use of prescription opioids.</w:t>
      </w:r>
    </w:p>
    <w:p w14:paraId="312606DF" w14:textId="77777777" w:rsidR="00DB1BE6" w:rsidRPr="00DB1BE6" w:rsidRDefault="00DB1BE6" w:rsidP="006A1658">
      <w:pPr>
        <w:rPr>
          <w:rFonts w:ascii="Verdana" w:hAnsi="Verdana"/>
          <w:b/>
          <w:bCs/>
        </w:rPr>
      </w:pPr>
    </w:p>
    <w:p w14:paraId="7EAB9E13" w14:textId="756269CA" w:rsidR="00EC72AB" w:rsidRDefault="00000000" w:rsidP="00EC72AB">
      <w:pPr>
        <w:pStyle w:val="BodyTextIndent2"/>
        <w:spacing w:before="120" w:line="240" w:lineRule="auto"/>
        <w:ind w:left="5040"/>
        <w:jc w:val="right"/>
        <w:rPr>
          <w:rStyle w:val="Hyperlink"/>
          <w:rFonts w:ascii="Verdana" w:hAnsi="Verdana"/>
        </w:rPr>
      </w:pPr>
      <w:hyperlink w:anchor="_top" w:history="1">
        <w:r w:rsidR="002D45C4" w:rsidRPr="002D45C4">
          <w:rPr>
            <w:rStyle w:val="Hyperlink"/>
            <w:rFonts w:ascii="Verdana" w:hAnsi="Verdana"/>
          </w:rPr>
          <w:t>To</w:t>
        </w:r>
        <w:r w:rsidR="002D45C4" w:rsidRPr="002D45C4">
          <w:rPr>
            <w:rStyle w:val="Hyperlink"/>
            <w:rFonts w:ascii="Verdana" w:hAnsi="Verdana"/>
          </w:rPr>
          <w:t>p</w:t>
        </w:r>
        <w:r w:rsidR="002D45C4" w:rsidRPr="002D45C4">
          <w:rPr>
            <w:rStyle w:val="Hyperlink"/>
            <w:rFonts w:ascii="Verdana" w:hAnsi="Verdana"/>
          </w:rPr>
          <w:t xml:space="preserve">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C72AB" w14:paraId="517CA270" w14:textId="77777777" w:rsidTr="00EC72A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8DC2B7A" w14:textId="4FE6861B" w:rsidR="00EC72AB" w:rsidRPr="00EC72AB" w:rsidRDefault="00EC72AB">
            <w:pPr>
              <w:pStyle w:val="Heading2"/>
              <w:spacing w:before="120" w:after="120"/>
              <w:rPr>
                <w:rFonts w:ascii="Arial" w:hAnsi="Arial"/>
                <w:b w:val="0"/>
                <w:i w:val="0"/>
                <w:iCs w:val="0"/>
                <w:color w:val="000000"/>
                <w:lang w:val="en-US"/>
              </w:rPr>
            </w:pPr>
            <w:bookmarkStart w:id="4" w:name="_Toc118864420"/>
            <w:r>
              <w:rPr>
                <w:rFonts w:ascii="Verdana" w:hAnsi="Verdana"/>
                <w:i w:val="0"/>
                <w:iCs w:val="0"/>
                <w:color w:val="000000"/>
                <w:lang w:val="en-US"/>
              </w:rPr>
              <w:t>Question and Answers</w:t>
            </w:r>
            <w:bookmarkEnd w:id="4"/>
          </w:p>
        </w:tc>
      </w:tr>
    </w:tbl>
    <w:p w14:paraId="2A34FEF6" w14:textId="59B39332" w:rsidR="00EE1DC2" w:rsidRDefault="00EE1DC2" w:rsidP="006A1658">
      <w:pPr>
        <w:rPr>
          <w:rFonts w:ascii="Verdana" w:hAnsi="Verdana"/>
          <w:b/>
          <w:bCs/>
          <w:sz w:val="22"/>
          <w:szCs w:val="22"/>
        </w:rPr>
      </w:pPr>
    </w:p>
    <w:p w14:paraId="5922D9C0" w14:textId="52F819AB" w:rsidR="00EC72AB" w:rsidRPr="00EC72AB" w:rsidRDefault="00EC72AB" w:rsidP="006A1658">
      <w:pPr>
        <w:rPr>
          <w:rFonts w:ascii="Verdana" w:hAnsi="Verdana"/>
        </w:rPr>
      </w:pPr>
      <w:r w:rsidRPr="00EC72AB">
        <w:rPr>
          <w:rFonts w:ascii="Verdana" w:hAnsi="Verdana"/>
        </w:rPr>
        <w:t>Refer to as needed:</w:t>
      </w:r>
    </w:p>
    <w:p w14:paraId="2A05A50B" w14:textId="77777777" w:rsidR="00B2532A" w:rsidRDefault="00B2532A" w:rsidP="001B7E15">
      <w:pPr>
        <w:rPr>
          <w:rStyle w:val="Strong"/>
          <w:rFonts w:ascii="CVS Health Sans" w:hAnsi="CVS Health Sans"/>
        </w:rPr>
      </w:pPr>
    </w:p>
    <w:p w14:paraId="7EE49248" w14:textId="35996BD1" w:rsidR="001B7E15" w:rsidRPr="00B2532A" w:rsidRDefault="001B7E15" w:rsidP="001B7E15">
      <w:pPr>
        <w:rPr>
          <w:rFonts w:ascii="Verdana" w:hAnsi="Verdana"/>
        </w:rPr>
      </w:pPr>
      <w:r w:rsidRPr="00B2532A">
        <w:rPr>
          <w:rStyle w:val="Strong"/>
          <w:rFonts w:ascii="Verdana" w:hAnsi="Verdana"/>
        </w:rPr>
        <w:t>Which opioid lawsuits is CVS Health settling under this agreement?</w:t>
      </w:r>
    </w:p>
    <w:p w14:paraId="21CCD064" w14:textId="6E1E4483" w:rsidR="001B7E15" w:rsidRPr="00B2532A" w:rsidRDefault="001B7E15" w:rsidP="001B7E15">
      <w:pPr>
        <w:rPr>
          <w:rFonts w:ascii="Verdana" w:hAnsi="Verdana"/>
        </w:rPr>
      </w:pPr>
      <w:r w:rsidRPr="00B2532A">
        <w:rPr>
          <w:rFonts w:ascii="Verdana" w:hAnsi="Verdana"/>
        </w:rPr>
        <w:t xml:space="preserve">This agreement is designed to substantially resolve all opioid lawsuits and claims against the company by states, political subdivisions </w:t>
      </w:r>
      <w:r w:rsidR="002125FF">
        <w:rPr>
          <w:rFonts w:ascii="Verdana" w:hAnsi="Verdana"/>
        </w:rPr>
        <w:t>(</w:t>
      </w:r>
      <w:r w:rsidRPr="00B2532A">
        <w:rPr>
          <w:rFonts w:ascii="Verdana" w:hAnsi="Verdana"/>
        </w:rPr>
        <w:t>such as counties</w:t>
      </w:r>
      <w:r w:rsidR="002125FF">
        <w:rPr>
          <w:rFonts w:ascii="Verdana" w:hAnsi="Verdana"/>
        </w:rPr>
        <w:t xml:space="preserve"> and</w:t>
      </w:r>
      <w:r w:rsidRPr="00B2532A">
        <w:rPr>
          <w:rFonts w:ascii="Verdana" w:hAnsi="Verdana"/>
        </w:rPr>
        <w:t xml:space="preserve"> cities</w:t>
      </w:r>
      <w:r w:rsidR="002125FF">
        <w:rPr>
          <w:rFonts w:ascii="Verdana" w:hAnsi="Verdana"/>
        </w:rPr>
        <w:t>)</w:t>
      </w:r>
      <w:r w:rsidRPr="00B2532A">
        <w:rPr>
          <w:rFonts w:ascii="Verdana" w:hAnsi="Verdana"/>
        </w:rPr>
        <w:t xml:space="preserve">, </w:t>
      </w:r>
      <w:r w:rsidR="002125FF">
        <w:rPr>
          <w:rFonts w:ascii="Verdana" w:hAnsi="Verdana"/>
        </w:rPr>
        <w:t xml:space="preserve">and </w:t>
      </w:r>
      <w:r w:rsidRPr="00B2532A">
        <w:rPr>
          <w:rFonts w:ascii="Verdana" w:hAnsi="Verdana"/>
        </w:rPr>
        <w:t>tribes in the United States.</w:t>
      </w:r>
    </w:p>
    <w:p w14:paraId="047BE4E1" w14:textId="77777777" w:rsidR="001B7E15" w:rsidRPr="00B2532A" w:rsidRDefault="001B7E15" w:rsidP="001B7E15">
      <w:pPr>
        <w:ind w:left="720"/>
        <w:rPr>
          <w:rStyle w:val="Strong"/>
          <w:rFonts w:ascii="Verdana" w:hAnsi="Verdana"/>
          <w:b w:val="0"/>
          <w:bCs w:val="0"/>
        </w:rPr>
      </w:pPr>
    </w:p>
    <w:p w14:paraId="31A882CB" w14:textId="77777777" w:rsidR="009E1150" w:rsidRDefault="009E1150" w:rsidP="001B7E15">
      <w:pPr>
        <w:rPr>
          <w:rStyle w:val="Strong"/>
          <w:rFonts w:ascii="Verdana" w:hAnsi="Verdana"/>
        </w:rPr>
      </w:pPr>
    </w:p>
    <w:p w14:paraId="49634619" w14:textId="2AC06326" w:rsidR="001B7E15" w:rsidRPr="00B2532A" w:rsidRDefault="001B7E15" w:rsidP="001B7E15">
      <w:pPr>
        <w:rPr>
          <w:rFonts w:ascii="Verdana" w:hAnsi="Verdana"/>
        </w:rPr>
      </w:pPr>
      <w:r w:rsidRPr="00B2532A">
        <w:rPr>
          <w:rStyle w:val="Strong"/>
          <w:rFonts w:ascii="Verdana" w:hAnsi="Verdana"/>
        </w:rPr>
        <w:t>What are the terms of the settlement?</w:t>
      </w:r>
    </w:p>
    <w:p w14:paraId="008508A6" w14:textId="77777777" w:rsidR="001B7E15" w:rsidRPr="00B2532A" w:rsidRDefault="001B7E15" w:rsidP="001B7E15">
      <w:pPr>
        <w:rPr>
          <w:rFonts w:ascii="Verdana" w:hAnsi="Verdana"/>
        </w:rPr>
      </w:pPr>
      <w:r w:rsidRPr="00B2532A">
        <w:rPr>
          <w:rFonts w:ascii="Verdana" w:hAnsi="Verdana"/>
        </w:rPr>
        <w:t>Under this global opioid settlement, we will pay approximately $5 billion over the next ten years beginning in 2023, depending on the number of governmental agencies that agree to join the settlement.</w:t>
      </w:r>
    </w:p>
    <w:p w14:paraId="7406ED70" w14:textId="77777777" w:rsidR="001B7E15" w:rsidRPr="00B2532A" w:rsidRDefault="001B7E15" w:rsidP="001B7E15">
      <w:pPr>
        <w:rPr>
          <w:rStyle w:val="Strong"/>
          <w:rFonts w:ascii="Verdana" w:hAnsi="Verdana"/>
        </w:rPr>
      </w:pPr>
    </w:p>
    <w:p w14:paraId="6BD0224A" w14:textId="77777777" w:rsidR="009E1150" w:rsidRDefault="009E1150" w:rsidP="001B7E15">
      <w:pPr>
        <w:rPr>
          <w:rStyle w:val="Strong"/>
          <w:rFonts w:ascii="Verdana" w:hAnsi="Verdana"/>
        </w:rPr>
      </w:pPr>
    </w:p>
    <w:p w14:paraId="0AA97A6F" w14:textId="739D1233" w:rsidR="001B7E15" w:rsidRPr="00B2532A" w:rsidRDefault="001B7E15" w:rsidP="001B7E15">
      <w:pPr>
        <w:rPr>
          <w:rFonts w:ascii="Verdana" w:hAnsi="Verdana"/>
        </w:rPr>
      </w:pPr>
      <w:r w:rsidRPr="00B2532A">
        <w:rPr>
          <w:rStyle w:val="Strong"/>
          <w:rFonts w:ascii="Verdana" w:hAnsi="Verdana"/>
        </w:rPr>
        <w:t>Will the settlement have a material impact on the company’s financial health?</w:t>
      </w:r>
    </w:p>
    <w:p w14:paraId="22CABBA9" w14:textId="77777777" w:rsidR="001B7E15" w:rsidRPr="00B2532A" w:rsidRDefault="001B7E15" w:rsidP="001B7E15">
      <w:pPr>
        <w:rPr>
          <w:rFonts w:ascii="Verdana" w:hAnsi="Verdana"/>
        </w:rPr>
      </w:pPr>
      <w:r w:rsidRPr="00B2532A">
        <w:rPr>
          <w:rFonts w:ascii="Verdana" w:hAnsi="Verdana"/>
        </w:rPr>
        <w:t>We recorded a total pre-tax charge of $5.2 billion during third quarter of 2022 reflecting the cash component of the estimated loss and expect the cash impact of this settlement in 2023 and 2024 to be less than $500 million in each year.</w:t>
      </w:r>
    </w:p>
    <w:p w14:paraId="568DFE60" w14:textId="77777777" w:rsidR="001B7E15" w:rsidRPr="00B2532A" w:rsidRDefault="001B7E15" w:rsidP="001B7E15">
      <w:pPr>
        <w:rPr>
          <w:rFonts w:ascii="Verdana" w:hAnsi="Verdana"/>
        </w:rPr>
      </w:pPr>
      <w:r w:rsidRPr="00B2532A">
        <w:rPr>
          <w:rFonts w:ascii="Verdana" w:hAnsi="Verdana"/>
        </w:rPr>
        <w:t>The timing of cash settlement payments, spread over multiple years, allows the company to continue to invest in its strategic priorities.</w:t>
      </w:r>
    </w:p>
    <w:p w14:paraId="6BE86A90" w14:textId="77777777" w:rsidR="001B7E15" w:rsidRPr="00B2532A" w:rsidRDefault="001B7E15" w:rsidP="001B7E15">
      <w:pPr>
        <w:ind w:left="720"/>
        <w:rPr>
          <w:rStyle w:val="Strong"/>
          <w:rFonts w:ascii="Verdana" w:hAnsi="Verdana"/>
          <w:b w:val="0"/>
          <w:bCs w:val="0"/>
        </w:rPr>
      </w:pPr>
    </w:p>
    <w:p w14:paraId="7BEAA3DB" w14:textId="77777777" w:rsidR="009E1150" w:rsidRDefault="009E1150" w:rsidP="001B7E15">
      <w:pPr>
        <w:rPr>
          <w:rStyle w:val="Strong"/>
          <w:rFonts w:ascii="Verdana" w:hAnsi="Verdana"/>
        </w:rPr>
      </w:pPr>
    </w:p>
    <w:p w14:paraId="20647F02" w14:textId="208DD32A" w:rsidR="001B7E15" w:rsidRPr="00B2532A" w:rsidRDefault="001B7E15" w:rsidP="001B7E15">
      <w:pPr>
        <w:rPr>
          <w:rFonts w:ascii="Verdana" w:hAnsi="Verdana"/>
        </w:rPr>
      </w:pPr>
      <w:r w:rsidRPr="00B2532A">
        <w:rPr>
          <w:rStyle w:val="Strong"/>
          <w:rFonts w:ascii="Verdana" w:hAnsi="Verdana"/>
        </w:rPr>
        <w:t>Is CVS admitting through this settlement that it contributed to the country’s opioid epidemic?</w:t>
      </w:r>
    </w:p>
    <w:p w14:paraId="4A692E84" w14:textId="77777777" w:rsidR="001B7E15" w:rsidRPr="00B2532A" w:rsidRDefault="001B7E15" w:rsidP="00812986">
      <w:pPr>
        <w:numPr>
          <w:ilvl w:val="0"/>
          <w:numId w:val="17"/>
        </w:numPr>
        <w:rPr>
          <w:rFonts w:ascii="Verdana" w:hAnsi="Verdana"/>
        </w:rPr>
      </w:pPr>
      <w:r w:rsidRPr="00B2532A">
        <w:rPr>
          <w:rFonts w:ascii="Verdana" w:hAnsi="Verdana"/>
        </w:rPr>
        <w:t>No. Our settlement includes no admission of wrongdoing but allows us to put these claims behind us.</w:t>
      </w:r>
    </w:p>
    <w:p w14:paraId="402A6009" w14:textId="77777777" w:rsidR="001B7E15" w:rsidRPr="00B2532A" w:rsidRDefault="001B7E15" w:rsidP="00812986">
      <w:pPr>
        <w:numPr>
          <w:ilvl w:val="0"/>
          <w:numId w:val="17"/>
        </w:numPr>
        <w:rPr>
          <w:rFonts w:ascii="Verdana" w:hAnsi="Verdana"/>
        </w:rPr>
      </w:pPr>
      <w:r w:rsidRPr="00B2532A">
        <w:rPr>
          <w:rFonts w:ascii="Verdana" w:hAnsi="Verdana"/>
        </w:rPr>
        <w:t>We have an established track record as a leader in the fight against opioid abuse. We’ve put in place innovative, comprehensive, and industry-leading policies, procedures and controls related to the dispensing of prescription opioid medication and other controlled substances.</w:t>
      </w:r>
    </w:p>
    <w:p w14:paraId="34B30A31" w14:textId="77777777" w:rsidR="001B7E15" w:rsidRPr="00B2532A" w:rsidRDefault="001B7E15" w:rsidP="00812986">
      <w:pPr>
        <w:numPr>
          <w:ilvl w:val="0"/>
          <w:numId w:val="17"/>
        </w:numPr>
        <w:rPr>
          <w:rFonts w:ascii="Verdana" w:hAnsi="Verdana"/>
        </w:rPr>
      </w:pPr>
      <w:r w:rsidRPr="00B2532A">
        <w:rPr>
          <w:rFonts w:ascii="Verdana" w:hAnsi="Verdana"/>
        </w:rPr>
        <w:t>We’ve also developed effective educational programs for patients and providers, created thousands of safe medication disposal sites, and expanded access to life-saving overdose reversal medication.</w:t>
      </w:r>
    </w:p>
    <w:p w14:paraId="539ADA3C" w14:textId="77777777" w:rsidR="001B7E15" w:rsidRPr="00B2532A" w:rsidRDefault="001B7E15" w:rsidP="00812986">
      <w:pPr>
        <w:numPr>
          <w:ilvl w:val="0"/>
          <w:numId w:val="17"/>
        </w:numPr>
        <w:rPr>
          <w:rFonts w:ascii="Verdana" w:hAnsi="Verdana"/>
        </w:rPr>
      </w:pPr>
      <w:r w:rsidRPr="00B2532A">
        <w:rPr>
          <w:rFonts w:ascii="Verdana" w:hAnsi="Verdana"/>
        </w:rPr>
        <w:t>Pharmacists fill legal prescriptions written by DEA-licensed doctors who prescribe legal, FDA-approved substances to treat patients in need.</w:t>
      </w:r>
    </w:p>
    <w:p w14:paraId="48D467E8" w14:textId="35EE141B" w:rsidR="00907F8C" w:rsidRDefault="001B7E15" w:rsidP="00907F8C">
      <w:pPr>
        <w:numPr>
          <w:ilvl w:val="0"/>
          <w:numId w:val="17"/>
        </w:numPr>
        <w:rPr>
          <w:rFonts w:ascii="Verdana" w:hAnsi="Verdana"/>
        </w:rPr>
      </w:pPr>
      <w:r w:rsidRPr="00B2532A">
        <w:rPr>
          <w:rFonts w:ascii="Verdana" w:hAnsi="Verdana"/>
        </w:rPr>
        <w:t>We’re proud of the substantial work we’ve done to support our pharmacists in detecting illegitimate prescribing.</w:t>
      </w:r>
    </w:p>
    <w:p w14:paraId="098611AD" w14:textId="7760C05C" w:rsidR="00907F8C" w:rsidRDefault="00907F8C" w:rsidP="00907F8C">
      <w:pPr>
        <w:rPr>
          <w:rFonts w:ascii="Verdana" w:hAnsi="Verdana"/>
        </w:rPr>
      </w:pPr>
    </w:p>
    <w:p w14:paraId="2DD4EB1A" w14:textId="77777777" w:rsidR="00801F9C" w:rsidRPr="00801F9C" w:rsidRDefault="00801F9C" w:rsidP="00801F9C">
      <w:pPr>
        <w:autoSpaceDE w:val="0"/>
        <w:autoSpaceDN w:val="0"/>
        <w:adjustRightInd w:val="0"/>
        <w:rPr>
          <w:rFonts w:ascii="Verdana" w:hAnsi="Verdana"/>
          <w:color w:val="000000"/>
        </w:rPr>
      </w:pPr>
    </w:p>
    <w:p w14:paraId="5C4C0734" w14:textId="77028784" w:rsidR="00801F9C" w:rsidRPr="00801F9C" w:rsidRDefault="00801F9C" w:rsidP="00801F9C">
      <w:pPr>
        <w:autoSpaceDE w:val="0"/>
        <w:autoSpaceDN w:val="0"/>
        <w:adjustRightInd w:val="0"/>
        <w:rPr>
          <w:rFonts w:ascii="Verdana" w:hAnsi="Verdana"/>
          <w:b/>
          <w:bCs/>
          <w:color w:val="000000"/>
        </w:rPr>
      </w:pPr>
      <w:r w:rsidRPr="00801F9C">
        <w:rPr>
          <w:rFonts w:ascii="Verdana" w:hAnsi="Verdana"/>
          <w:b/>
          <w:bCs/>
          <w:color w:val="000000"/>
        </w:rPr>
        <w:t xml:space="preserve">Will CVS be changing the way it dispenses opioids </w:t>
      </w:r>
      <w:r w:rsidR="00793BA4" w:rsidRPr="00801F9C">
        <w:rPr>
          <w:rFonts w:ascii="Verdana" w:hAnsi="Verdana"/>
          <w:b/>
          <w:bCs/>
          <w:color w:val="000000"/>
        </w:rPr>
        <w:t>because of</w:t>
      </w:r>
      <w:r w:rsidRPr="00801F9C">
        <w:rPr>
          <w:rFonts w:ascii="Verdana" w:hAnsi="Verdana"/>
          <w:b/>
          <w:bCs/>
          <w:color w:val="000000"/>
        </w:rPr>
        <w:t xml:space="preserve"> this settlement? </w:t>
      </w:r>
    </w:p>
    <w:p w14:paraId="13C41F1D" w14:textId="77777777" w:rsidR="00801F9C" w:rsidRPr="00793BA4" w:rsidRDefault="00801F9C" w:rsidP="00793BA4">
      <w:pPr>
        <w:pStyle w:val="Default"/>
        <w:numPr>
          <w:ilvl w:val="0"/>
          <w:numId w:val="21"/>
        </w:numPr>
        <w:spacing w:after="27"/>
        <w:rPr>
          <w:rFonts w:ascii="Verdana" w:hAnsi="Verdana"/>
        </w:rPr>
      </w:pPr>
      <w:r w:rsidRPr="00793BA4">
        <w:rPr>
          <w:rFonts w:ascii="Verdana" w:hAnsi="Verdana"/>
        </w:rPr>
        <w:t xml:space="preserve">Over the past several years, we’ve put in place innovative, comprehensive, and industry-leading policies, procedures and controls related to the dispensing of prescription opioid medication and other controlled substances. </w:t>
      </w:r>
    </w:p>
    <w:p w14:paraId="65EA66D6" w14:textId="6565B4D5" w:rsidR="00801F9C" w:rsidRPr="00793BA4" w:rsidRDefault="00801F9C" w:rsidP="00793BA4">
      <w:pPr>
        <w:pStyle w:val="Default"/>
        <w:numPr>
          <w:ilvl w:val="0"/>
          <w:numId w:val="21"/>
        </w:numPr>
        <w:spacing w:after="27"/>
        <w:rPr>
          <w:rFonts w:ascii="Verdana" w:hAnsi="Verdana"/>
        </w:rPr>
      </w:pPr>
      <w:r w:rsidRPr="00793BA4">
        <w:rPr>
          <w:rFonts w:ascii="Verdana" w:hAnsi="Verdana"/>
        </w:rPr>
        <w:t xml:space="preserve">Pharmacists fill legal prescriptions written by DEA-licensed doctors who prescribe legal, FDA-approved substances to treat patients in need. </w:t>
      </w:r>
    </w:p>
    <w:p w14:paraId="6C780EA2" w14:textId="1F85CD4F" w:rsidR="00801F9C" w:rsidRPr="00793BA4" w:rsidRDefault="00801F9C" w:rsidP="00793BA4">
      <w:pPr>
        <w:pStyle w:val="Default"/>
        <w:numPr>
          <w:ilvl w:val="0"/>
          <w:numId w:val="21"/>
        </w:numPr>
        <w:spacing w:after="27"/>
        <w:rPr>
          <w:rFonts w:ascii="Verdana" w:hAnsi="Verdana"/>
        </w:rPr>
      </w:pPr>
      <w:r w:rsidRPr="00793BA4">
        <w:rPr>
          <w:rFonts w:ascii="Verdana" w:hAnsi="Verdana"/>
        </w:rPr>
        <w:t xml:space="preserve">We’re proud of the substantial work we’ve done to support our pharmacists in detecting illegitimate prescribing. </w:t>
      </w:r>
    </w:p>
    <w:p w14:paraId="54D65676" w14:textId="110E3163" w:rsidR="00801F9C" w:rsidRPr="00793BA4" w:rsidRDefault="00801F9C" w:rsidP="00793BA4">
      <w:pPr>
        <w:pStyle w:val="Default"/>
        <w:numPr>
          <w:ilvl w:val="0"/>
          <w:numId w:val="21"/>
        </w:numPr>
        <w:rPr>
          <w:rFonts w:ascii="Verdana" w:hAnsi="Verdana"/>
        </w:rPr>
      </w:pPr>
      <w:r w:rsidRPr="00793BA4">
        <w:rPr>
          <w:rFonts w:ascii="Verdana" w:hAnsi="Verdana"/>
        </w:rPr>
        <w:t xml:space="preserve">But the simple facts are that opioid prescriptions are written by doctors, not pharmacists; opioid medications are made and marketed by manufacturers, not pharmacists; and our health care system depends on pharmacists to fill legitimate prescriptions that doctors deem necessary for their patients. </w:t>
      </w:r>
    </w:p>
    <w:p w14:paraId="785C2E70" w14:textId="77777777" w:rsidR="00801F9C" w:rsidRDefault="00801F9C" w:rsidP="004C7556">
      <w:pPr>
        <w:rPr>
          <w:rFonts w:ascii="Verdana" w:hAnsi="Verdana"/>
        </w:rPr>
      </w:pPr>
    </w:p>
    <w:bookmarkStart w:id="5" w:name="OLE_LINK3"/>
    <w:p w14:paraId="21163A8A" w14:textId="11EFB808" w:rsidR="00EC72AB" w:rsidRDefault="002D45C4" w:rsidP="00EC72AB">
      <w:pPr>
        <w:pStyle w:val="BodyTextIndent2"/>
        <w:spacing w:before="120" w:line="240" w:lineRule="auto"/>
        <w:ind w:left="5040"/>
        <w:jc w:val="right"/>
        <w:rPr>
          <w:rStyle w:val="Hyperlink"/>
          <w:rFonts w:ascii="Verdana" w:hAnsi="Verdana"/>
        </w:rPr>
      </w:pPr>
      <w:r>
        <w:rPr>
          <w:rStyle w:val="Hyperlink"/>
          <w:rFonts w:ascii="Verdana" w:hAnsi="Verdana"/>
        </w:rPr>
        <w:fldChar w:fldCharType="begin"/>
      </w:r>
      <w:r>
        <w:rPr>
          <w:rStyle w:val="Hyperlink"/>
          <w:rFonts w:ascii="Verdana" w:hAnsi="Verdana"/>
        </w:rPr>
        <w:instrText xml:space="preserve"> HYPERLINK  \l "_top" </w:instrText>
      </w:r>
      <w:r>
        <w:rPr>
          <w:rStyle w:val="Hyperlink"/>
          <w:rFonts w:ascii="Verdana" w:hAnsi="Verdana"/>
        </w:rPr>
      </w:r>
      <w:r>
        <w:rPr>
          <w:rStyle w:val="Hyperlink"/>
          <w:rFonts w:ascii="Verdana" w:hAnsi="Verdana"/>
        </w:rPr>
        <w:fldChar w:fldCharType="separate"/>
      </w:r>
      <w:r w:rsidRPr="002D45C4">
        <w:rPr>
          <w:rStyle w:val="Hyperlink"/>
          <w:rFonts w:ascii="Verdana" w:hAnsi="Verdana"/>
        </w:rPr>
        <w:t>Top o</w:t>
      </w:r>
      <w:r w:rsidRPr="002D45C4">
        <w:rPr>
          <w:rStyle w:val="Hyperlink"/>
          <w:rFonts w:ascii="Verdana" w:hAnsi="Verdana"/>
        </w:rPr>
        <w:t>f</w:t>
      </w:r>
      <w:r w:rsidRPr="002D45C4">
        <w:rPr>
          <w:rStyle w:val="Hyperlink"/>
          <w:rFonts w:ascii="Verdana" w:hAnsi="Verdana"/>
        </w:rPr>
        <w:t xml:space="preserve">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C72AB" w14:paraId="17D28C9A" w14:textId="77777777" w:rsidTr="00EC72A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CD08D88" w14:textId="77777777" w:rsidR="00EC72AB" w:rsidRDefault="00EC72AB">
            <w:pPr>
              <w:pStyle w:val="Heading2"/>
              <w:spacing w:before="120" w:after="120"/>
              <w:rPr>
                <w:rFonts w:ascii="Arial" w:hAnsi="Arial"/>
                <w:b w:val="0"/>
                <w:i w:val="0"/>
                <w:iCs w:val="0"/>
                <w:color w:val="000000"/>
              </w:rPr>
            </w:pPr>
            <w:bookmarkStart w:id="6" w:name="_Toc63156067"/>
            <w:bookmarkStart w:id="7" w:name="_Toc103587290"/>
            <w:bookmarkStart w:id="8" w:name="_Toc118864421"/>
            <w:r>
              <w:rPr>
                <w:rFonts w:ascii="Verdana" w:hAnsi="Verdana"/>
                <w:i w:val="0"/>
                <w:iCs w:val="0"/>
                <w:color w:val="000000"/>
              </w:rPr>
              <w:t>Related Documents</w:t>
            </w:r>
            <w:bookmarkEnd w:id="6"/>
            <w:bookmarkEnd w:id="7"/>
            <w:bookmarkEnd w:id="8"/>
          </w:p>
        </w:tc>
      </w:tr>
    </w:tbl>
    <w:bookmarkEnd w:id="5"/>
    <w:p w14:paraId="03689C88" w14:textId="25FEAC67" w:rsidR="00EC72AB" w:rsidRDefault="00EC72AB" w:rsidP="00EC72AB">
      <w:pPr>
        <w:pStyle w:val="BodyTextIndent2"/>
        <w:spacing w:before="120" w:line="240" w:lineRule="auto"/>
        <w:ind w:left="0"/>
        <w:rPr>
          <w:rFonts w:ascii="Verdana" w:hAnsi="Verdana"/>
          <w:color w:val="000000"/>
        </w:rPr>
      </w:pPr>
      <w:r>
        <w:fldChar w:fldCharType="begin"/>
      </w:r>
      <w:r w:rsidR="001325C8">
        <w:instrText>HYPERLINK "https://thesource.cvshealth.com/nuxeo/thesource/" \l "!/view?docid=c1f1028b-e42c-4b4f-a4cf-cc0b42c91606"</w:instrText>
      </w:r>
      <w:r>
        <w:fldChar w:fldCharType="separate"/>
      </w:r>
      <w:r>
        <w:rPr>
          <w:rStyle w:val="Hyperlink"/>
          <w:rFonts w:ascii="Verdana" w:hAnsi="Verdana" w:cs="Verdana"/>
        </w:rPr>
        <w:t>Customer Care Abbreviations, Definitions and Term</w:t>
      </w:r>
      <w:r w:rsidR="005C1ABF">
        <w:rPr>
          <w:rStyle w:val="Hyperlink"/>
          <w:rFonts w:ascii="Verdana" w:hAnsi="Verdana" w:cs="Verdana"/>
        </w:rPr>
        <w:t>s Index (017428)</w:t>
      </w:r>
      <w:r>
        <w:fldChar w:fldCharType="end"/>
      </w:r>
    </w:p>
    <w:p w14:paraId="08D9C295" w14:textId="7691BC4F" w:rsidR="006A1658" w:rsidRDefault="006A1658" w:rsidP="00DB1BE6">
      <w:pPr>
        <w:pStyle w:val="ListParagraph"/>
        <w:spacing w:line="252" w:lineRule="auto"/>
        <w:contextualSpacing/>
      </w:pPr>
    </w:p>
    <w:bookmarkStart w:id="9" w:name="OLE_LINK2"/>
    <w:p w14:paraId="42879903" w14:textId="3DD58CED" w:rsidR="00B33FD9" w:rsidRPr="00221B36" w:rsidRDefault="002D45C4" w:rsidP="005D4AE7">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2D45C4">
        <w:rPr>
          <w:rStyle w:val="Hyperlink"/>
          <w:rFonts w:ascii="Verdana" w:hAnsi="Verdana"/>
        </w:rPr>
        <w:t>To</w:t>
      </w:r>
      <w:r w:rsidRPr="002D45C4">
        <w:rPr>
          <w:rStyle w:val="Hyperlink"/>
          <w:rFonts w:ascii="Verdana" w:hAnsi="Verdana"/>
        </w:rPr>
        <w:t>p</w:t>
      </w:r>
      <w:r w:rsidRPr="002D45C4">
        <w:rPr>
          <w:rStyle w:val="Hyperlink"/>
          <w:rFonts w:ascii="Verdana" w:hAnsi="Verdana"/>
        </w:rPr>
        <w:t xml:space="preserve"> of the Document</w:t>
      </w:r>
      <w:r>
        <w:rPr>
          <w:rFonts w:ascii="Verdana" w:hAnsi="Verdana"/>
        </w:rPr>
        <w:fldChar w:fldCharType="end"/>
      </w:r>
    </w:p>
    <w:p w14:paraId="6705D21E" w14:textId="77777777" w:rsidR="00B33FD9" w:rsidRPr="00221B36" w:rsidRDefault="00B33FD9" w:rsidP="00B80B81">
      <w:pPr>
        <w:jc w:val="center"/>
        <w:rPr>
          <w:rFonts w:ascii="Verdana" w:hAnsi="Verdana"/>
          <w:sz w:val="16"/>
          <w:szCs w:val="16"/>
        </w:rPr>
      </w:pPr>
      <w:r w:rsidRPr="00221B36">
        <w:rPr>
          <w:rFonts w:ascii="Verdana" w:hAnsi="Verdana"/>
          <w:sz w:val="16"/>
          <w:szCs w:val="16"/>
        </w:rPr>
        <w:t>Not to Be Reproduced or Disclosed to Others without Prior Written Approval</w:t>
      </w:r>
    </w:p>
    <w:p w14:paraId="655AB46B" w14:textId="77777777" w:rsidR="00B33FD9" w:rsidRPr="00221B36" w:rsidRDefault="00B33FD9" w:rsidP="00B80B81">
      <w:pPr>
        <w:jc w:val="center"/>
        <w:rPr>
          <w:rFonts w:ascii="Verdana" w:hAnsi="Verdana"/>
        </w:rPr>
      </w:pPr>
      <w:r w:rsidRPr="00221B36">
        <w:rPr>
          <w:rFonts w:ascii="Verdana" w:hAnsi="Verdana"/>
          <w:b/>
          <w:color w:val="000000"/>
          <w:sz w:val="16"/>
          <w:szCs w:val="16"/>
        </w:rPr>
        <w:t>ELECTRONIC DATA = OFFICIAL VERSION / PAPER COPY = INFORMATIONAL ONLY</w:t>
      </w:r>
    </w:p>
    <w:bookmarkEnd w:id="9"/>
    <w:p w14:paraId="7497CC52" w14:textId="4206DDC3" w:rsidR="00CA0E95" w:rsidRPr="00221B36" w:rsidRDefault="0031562F" w:rsidP="000229FE">
      <w:pPr>
        <w:pStyle w:val="BodyText"/>
        <w:spacing w:before="120" w:after="120"/>
        <w:rPr>
          <w:rFonts w:ascii="Verdana" w:hAnsi="Verdana"/>
          <w:color w:val="000000"/>
        </w:rPr>
      </w:pPr>
      <w:r w:rsidRPr="00221B36">
        <w:rPr>
          <w:rFonts w:ascii="Verdana" w:hAnsi="Verdana"/>
          <w:color w:val="000000"/>
          <w:lang w:val="en-US"/>
        </w:rPr>
        <w:t>.</w:t>
      </w:r>
      <w:r w:rsidR="00302066" w:rsidRPr="00221B36">
        <w:rPr>
          <w:rFonts w:ascii="Verdana" w:hAnsi="Verdana"/>
          <w:color w:val="000000"/>
          <w:lang w:val="en-US"/>
        </w:rPr>
        <w:t xml:space="preserve"> </w:t>
      </w:r>
      <w:r w:rsidR="00D33F5F" w:rsidRPr="00221B36">
        <w:rPr>
          <w:rFonts w:ascii="Verdana" w:hAnsi="Verdana"/>
          <w:color w:val="000000"/>
          <w:lang w:val="en-US"/>
        </w:rPr>
        <w:t xml:space="preserve"> </w:t>
      </w:r>
      <w:r w:rsidR="00EE2A64" w:rsidRPr="00221B36">
        <w:rPr>
          <w:rFonts w:ascii="Verdana" w:hAnsi="Verdana"/>
          <w:color w:val="000000" w:themeColor="text1"/>
          <w:lang w:val="en-US"/>
        </w:rPr>
        <w:t xml:space="preserve"> </w:t>
      </w:r>
    </w:p>
    <w:sectPr w:rsidR="00CA0E95" w:rsidRPr="00221B36" w:rsidSect="00F1152F">
      <w:footerReference w:type="even" r:id="rId12"/>
      <w:footerReference w:type="default" r:id="rId13"/>
      <w:headerReference w:type="first" r:id="rId14"/>
      <w:footerReference w:type="first" r:id="rId1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AF3E" w14:textId="77777777" w:rsidR="00DB40F1" w:rsidRDefault="00DB40F1">
      <w:r>
        <w:separator/>
      </w:r>
    </w:p>
  </w:endnote>
  <w:endnote w:type="continuationSeparator" w:id="0">
    <w:p w14:paraId="211FD2D1" w14:textId="77777777" w:rsidR="00DB40F1" w:rsidRDefault="00DB4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CS Corporate">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VS Health Sans">
    <w:panose1 w:val="020B0504020202020204"/>
    <w:charset w:val="00"/>
    <w:family w:val="swiss"/>
    <w:pitch w:val="variable"/>
    <w:sig w:usb0="A000006F" w:usb1="40000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F8BB" w14:textId="77777777" w:rsidR="00ED664C" w:rsidRDefault="00ED664C" w:rsidP="00EA6D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A0D3BC" w14:textId="77777777" w:rsidR="00ED664C" w:rsidRDefault="00ED664C" w:rsidP="00B80B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A5E1A" w14:textId="77777777" w:rsidR="00ED664C" w:rsidRDefault="00ED664C" w:rsidP="00EA6D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7090E80" w14:textId="77777777" w:rsidR="00ED664C" w:rsidRPr="00B80B81" w:rsidRDefault="00ED664C" w:rsidP="00B80B81">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EEE9" w14:textId="77777777" w:rsidR="00ED664C" w:rsidRPr="00CD2229" w:rsidRDefault="00ED664C">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C0BE" w14:textId="77777777" w:rsidR="00DB40F1" w:rsidRDefault="00DB40F1">
      <w:r>
        <w:separator/>
      </w:r>
    </w:p>
  </w:footnote>
  <w:footnote w:type="continuationSeparator" w:id="0">
    <w:p w14:paraId="00DDF013" w14:textId="77777777" w:rsidR="00DB40F1" w:rsidRDefault="00DB4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D7ED" w14:textId="77777777" w:rsidR="00ED664C" w:rsidRDefault="00ED664C">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7E6B32"/>
    <w:multiLevelType w:val="hybridMultilevel"/>
    <w:tmpl w:val="C535DA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104F4E"/>
    <w:multiLevelType w:val="hybridMultilevel"/>
    <w:tmpl w:val="56E06A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4B3000"/>
    <w:multiLevelType w:val="multilevel"/>
    <w:tmpl w:val="6B84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B395A"/>
    <w:multiLevelType w:val="multilevel"/>
    <w:tmpl w:val="CD64104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b/>
        <w:i w:val="0"/>
        <w:color w:val="000000" w:themeColor="text1"/>
        <w:sz w:val="24"/>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E3348D"/>
    <w:multiLevelType w:val="multilevel"/>
    <w:tmpl w:val="82E276F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6" w15:restartNumberingAfterBreak="0">
    <w:nsid w:val="18DA116E"/>
    <w:multiLevelType w:val="multilevel"/>
    <w:tmpl w:val="CD64104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b/>
        <w:i w:val="0"/>
        <w:color w:val="000000" w:themeColor="text1"/>
        <w:sz w:val="24"/>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653D0C"/>
    <w:multiLevelType w:val="multilevel"/>
    <w:tmpl w:val="55FC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B7C62"/>
    <w:multiLevelType w:val="hybridMultilevel"/>
    <w:tmpl w:val="ADE0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EEF3BBD"/>
    <w:multiLevelType w:val="multilevel"/>
    <w:tmpl w:val="CD64104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b/>
        <w:i w:val="0"/>
        <w:color w:val="000000" w:themeColor="text1"/>
        <w:sz w:val="24"/>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0085CE0"/>
    <w:multiLevelType w:val="multilevel"/>
    <w:tmpl w:val="AC607B1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45A6C63"/>
    <w:multiLevelType w:val="hybridMultilevel"/>
    <w:tmpl w:val="31BEC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9C6937"/>
    <w:multiLevelType w:val="hybridMultilevel"/>
    <w:tmpl w:val="0D640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4734ED9"/>
    <w:multiLevelType w:val="multilevel"/>
    <w:tmpl w:val="4FAA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B0BB1"/>
    <w:multiLevelType w:val="multilevel"/>
    <w:tmpl w:val="8CF88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85D5F"/>
    <w:multiLevelType w:val="multilevel"/>
    <w:tmpl w:val="9A903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320652"/>
    <w:multiLevelType w:val="hybridMultilevel"/>
    <w:tmpl w:val="51884A52"/>
    <w:lvl w:ilvl="0" w:tplc="04090001">
      <w:start w:val="1"/>
      <w:numFmt w:val="bullet"/>
      <w:lvlText w:val=""/>
      <w:lvlJc w:val="left"/>
      <w:pPr>
        <w:ind w:left="360" w:hanging="72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7" w15:restartNumberingAfterBreak="0">
    <w:nsid w:val="78407290"/>
    <w:multiLevelType w:val="singleLevel"/>
    <w:tmpl w:val="74904ABE"/>
    <w:lvl w:ilvl="0">
      <w:start w:val="1"/>
      <w:numFmt w:val="bullet"/>
      <w:pStyle w:val="BulletText1"/>
      <w:lvlText w:val=""/>
      <w:lvlJc w:val="left"/>
      <w:pPr>
        <w:tabs>
          <w:tab w:val="num" w:pos="360"/>
        </w:tabs>
        <w:ind w:left="360" w:hanging="360"/>
      </w:pPr>
      <w:rPr>
        <w:rFonts w:ascii="Symbol" w:hAnsi="Symbol" w:hint="default"/>
      </w:rPr>
    </w:lvl>
  </w:abstractNum>
  <w:abstractNum w:abstractNumId="18" w15:restartNumberingAfterBreak="0">
    <w:nsid w:val="7D2E21B3"/>
    <w:multiLevelType w:val="multilevel"/>
    <w:tmpl w:val="10DAF90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DE044DC"/>
    <w:multiLevelType w:val="multilevel"/>
    <w:tmpl w:val="D586E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7723853">
    <w:abstractNumId w:val="17"/>
  </w:num>
  <w:num w:numId="2" w16cid:durableId="809711954">
    <w:abstractNumId w:val="5"/>
  </w:num>
  <w:num w:numId="3" w16cid:durableId="813327288">
    <w:abstractNumId w:val="16"/>
  </w:num>
  <w:num w:numId="4" w16cid:durableId="1726677777">
    <w:abstractNumId w:val="12"/>
  </w:num>
  <w:num w:numId="5" w16cid:durableId="1109619377">
    <w:abstractNumId w:val="8"/>
  </w:num>
  <w:num w:numId="6" w16cid:durableId="18595849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2593548">
    <w:abstractNumId w:val="2"/>
  </w:num>
  <w:num w:numId="8" w16cid:durableId="15242463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6009964">
    <w:abstractNumId w:val="19"/>
  </w:num>
  <w:num w:numId="10" w16cid:durableId="60477648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8577129">
    <w:abstractNumId w:val="13"/>
  </w:num>
  <w:num w:numId="12" w16cid:durableId="118844897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4218009">
    <w:abstractNumId w:val="7"/>
  </w:num>
  <w:num w:numId="14" w16cid:durableId="2102795501">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57641640">
    <w:abstractNumId w:val="14"/>
  </w:num>
  <w:num w:numId="16" w16cid:durableId="196625529">
    <w:abstractNumId w:val="11"/>
  </w:num>
  <w:num w:numId="17" w16cid:durableId="1581989695">
    <w:abstractNumId w:val="6"/>
  </w:num>
  <w:num w:numId="18" w16cid:durableId="500969359">
    <w:abstractNumId w:val="0"/>
  </w:num>
  <w:num w:numId="19" w16cid:durableId="1569070714">
    <w:abstractNumId w:val="1"/>
  </w:num>
  <w:num w:numId="20" w16cid:durableId="1199514655">
    <w:abstractNumId w:val="3"/>
  </w:num>
  <w:num w:numId="21" w16cid:durableId="168593951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0381"/>
    <w:rsid w:val="00010C67"/>
    <w:rsid w:val="00010E97"/>
    <w:rsid w:val="000158D1"/>
    <w:rsid w:val="00015A2E"/>
    <w:rsid w:val="0001653B"/>
    <w:rsid w:val="00017859"/>
    <w:rsid w:val="000219BA"/>
    <w:rsid w:val="000229FE"/>
    <w:rsid w:val="00023458"/>
    <w:rsid w:val="000301C0"/>
    <w:rsid w:val="00031B23"/>
    <w:rsid w:val="00034261"/>
    <w:rsid w:val="00034C36"/>
    <w:rsid w:val="00035BED"/>
    <w:rsid w:val="000420B7"/>
    <w:rsid w:val="00043AAA"/>
    <w:rsid w:val="00043B22"/>
    <w:rsid w:val="00044A5C"/>
    <w:rsid w:val="000502FF"/>
    <w:rsid w:val="00050669"/>
    <w:rsid w:val="00054022"/>
    <w:rsid w:val="000555FD"/>
    <w:rsid w:val="00062783"/>
    <w:rsid w:val="00062A4E"/>
    <w:rsid w:val="0006376E"/>
    <w:rsid w:val="00064FEC"/>
    <w:rsid w:val="000709B1"/>
    <w:rsid w:val="00071DC9"/>
    <w:rsid w:val="000721B6"/>
    <w:rsid w:val="000734C1"/>
    <w:rsid w:val="00075F6A"/>
    <w:rsid w:val="00080D87"/>
    <w:rsid w:val="00081F98"/>
    <w:rsid w:val="0008246B"/>
    <w:rsid w:val="00083D30"/>
    <w:rsid w:val="00085187"/>
    <w:rsid w:val="00085744"/>
    <w:rsid w:val="0008665F"/>
    <w:rsid w:val="00090601"/>
    <w:rsid w:val="0009150E"/>
    <w:rsid w:val="00093B75"/>
    <w:rsid w:val="00093FDA"/>
    <w:rsid w:val="0009530B"/>
    <w:rsid w:val="00095AB5"/>
    <w:rsid w:val="0009755C"/>
    <w:rsid w:val="000A1506"/>
    <w:rsid w:val="000A2CDA"/>
    <w:rsid w:val="000A363B"/>
    <w:rsid w:val="000A3D2A"/>
    <w:rsid w:val="000A6B88"/>
    <w:rsid w:val="000A7921"/>
    <w:rsid w:val="000B1921"/>
    <w:rsid w:val="000B1CB0"/>
    <w:rsid w:val="000B2BD6"/>
    <w:rsid w:val="000B3C4C"/>
    <w:rsid w:val="000B656F"/>
    <w:rsid w:val="000C3C05"/>
    <w:rsid w:val="000D1870"/>
    <w:rsid w:val="000D6714"/>
    <w:rsid w:val="000D6DC1"/>
    <w:rsid w:val="000E107B"/>
    <w:rsid w:val="000E1E8C"/>
    <w:rsid w:val="000E322E"/>
    <w:rsid w:val="000F0D1B"/>
    <w:rsid w:val="000F3182"/>
    <w:rsid w:val="000F3610"/>
    <w:rsid w:val="000F4931"/>
    <w:rsid w:val="000F4D47"/>
    <w:rsid w:val="000F589B"/>
    <w:rsid w:val="000F594C"/>
    <w:rsid w:val="001006FD"/>
    <w:rsid w:val="00102908"/>
    <w:rsid w:val="00106278"/>
    <w:rsid w:val="001062B7"/>
    <w:rsid w:val="001076DB"/>
    <w:rsid w:val="00111313"/>
    <w:rsid w:val="00115873"/>
    <w:rsid w:val="00116403"/>
    <w:rsid w:val="0012138F"/>
    <w:rsid w:val="0012373E"/>
    <w:rsid w:val="001325C8"/>
    <w:rsid w:val="001367EA"/>
    <w:rsid w:val="00140CD5"/>
    <w:rsid w:val="00143116"/>
    <w:rsid w:val="00143B39"/>
    <w:rsid w:val="001459A0"/>
    <w:rsid w:val="00146F86"/>
    <w:rsid w:val="00147980"/>
    <w:rsid w:val="00152830"/>
    <w:rsid w:val="00156B7C"/>
    <w:rsid w:val="0016019E"/>
    <w:rsid w:val="0016197F"/>
    <w:rsid w:val="0016273A"/>
    <w:rsid w:val="001641D7"/>
    <w:rsid w:val="00164409"/>
    <w:rsid w:val="00170094"/>
    <w:rsid w:val="001711C2"/>
    <w:rsid w:val="001747C3"/>
    <w:rsid w:val="00174D47"/>
    <w:rsid w:val="0017560A"/>
    <w:rsid w:val="00182098"/>
    <w:rsid w:val="00183BDD"/>
    <w:rsid w:val="00185410"/>
    <w:rsid w:val="00185756"/>
    <w:rsid w:val="001904B8"/>
    <w:rsid w:val="00191E4D"/>
    <w:rsid w:val="00196919"/>
    <w:rsid w:val="001A3486"/>
    <w:rsid w:val="001B3879"/>
    <w:rsid w:val="001B40AF"/>
    <w:rsid w:val="001B7008"/>
    <w:rsid w:val="001B7E15"/>
    <w:rsid w:val="001C0803"/>
    <w:rsid w:val="001C0C40"/>
    <w:rsid w:val="001C1080"/>
    <w:rsid w:val="001C1E7C"/>
    <w:rsid w:val="001C2C41"/>
    <w:rsid w:val="001C437A"/>
    <w:rsid w:val="001C66D1"/>
    <w:rsid w:val="001C67C2"/>
    <w:rsid w:val="001C7BE1"/>
    <w:rsid w:val="001D0AFE"/>
    <w:rsid w:val="001D2640"/>
    <w:rsid w:val="001D6DBA"/>
    <w:rsid w:val="001E16F3"/>
    <w:rsid w:val="001E2BEE"/>
    <w:rsid w:val="001E425B"/>
    <w:rsid w:val="001E76CE"/>
    <w:rsid w:val="001F048C"/>
    <w:rsid w:val="001F1218"/>
    <w:rsid w:val="001F189B"/>
    <w:rsid w:val="001F30F6"/>
    <w:rsid w:val="001F3F00"/>
    <w:rsid w:val="001F7A87"/>
    <w:rsid w:val="002001B3"/>
    <w:rsid w:val="002016B4"/>
    <w:rsid w:val="00203B57"/>
    <w:rsid w:val="002055CF"/>
    <w:rsid w:val="002056E2"/>
    <w:rsid w:val="00206CC9"/>
    <w:rsid w:val="00206EC8"/>
    <w:rsid w:val="00207ACA"/>
    <w:rsid w:val="00210621"/>
    <w:rsid w:val="002125FF"/>
    <w:rsid w:val="00221B36"/>
    <w:rsid w:val="002246AD"/>
    <w:rsid w:val="00227811"/>
    <w:rsid w:val="00227CBC"/>
    <w:rsid w:val="002308A7"/>
    <w:rsid w:val="00234191"/>
    <w:rsid w:val="00235EDB"/>
    <w:rsid w:val="002414EB"/>
    <w:rsid w:val="002427B8"/>
    <w:rsid w:val="00242998"/>
    <w:rsid w:val="00243EBB"/>
    <w:rsid w:val="00244107"/>
    <w:rsid w:val="002455F2"/>
    <w:rsid w:val="0024593A"/>
    <w:rsid w:val="00255FB5"/>
    <w:rsid w:val="00260546"/>
    <w:rsid w:val="00262C14"/>
    <w:rsid w:val="002649CC"/>
    <w:rsid w:val="00265D86"/>
    <w:rsid w:val="00267935"/>
    <w:rsid w:val="002715C3"/>
    <w:rsid w:val="00271F13"/>
    <w:rsid w:val="00273546"/>
    <w:rsid w:val="00276543"/>
    <w:rsid w:val="002851A8"/>
    <w:rsid w:val="00286A79"/>
    <w:rsid w:val="00291CE8"/>
    <w:rsid w:val="00296127"/>
    <w:rsid w:val="00296765"/>
    <w:rsid w:val="00297A80"/>
    <w:rsid w:val="002A075D"/>
    <w:rsid w:val="002A2F9F"/>
    <w:rsid w:val="002A3662"/>
    <w:rsid w:val="002A399D"/>
    <w:rsid w:val="002B15DA"/>
    <w:rsid w:val="002B2CC2"/>
    <w:rsid w:val="002B593E"/>
    <w:rsid w:val="002C0761"/>
    <w:rsid w:val="002C4D32"/>
    <w:rsid w:val="002D0F81"/>
    <w:rsid w:val="002D12EF"/>
    <w:rsid w:val="002D1D0C"/>
    <w:rsid w:val="002D45C4"/>
    <w:rsid w:val="002D5238"/>
    <w:rsid w:val="002D6AE2"/>
    <w:rsid w:val="002D7167"/>
    <w:rsid w:val="002E2313"/>
    <w:rsid w:val="002E631B"/>
    <w:rsid w:val="002E7182"/>
    <w:rsid w:val="002F0A03"/>
    <w:rsid w:val="002F1CAC"/>
    <w:rsid w:val="002F4635"/>
    <w:rsid w:val="002F4D23"/>
    <w:rsid w:val="002F67AA"/>
    <w:rsid w:val="002F7E0E"/>
    <w:rsid w:val="00302066"/>
    <w:rsid w:val="00306DD3"/>
    <w:rsid w:val="0031562F"/>
    <w:rsid w:val="00321DF5"/>
    <w:rsid w:val="003232ED"/>
    <w:rsid w:val="00324B1B"/>
    <w:rsid w:val="003256C8"/>
    <w:rsid w:val="0033051C"/>
    <w:rsid w:val="0033143E"/>
    <w:rsid w:val="00334DD4"/>
    <w:rsid w:val="003352C0"/>
    <w:rsid w:val="00340580"/>
    <w:rsid w:val="0034110C"/>
    <w:rsid w:val="00343982"/>
    <w:rsid w:val="00345726"/>
    <w:rsid w:val="00350B98"/>
    <w:rsid w:val="00353EF8"/>
    <w:rsid w:val="003566DA"/>
    <w:rsid w:val="00356C2F"/>
    <w:rsid w:val="00360506"/>
    <w:rsid w:val="003647D3"/>
    <w:rsid w:val="0036556E"/>
    <w:rsid w:val="00371C5A"/>
    <w:rsid w:val="003725A1"/>
    <w:rsid w:val="00372DB0"/>
    <w:rsid w:val="00375A67"/>
    <w:rsid w:val="003779EC"/>
    <w:rsid w:val="00380199"/>
    <w:rsid w:val="003805A1"/>
    <w:rsid w:val="003843FE"/>
    <w:rsid w:val="003868A2"/>
    <w:rsid w:val="00392A5B"/>
    <w:rsid w:val="003970AB"/>
    <w:rsid w:val="003A44EA"/>
    <w:rsid w:val="003A5676"/>
    <w:rsid w:val="003A6D70"/>
    <w:rsid w:val="003B1C87"/>
    <w:rsid w:val="003B1F86"/>
    <w:rsid w:val="003C4F25"/>
    <w:rsid w:val="003C521A"/>
    <w:rsid w:val="003D0C0A"/>
    <w:rsid w:val="003D12A0"/>
    <w:rsid w:val="003D1712"/>
    <w:rsid w:val="003D1E54"/>
    <w:rsid w:val="003D6D5B"/>
    <w:rsid w:val="003D7A14"/>
    <w:rsid w:val="003D7A31"/>
    <w:rsid w:val="003E2481"/>
    <w:rsid w:val="003E2552"/>
    <w:rsid w:val="003E3B37"/>
    <w:rsid w:val="003E6C1A"/>
    <w:rsid w:val="003F178F"/>
    <w:rsid w:val="003F2B19"/>
    <w:rsid w:val="00401D86"/>
    <w:rsid w:val="00404731"/>
    <w:rsid w:val="0040640A"/>
    <w:rsid w:val="00406DB5"/>
    <w:rsid w:val="0040789A"/>
    <w:rsid w:val="004101A9"/>
    <w:rsid w:val="0041058B"/>
    <w:rsid w:val="004129E1"/>
    <w:rsid w:val="0041309A"/>
    <w:rsid w:val="00413947"/>
    <w:rsid w:val="00413B96"/>
    <w:rsid w:val="00414EEE"/>
    <w:rsid w:val="00417508"/>
    <w:rsid w:val="004203DC"/>
    <w:rsid w:val="00421D86"/>
    <w:rsid w:val="00422765"/>
    <w:rsid w:val="0042336D"/>
    <w:rsid w:val="00426067"/>
    <w:rsid w:val="00426AC0"/>
    <w:rsid w:val="004275F7"/>
    <w:rsid w:val="00431375"/>
    <w:rsid w:val="00441AF6"/>
    <w:rsid w:val="00441C24"/>
    <w:rsid w:val="00444DB3"/>
    <w:rsid w:val="00446545"/>
    <w:rsid w:val="00447513"/>
    <w:rsid w:val="00454633"/>
    <w:rsid w:val="00455F47"/>
    <w:rsid w:val="00457EAE"/>
    <w:rsid w:val="004619D7"/>
    <w:rsid w:val="004632E4"/>
    <w:rsid w:val="004653CC"/>
    <w:rsid w:val="004718D9"/>
    <w:rsid w:val="00473637"/>
    <w:rsid w:val="00475D4B"/>
    <w:rsid w:val="004766C9"/>
    <w:rsid w:val="004768BE"/>
    <w:rsid w:val="00476A1D"/>
    <w:rsid w:val="00476D70"/>
    <w:rsid w:val="00477F73"/>
    <w:rsid w:val="004827A6"/>
    <w:rsid w:val="0048355A"/>
    <w:rsid w:val="00483DE2"/>
    <w:rsid w:val="00484FC9"/>
    <w:rsid w:val="0048744A"/>
    <w:rsid w:val="00491779"/>
    <w:rsid w:val="00495562"/>
    <w:rsid w:val="004976F8"/>
    <w:rsid w:val="004A16CB"/>
    <w:rsid w:val="004A3785"/>
    <w:rsid w:val="004A51D4"/>
    <w:rsid w:val="004A6E60"/>
    <w:rsid w:val="004B0B64"/>
    <w:rsid w:val="004B2454"/>
    <w:rsid w:val="004B5BED"/>
    <w:rsid w:val="004C322B"/>
    <w:rsid w:val="004C47B6"/>
    <w:rsid w:val="004C6692"/>
    <w:rsid w:val="004C6BC9"/>
    <w:rsid w:val="004C7556"/>
    <w:rsid w:val="004C7710"/>
    <w:rsid w:val="004C7AB5"/>
    <w:rsid w:val="004D1121"/>
    <w:rsid w:val="004D15C1"/>
    <w:rsid w:val="004D224C"/>
    <w:rsid w:val="004D3C53"/>
    <w:rsid w:val="004D4A8A"/>
    <w:rsid w:val="004D61A4"/>
    <w:rsid w:val="004E15CC"/>
    <w:rsid w:val="004E1FDC"/>
    <w:rsid w:val="004E4E78"/>
    <w:rsid w:val="004E4F3F"/>
    <w:rsid w:val="004F7BB5"/>
    <w:rsid w:val="00500637"/>
    <w:rsid w:val="00501B45"/>
    <w:rsid w:val="005027CF"/>
    <w:rsid w:val="0050370E"/>
    <w:rsid w:val="0050484A"/>
    <w:rsid w:val="00512486"/>
    <w:rsid w:val="00512BB4"/>
    <w:rsid w:val="00516969"/>
    <w:rsid w:val="00517020"/>
    <w:rsid w:val="005179C9"/>
    <w:rsid w:val="0052042E"/>
    <w:rsid w:val="00521BCC"/>
    <w:rsid w:val="0052465B"/>
    <w:rsid w:val="00524CDA"/>
    <w:rsid w:val="00524CDD"/>
    <w:rsid w:val="0052605D"/>
    <w:rsid w:val="00533A53"/>
    <w:rsid w:val="00535B06"/>
    <w:rsid w:val="00545028"/>
    <w:rsid w:val="00546451"/>
    <w:rsid w:val="00551179"/>
    <w:rsid w:val="005575FA"/>
    <w:rsid w:val="00557744"/>
    <w:rsid w:val="00564BE6"/>
    <w:rsid w:val="00570AC6"/>
    <w:rsid w:val="00571D7A"/>
    <w:rsid w:val="00572867"/>
    <w:rsid w:val="00573AFA"/>
    <w:rsid w:val="0057501A"/>
    <w:rsid w:val="0057554D"/>
    <w:rsid w:val="00582E85"/>
    <w:rsid w:val="00583139"/>
    <w:rsid w:val="00585BA6"/>
    <w:rsid w:val="005867E7"/>
    <w:rsid w:val="00587A42"/>
    <w:rsid w:val="005910B5"/>
    <w:rsid w:val="005913BE"/>
    <w:rsid w:val="00595643"/>
    <w:rsid w:val="00595B67"/>
    <w:rsid w:val="005A1E2B"/>
    <w:rsid w:val="005A64DA"/>
    <w:rsid w:val="005B08C7"/>
    <w:rsid w:val="005B5C05"/>
    <w:rsid w:val="005C1ABF"/>
    <w:rsid w:val="005C1D83"/>
    <w:rsid w:val="005C224F"/>
    <w:rsid w:val="005C3762"/>
    <w:rsid w:val="005C45D3"/>
    <w:rsid w:val="005C5254"/>
    <w:rsid w:val="005C5923"/>
    <w:rsid w:val="005C5F22"/>
    <w:rsid w:val="005D0010"/>
    <w:rsid w:val="005D4AE7"/>
    <w:rsid w:val="005D5412"/>
    <w:rsid w:val="005D721E"/>
    <w:rsid w:val="005E3FD7"/>
    <w:rsid w:val="005E650E"/>
    <w:rsid w:val="005E6B8B"/>
    <w:rsid w:val="005E7282"/>
    <w:rsid w:val="005E7910"/>
    <w:rsid w:val="005F103C"/>
    <w:rsid w:val="005F2927"/>
    <w:rsid w:val="005F54B2"/>
    <w:rsid w:val="005F6F6C"/>
    <w:rsid w:val="00605582"/>
    <w:rsid w:val="006142F8"/>
    <w:rsid w:val="00615172"/>
    <w:rsid w:val="00615BF9"/>
    <w:rsid w:val="00616B8A"/>
    <w:rsid w:val="00617E5B"/>
    <w:rsid w:val="006202B3"/>
    <w:rsid w:val="00622D77"/>
    <w:rsid w:val="00626BED"/>
    <w:rsid w:val="00627F28"/>
    <w:rsid w:val="00627F34"/>
    <w:rsid w:val="00630F92"/>
    <w:rsid w:val="006313FA"/>
    <w:rsid w:val="00636B18"/>
    <w:rsid w:val="00636D40"/>
    <w:rsid w:val="00637CA1"/>
    <w:rsid w:val="006413F2"/>
    <w:rsid w:val="006426B0"/>
    <w:rsid w:val="00643C97"/>
    <w:rsid w:val="00644D23"/>
    <w:rsid w:val="00645014"/>
    <w:rsid w:val="00645F07"/>
    <w:rsid w:val="00646DBF"/>
    <w:rsid w:val="00647A82"/>
    <w:rsid w:val="006520E7"/>
    <w:rsid w:val="00660AE6"/>
    <w:rsid w:val="00663834"/>
    <w:rsid w:val="00663ADD"/>
    <w:rsid w:val="00664904"/>
    <w:rsid w:val="00664AB3"/>
    <w:rsid w:val="00667501"/>
    <w:rsid w:val="00670A21"/>
    <w:rsid w:val="00671840"/>
    <w:rsid w:val="00674F94"/>
    <w:rsid w:val="00675F2A"/>
    <w:rsid w:val="00676499"/>
    <w:rsid w:val="00680BBC"/>
    <w:rsid w:val="00683D4C"/>
    <w:rsid w:val="00684A3E"/>
    <w:rsid w:val="00685B44"/>
    <w:rsid w:val="00690586"/>
    <w:rsid w:val="00690CEB"/>
    <w:rsid w:val="00690D28"/>
    <w:rsid w:val="00691E10"/>
    <w:rsid w:val="00693B3B"/>
    <w:rsid w:val="0069608E"/>
    <w:rsid w:val="00697D6A"/>
    <w:rsid w:val="006A0481"/>
    <w:rsid w:val="006A1658"/>
    <w:rsid w:val="006A182A"/>
    <w:rsid w:val="006A3052"/>
    <w:rsid w:val="006A7A5D"/>
    <w:rsid w:val="006B25DF"/>
    <w:rsid w:val="006B2689"/>
    <w:rsid w:val="006B35EE"/>
    <w:rsid w:val="006B6163"/>
    <w:rsid w:val="006B639C"/>
    <w:rsid w:val="006C0949"/>
    <w:rsid w:val="006C3273"/>
    <w:rsid w:val="006C5F5E"/>
    <w:rsid w:val="006C653F"/>
    <w:rsid w:val="006D4AB7"/>
    <w:rsid w:val="006D6CC8"/>
    <w:rsid w:val="006E0CE7"/>
    <w:rsid w:val="006E31B1"/>
    <w:rsid w:val="006E44A6"/>
    <w:rsid w:val="006E4567"/>
    <w:rsid w:val="006E6E86"/>
    <w:rsid w:val="006E7097"/>
    <w:rsid w:val="006F3D6D"/>
    <w:rsid w:val="006F7DFC"/>
    <w:rsid w:val="007003FF"/>
    <w:rsid w:val="00702E4B"/>
    <w:rsid w:val="00704AF2"/>
    <w:rsid w:val="007064FA"/>
    <w:rsid w:val="00711815"/>
    <w:rsid w:val="00711EB6"/>
    <w:rsid w:val="00714733"/>
    <w:rsid w:val="00714BA0"/>
    <w:rsid w:val="0072534C"/>
    <w:rsid w:val="00725C65"/>
    <w:rsid w:val="00726E7A"/>
    <w:rsid w:val="0073294A"/>
    <w:rsid w:val="00732E52"/>
    <w:rsid w:val="00732FB9"/>
    <w:rsid w:val="007362CF"/>
    <w:rsid w:val="0073765C"/>
    <w:rsid w:val="0074646A"/>
    <w:rsid w:val="00746E54"/>
    <w:rsid w:val="007521C7"/>
    <w:rsid w:val="00752801"/>
    <w:rsid w:val="007535E4"/>
    <w:rsid w:val="0075742E"/>
    <w:rsid w:val="00765C24"/>
    <w:rsid w:val="007705F8"/>
    <w:rsid w:val="00770B05"/>
    <w:rsid w:val="00780F4D"/>
    <w:rsid w:val="00782F59"/>
    <w:rsid w:val="00785118"/>
    <w:rsid w:val="00786395"/>
    <w:rsid w:val="00786BEB"/>
    <w:rsid w:val="00790775"/>
    <w:rsid w:val="00791365"/>
    <w:rsid w:val="00792965"/>
    <w:rsid w:val="007930A6"/>
    <w:rsid w:val="00793BA4"/>
    <w:rsid w:val="00795310"/>
    <w:rsid w:val="0079615B"/>
    <w:rsid w:val="00796FBA"/>
    <w:rsid w:val="007A2348"/>
    <w:rsid w:val="007A6430"/>
    <w:rsid w:val="007B0F27"/>
    <w:rsid w:val="007B1048"/>
    <w:rsid w:val="007C40D6"/>
    <w:rsid w:val="007C4D55"/>
    <w:rsid w:val="007C77DD"/>
    <w:rsid w:val="007D240E"/>
    <w:rsid w:val="007D2A71"/>
    <w:rsid w:val="007D383F"/>
    <w:rsid w:val="007D436E"/>
    <w:rsid w:val="007D7FA2"/>
    <w:rsid w:val="007E120C"/>
    <w:rsid w:val="007E3EA6"/>
    <w:rsid w:val="007E49F0"/>
    <w:rsid w:val="007E4FA4"/>
    <w:rsid w:val="007F04E3"/>
    <w:rsid w:val="007F135E"/>
    <w:rsid w:val="007F22AB"/>
    <w:rsid w:val="007F26BB"/>
    <w:rsid w:val="007F3036"/>
    <w:rsid w:val="007F4484"/>
    <w:rsid w:val="007F5DFE"/>
    <w:rsid w:val="007F6845"/>
    <w:rsid w:val="007F7135"/>
    <w:rsid w:val="007F777B"/>
    <w:rsid w:val="00800D49"/>
    <w:rsid w:val="00800ED3"/>
    <w:rsid w:val="008012B2"/>
    <w:rsid w:val="00801489"/>
    <w:rsid w:val="00801F9C"/>
    <w:rsid w:val="008038A4"/>
    <w:rsid w:val="0080422F"/>
    <w:rsid w:val="008042E1"/>
    <w:rsid w:val="00804D63"/>
    <w:rsid w:val="008061C5"/>
    <w:rsid w:val="00806B9D"/>
    <w:rsid w:val="00806F6E"/>
    <w:rsid w:val="00806F92"/>
    <w:rsid w:val="00812986"/>
    <w:rsid w:val="00812A77"/>
    <w:rsid w:val="008132C3"/>
    <w:rsid w:val="00814263"/>
    <w:rsid w:val="0081457C"/>
    <w:rsid w:val="00815FBF"/>
    <w:rsid w:val="00822722"/>
    <w:rsid w:val="00822A30"/>
    <w:rsid w:val="00822A93"/>
    <w:rsid w:val="00826046"/>
    <w:rsid w:val="00826448"/>
    <w:rsid w:val="00836DE5"/>
    <w:rsid w:val="00840F1D"/>
    <w:rsid w:val="0084129E"/>
    <w:rsid w:val="00847909"/>
    <w:rsid w:val="008500F7"/>
    <w:rsid w:val="00853877"/>
    <w:rsid w:val="00853BE4"/>
    <w:rsid w:val="0085683A"/>
    <w:rsid w:val="008568AE"/>
    <w:rsid w:val="00860590"/>
    <w:rsid w:val="008614E8"/>
    <w:rsid w:val="00861C38"/>
    <w:rsid w:val="00862CB7"/>
    <w:rsid w:val="00866DBE"/>
    <w:rsid w:val="00867EDF"/>
    <w:rsid w:val="00874EB2"/>
    <w:rsid w:val="00876A19"/>
    <w:rsid w:val="00877265"/>
    <w:rsid w:val="00877414"/>
    <w:rsid w:val="0088485B"/>
    <w:rsid w:val="00891ADF"/>
    <w:rsid w:val="008965C2"/>
    <w:rsid w:val="00897026"/>
    <w:rsid w:val="00897B6A"/>
    <w:rsid w:val="008A03B7"/>
    <w:rsid w:val="008A0664"/>
    <w:rsid w:val="008A1EF4"/>
    <w:rsid w:val="008A5E58"/>
    <w:rsid w:val="008A6902"/>
    <w:rsid w:val="008C209D"/>
    <w:rsid w:val="008C2197"/>
    <w:rsid w:val="008C3493"/>
    <w:rsid w:val="008C527C"/>
    <w:rsid w:val="008D11A6"/>
    <w:rsid w:val="008D12DD"/>
    <w:rsid w:val="008D1F7B"/>
    <w:rsid w:val="008D2D64"/>
    <w:rsid w:val="008D32CC"/>
    <w:rsid w:val="008D5605"/>
    <w:rsid w:val="008E579B"/>
    <w:rsid w:val="008F0EFB"/>
    <w:rsid w:val="008F1BF7"/>
    <w:rsid w:val="008F257E"/>
    <w:rsid w:val="008F7554"/>
    <w:rsid w:val="0090273F"/>
    <w:rsid w:val="00902E07"/>
    <w:rsid w:val="0090333A"/>
    <w:rsid w:val="00907B86"/>
    <w:rsid w:val="00907F8C"/>
    <w:rsid w:val="0091373D"/>
    <w:rsid w:val="00915E66"/>
    <w:rsid w:val="009163D1"/>
    <w:rsid w:val="00917FB7"/>
    <w:rsid w:val="00920C89"/>
    <w:rsid w:val="009303DA"/>
    <w:rsid w:val="00930BFB"/>
    <w:rsid w:val="00931FA6"/>
    <w:rsid w:val="00937049"/>
    <w:rsid w:val="00937323"/>
    <w:rsid w:val="009376F8"/>
    <w:rsid w:val="00940971"/>
    <w:rsid w:val="00942E29"/>
    <w:rsid w:val="0094433B"/>
    <w:rsid w:val="00944C65"/>
    <w:rsid w:val="00947783"/>
    <w:rsid w:val="00954FE8"/>
    <w:rsid w:val="009571BA"/>
    <w:rsid w:val="009577FD"/>
    <w:rsid w:val="0096109B"/>
    <w:rsid w:val="009618CD"/>
    <w:rsid w:val="00967B35"/>
    <w:rsid w:val="009723ED"/>
    <w:rsid w:val="009726E0"/>
    <w:rsid w:val="00981282"/>
    <w:rsid w:val="00982621"/>
    <w:rsid w:val="00990822"/>
    <w:rsid w:val="00991A35"/>
    <w:rsid w:val="009934DD"/>
    <w:rsid w:val="00995AB1"/>
    <w:rsid w:val="00995DF2"/>
    <w:rsid w:val="009969DD"/>
    <w:rsid w:val="009A0185"/>
    <w:rsid w:val="009A03BC"/>
    <w:rsid w:val="009A1F34"/>
    <w:rsid w:val="009A3825"/>
    <w:rsid w:val="009A4158"/>
    <w:rsid w:val="009A4C05"/>
    <w:rsid w:val="009A58DC"/>
    <w:rsid w:val="009B03CF"/>
    <w:rsid w:val="009B22B3"/>
    <w:rsid w:val="009B504C"/>
    <w:rsid w:val="009B7563"/>
    <w:rsid w:val="009B7E75"/>
    <w:rsid w:val="009C2BC4"/>
    <w:rsid w:val="009C4A31"/>
    <w:rsid w:val="009C4C5B"/>
    <w:rsid w:val="009C689F"/>
    <w:rsid w:val="009C7EEE"/>
    <w:rsid w:val="009D724C"/>
    <w:rsid w:val="009E1150"/>
    <w:rsid w:val="009E2168"/>
    <w:rsid w:val="009E21F5"/>
    <w:rsid w:val="009E2FCA"/>
    <w:rsid w:val="009F3793"/>
    <w:rsid w:val="009F6FD2"/>
    <w:rsid w:val="009F7096"/>
    <w:rsid w:val="009F72F2"/>
    <w:rsid w:val="009F78D3"/>
    <w:rsid w:val="00A00E15"/>
    <w:rsid w:val="00A01F1C"/>
    <w:rsid w:val="00A02D7E"/>
    <w:rsid w:val="00A0499F"/>
    <w:rsid w:val="00A06141"/>
    <w:rsid w:val="00A102D2"/>
    <w:rsid w:val="00A10BD1"/>
    <w:rsid w:val="00A131C8"/>
    <w:rsid w:val="00A131E7"/>
    <w:rsid w:val="00A14DD8"/>
    <w:rsid w:val="00A15ABB"/>
    <w:rsid w:val="00A15B9C"/>
    <w:rsid w:val="00A168FC"/>
    <w:rsid w:val="00A21996"/>
    <w:rsid w:val="00A22F82"/>
    <w:rsid w:val="00A25C4E"/>
    <w:rsid w:val="00A26847"/>
    <w:rsid w:val="00A26C6C"/>
    <w:rsid w:val="00A30CC5"/>
    <w:rsid w:val="00A33481"/>
    <w:rsid w:val="00A353EB"/>
    <w:rsid w:val="00A4023D"/>
    <w:rsid w:val="00A4610B"/>
    <w:rsid w:val="00A4732A"/>
    <w:rsid w:val="00A47972"/>
    <w:rsid w:val="00A519F7"/>
    <w:rsid w:val="00A576F3"/>
    <w:rsid w:val="00A601D2"/>
    <w:rsid w:val="00A63D58"/>
    <w:rsid w:val="00A65E33"/>
    <w:rsid w:val="00A70E19"/>
    <w:rsid w:val="00A7166B"/>
    <w:rsid w:val="00A721B8"/>
    <w:rsid w:val="00A72420"/>
    <w:rsid w:val="00A726BF"/>
    <w:rsid w:val="00A72BC7"/>
    <w:rsid w:val="00A7730C"/>
    <w:rsid w:val="00A82210"/>
    <w:rsid w:val="00A84F18"/>
    <w:rsid w:val="00A85045"/>
    <w:rsid w:val="00A8552F"/>
    <w:rsid w:val="00A863EE"/>
    <w:rsid w:val="00A876A4"/>
    <w:rsid w:val="00A92944"/>
    <w:rsid w:val="00A95738"/>
    <w:rsid w:val="00A95A60"/>
    <w:rsid w:val="00A97465"/>
    <w:rsid w:val="00A97B7D"/>
    <w:rsid w:val="00A97EA2"/>
    <w:rsid w:val="00AA118C"/>
    <w:rsid w:val="00AA2BE9"/>
    <w:rsid w:val="00AA4825"/>
    <w:rsid w:val="00AA6FC1"/>
    <w:rsid w:val="00AB0DD4"/>
    <w:rsid w:val="00AB33E1"/>
    <w:rsid w:val="00AB3570"/>
    <w:rsid w:val="00AC475E"/>
    <w:rsid w:val="00AC543A"/>
    <w:rsid w:val="00AD1646"/>
    <w:rsid w:val="00AD1B47"/>
    <w:rsid w:val="00AD2DBA"/>
    <w:rsid w:val="00AD4F83"/>
    <w:rsid w:val="00AE0587"/>
    <w:rsid w:val="00AE3229"/>
    <w:rsid w:val="00AE7E8E"/>
    <w:rsid w:val="00AF038B"/>
    <w:rsid w:val="00AF5458"/>
    <w:rsid w:val="00AF5589"/>
    <w:rsid w:val="00AF5DD7"/>
    <w:rsid w:val="00B02026"/>
    <w:rsid w:val="00B03950"/>
    <w:rsid w:val="00B05156"/>
    <w:rsid w:val="00B077DC"/>
    <w:rsid w:val="00B1042A"/>
    <w:rsid w:val="00B12D23"/>
    <w:rsid w:val="00B13F89"/>
    <w:rsid w:val="00B13FE9"/>
    <w:rsid w:val="00B179D6"/>
    <w:rsid w:val="00B23A06"/>
    <w:rsid w:val="00B2532A"/>
    <w:rsid w:val="00B26045"/>
    <w:rsid w:val="00B26A21"/>
    <w:rsid w:val="00B32A3F"/>
    <w:rsid w:val="00B33FD9"/>
    <w:rsid w:val="00B350E2"/>
    <w:rsid w:val="00B404BF"/>
    <w:rsid w:val="00B43695"/>
    <w:rsid w:val="00B44C55"/>
    <w:rsid w:val="00B4578A"/>
    <w:rsid w:val="00B460C3"/>
    <w:rsid w:val="00B463B9"/>
    <w:rsid w:val="00B46A95"/>
    <w:rsid w:val="00B51043"/>
    <w:rsid w:val="00B52F17"/>
    <w:rsid w:val="00B530AD"/>
    <w:rsid w:val="00B544C2"/>
    <w:rsid w:val="00B55EE7"/>
    <w:rsid w:val="00B64FDB"/>
    <w:rsid w:val="00B70CC4"/>
    <w:rsid w:val="00B80B81"/>
    <w:rsid w:val="00B835DB"/>
    <w:rsid w:val="00B854BD"/>
    <w:rsid w:val="00B86F7A"/>
    <w:rsid w:val="00B92A89"/>
    <w:rsid w:val="00B92E15"/>
    <w:rsid w:val="00B92E79"/>
    <w:rsid w:val="00B93C64"/>
    <w:rsid w:val="00B94C89"/>
    <w:rsid w:val="00B96976"/>
    <w:rsid w:val="00B976F9"/>
    <w:rsid w:val="00BA2427"/>
    <w:rsid w:val="00BA4FE6"/>
    <w:rsid w:val="00BA67EC"/>
    <w:rsid w:val="00BB0CB2"/>
    <w:rsid w:val="00BB2F4D"/>
    <w:rsid w:val="00BB371A"/>
    <w:rsid w:val="00BB401F"/>
    <w:rsid w:val="00BC00C3"/>
    <w:rsid w:val="00BC018B"/>
    <w:rsid w:val="00BC7189"/>
    <w:rsid w:val="00BC7C91"/>
    <w:rsid w:val="00BD33EC"/>
    <w:rsid w:val="00BD7B25"/>
    <w:rsid w:val="00BE1AFF"/>
    <w:rsid w:val="00BE2134"/>
    <w:rsid w:val="00BE254A"/>
    <w:rsid w:val="00BF39D1"/>
    <w:rsid w:val="00BF5D57"/>
    <w:rsid w:val="00BF66EE"/>
    <w:rsid w:val="00BF74E9"/>
    <w:rsid w:val="00C025D7"/>
    <w:rsid w:val="00C02FAC"/>
    <w:rsid w:val="00C04E74"/>
    <w:rsid w:val="00C068C6"/>
    <w:rsid w:val="00C06C62"/>
    <w:rsid w:val="00C11166"/>
    <w:rsid w:val="00C1180B"/>
    <w:rsid w:val="00C119A0"/>
    <w:rsid w:val="00C1201C"/>
    <w:rsid w:val="00C1797B"/>
    <w:rsid w:val="00C22B2A"/>
    <w:rsid w:val="00C2398C"/>
    <w:rsid w:val="00C24D03"/>
    <w:rsid w:val="00C261F8"/>
    <w:rsid w:val="00C27447"/>
    <w:rsid w:val="00C27B82"/>
    <w:rsid w:val="00C30935"/>
    <w:rsid w:val="00C32F01"/>
    <w:rsid w:val="00C360BD"/>
    <w:rsid w:val="00C36228"/>
    <w:rsid w:val="00C43226"/>
    <w:rsid w:val="00C45A62"/>
    <w:rsid w:val="00C469AB"/>
    <w:rsid w:val="00C476E1"/>
    <w:rsid w:val="00C47872"/>
    <w:rsid w:val="00C50B75"/>
    <w:rsid w:val="00C52E77"/>
    <w:rsid w:val="00C53D7C"/>
    <w:rsid w:val="00C55102"/>
    <w:rsid w:val="00C55721"/>
    <w:rsid w:val="00C566B3"/>
    <w:rsid w:val="00C57D5C"/>
    <w:rsid w:val="00C60F70"/>
    <w:rsid w:val="00C616D6"/>
    <w:rsid w:val="00C65249"/>
    <w:rsid w:val="00C65450"/>
    <w:rsid w:val="00C6558A"/>
    <w:rsid w:val="00C661B3"/>
    <w:rsid w:val="00C67B32"/>
    <w:rsid w:val="00C702BD"/>
    <w:rsid w:val="00C72178"/>
    <w:rsid w:val="00C726A3"/>
    <w:rsid w:val="00C727C1"/>
    <w:rsid w:val="00C728A8"/>
    <w:rsid w:val="00C72DA9"/>
    <w:rsid w:val="00C738FF"/>
    <w:rsid w:val="00C73B83"/>
    <w:rsid w:val="00C73DBD"/>
    <w:rsid w:val="00C7437B"/>
    <w:rsid w:val="00C751BD"/>
    <w:rsid w:val="00C758FC"/>
    <w:rsid w:val="00C75C83"/>
    <w:rsid w:val="00C83011"/>
    <w:rsid w:val="00C8527B"/>
    <w:rsid w:val="00C86E8F"/>
    <w:rsid w:val="00C93E4F"/>
    <w:rsid w:val="00C93F65"/>
    <w:rsid w:val="00CA0AA5"/>
    <w:rsid w:val="00CA0E95"/>
    <w:rsid w:val="00CA1F8B"/>
    <w:rsid w:val="00CA383C"/>
    <w:rsid w:val="00CA56F8"/>
    <w:rsid w:val="00CA6BA1"/>
    <w:rsid w:val="00CB0C1D"/>
    <w:rsid w:val="00CB1A9A"/>
    <w:rsid w:val="00CB2E2C"/>
    <w:rsid w:val="00CB40B0"/>
    <w:rsid w:val="00CB58E4"/>
    <w:rsid w:val="00CC2ECF"/>
    <w:rsid w:val="00CC331F"/>
    <w:rsid w:val="00CC50BA"/>
    <w:rsid w:val="00CC535F"/>
    <w:rsid w:val="00CC721A"/>
    <w:rsid w:val="00CC7E76"/>
    <w:rsid w:val="00CD0963"/>
    <w:rsid w:val="00CD2229"/>
    <w:rsid w:val="00CD34B3"/>
    <w:rsid w:val="00CD4A2B"/>
    <w:rsid w:val="00CD6DEF"/>
    <w:rsid w:val="00CE0415"/>
    <w:rsid w:val="00CE3D42"/>
    <w:rsid w:val="00CE53E6"/>
    <w:rsid w:val="00CE6367"/>
    <w:rsid w:val="00CF4FEF"/>
    <w:rsid w:val="00CF52CC"/>
    <w:rsid w:val="00D02553"/>
    <w:rsid w:val="00D02D20"/>
    <w:rsid w:val="00D030D9"/>
    <w:rsid w:val="00D03992"/>
    <w:rsid w:val="00D05D19"/>
    <w:rsid w:val="00D06EAA"/>
    <w:rsid w:val="00D20AE9"/>
    <w:rsid w:val="00D22042"/>
    <w:rsid w:val="00D220FC"/>
    <w:rsid w:val="00D272F1"/>
    <w:rsid w:val="00D30B5B"/>
    <w:rsid w:val="00D32D37"/>
    <w:rsid w:val="00D33F5F"/>
    <w:rsid w:val="00D36733"/>
    <w:rsid w:val="00D407D8"/>
    <w:rsid w:val="00D435D1"/>
    <w:rsid w:val="00D4490E"/>
    <w:rsid w:val="00D454A7"/>
    <w:rsid w:val="00D45E0B"/>
    <w:rsid w:val="00D4608C"/>
    <w:rsid w:val="00D471B5"/>
    <w:rsid w:val="00D571DB"/>
    <w:rsid w:val="00D57D03"/>
    <w:rsid w:val="00D63AE6"/>
    <w:rsid w:val="00D64441"/>
    <w:rsid w:val="00D647C7"/>
    <w:rsid w:val="00D66551"/>
    <w:rsid w:val="00D66F88"/>
    <w:rsid w:val="00D713ED"/>
    <w:rsid w:val="00D71C33"/>
    <w:rsid w:val="00D723F2"/>
    <w:rsid w:val="00D75191"/>
    <w:rsid w:val="00D80929"/>
    <w:rsid w:val="00D830A1"/>
    <w:rsid w:val="00D838D1"/>
    <w:rsid w:val="00D85254"/>
    <w:rsid w:val="00D905D9"/>
    <w:rsid w:val="00D9572C"/>
    <w:rsid w:val="00D95909"/>
    <w:rsid w:val="00DA0C68"/>
    <w:rsid w:val="00DA32F7"/>
    <w:rsid w:val="00DA4A54"/>
    <w:rsid w:val="00DA6EC2"/>
    <w:rsid w:val="00DA7CE1"/>
    <w:rsid w:val="00DB05AB"/>
    <w:rsid w:val="00DB1BE6"/>
    <w:rsid w:val="00DB34FF"/>
    <w:rsid w:val="00DB40F1"/>
    <w:rsid w:val="00DB4A44"/>
    <w:rsid w:val="00DC0320"/>
    <w:rsid w:val="00DC1B84"/>
    <w:rsid w:val="00DC2B03"/>
    <w:rsid w:val="00DC4FFC"/>
    <w:rsid w:val="00DD2EBF"/>
    <w:rsid w:val="00DD5114"/>
    <w:rsid w:val="00DD6114"/>
    <w:rsid w:val="00DE0194"/>
    <w:rsid w:val="00DE01B7"/>
    <w:rsid w:val="00DE0801"/>
    <w:rsid w:val="00DE2298"/>
    <w:rsid w:val="00DE3B52"/>
    <w:rsid w:val="00DF007D"/>
    <w:rsid w:val="00DF2BF2"/>
    <w:rsid w:val="00DF4D24"/>
    <w:rsid w:val="00DF541B"/>
    <w:rsid w:val="00DF6BE4"/>
    <w:rsid w:val="00E00CA7"/>
    <w:rsid w:val="00E044F9"/>
    <w:rsid w:val="00E10372"/>
    <w:rsid w:val="00E10A3C"/>
    <w:rsid w:val="00E12BEA"/>
    <w:rsid w:val="00E1398E"/>
    <w:rsid w:val="00E15107"/>
    <w:rsid w:val="00E157BC"/>
    <w:rsid w:val="00E22C96"/>
    <w:rsid w:val="00E2320F"/>
    <w:rsid w:val="00E238C3"/>
    <w:rsid w:val="00E23FFB"/>
    <w:rsid w:val="00E24667"/>
    <w:rsid w:val="00E24D5E"/>
    <w:rsid w:val="00E25084"/>
    <w:rsid w:val="00E253DC"/>
    <w:rsid w:val="00E27079"/>
    <w:rsid w:val="00E32CBC"/>
    <w:rsid w:val="00E331D6"/>
    <w:rsid w:val="00E366D3"/>
    <w:rsid w:val="00E40941"/>
    <w:rsid w:val="00E41D84"/>
    <w:rsid w:val="00E4544E"/>
    <w:rsid w:val="00E46116"/>
    <w:rsid w:val="00E46854"/>
    <w:rsid w:val="00E50E4A"/>
    <w:rsid w:val="00E5107D"/>
    <w:rsid w:val="00E559C4"/>
    <w:rsid w:val="00E55EDB"/>
    <w:rsid w:val="00E56D4B"/>
    <w:rsid w:val="00E631FC"/>
    <w:rsid w:val="00E65E08"/>
    <w:rsid w:val="00E66362"/>
    <w:rsid w:val="00E8132A"/>
    <w:rsid w:val="00E81D40"/>
    <w:rsid w:val="00E83D34"/>
    <w:rsid w:val="00E91F5F"/>
    <w:rsid w:val="00E925D1"/>
    <w:rsid w:val="00E93ECA"/>
    <w:rsid w:val="00E94736"/>
    <w:rsid w:val="00E9482F"/>
    <w:rsid w:val="00EA343E"/>
    <w:rsid w:val="00EA4A47"/>
    <w:rsid w:val="00EA50EA"/>
    <w:rsid w:val="00EA6D31"/>
    <w:rsid w:val="00EB09DC"/>
    <w:rsid w:val="00EB12DD"/>
    <w:rsid w:val="00EB153E"/>
    <w:rsid w:val="00EB508F"/>
    <w:rsid w:val="00EB57EB"/>
    <w:rsid w:val="00EC2E44"/>
    <w:rsid w:val="00EC493C"/>
    <w:rsid w:val="00EC69C3"/>
    <w:rsid w:val="00EC72AB"/>
    <w:rsid w:val="00EC780B"/>
    <w:rsid w:val="00ED35FD"/>
    <w:rsid w:val="00ED50CF"/>
    <w:rsid w:val="00ED664C"/>
    <w:rsid w:val="00EE13E5"/>
    <w:rsid w:val="00EE1DC2"/>
    <w:rsid w:val="00EE2A64"/>
    <w:rsid w:val="00EE3F8E"/>
    <w:rsid w:val="00EF58A5"/>
    <w:rsid w:val="00F01724"/>
    <w:rsid w:val="00F0224D"/>
    <w:rsid w:val="00F022EB"/>
    <w:rsid w:val="00F04BDB"/>
    <w:rsid w:val="00F06313"/>
    <w:rsid w:val="00F07523"/>
    <w:rsid w:val="00F1152F"/>
    <w:rsid w:val="00F14C84"/>
    <w:rsid w:val="00F161F8"/>
    <w:rsid w:val="00F2097E"/>
    <w:rsid w:val="00F217C3"/>
    <w:rsid w:val="00F21B8C"/>
    <w:rsid w:val="00F222E8"/>
    <w:rsid w:val="00F23558"/>
    <w:rsid w:val="00F27E88"/>
    <w:rsid w:val="00F30532"/>
    <w:rsid w:val="00F30CF9"/>
    <w:rsid w:val="00F3167F"/>
    <w:rsid w:val="00F348A3"/>
    <w:rsid w:val="00F360D8"/>
    <w:rsid w:val="00F37393"/>
    <w:rsid w:val="00F42C06"/>
    <w:rsid w:val="00F42E26"/>
    <w:rsid w:val="00F444B9"/>
    <w:rsid w:val="00F45AF2"/>
    <w:rsid w:val="00F46952"/>
    <w:rsid w:val="00F521FD"/>
    <w:rsid w:val="00F52750"/>
    <w:rsid w:val="00F5468B"/>
    <w:rsid w:val="00F5486B"/>
    <w:rsid w:val="00F57AD7"/>
    <w:rsid w:val="00F6316A"/>
    <w:rsid w:val="00F63530"/>
    <w:rsid w:val="00F648EA"/>
    <w:rsid w:val="00F65495"/>
    <w:rsid w:val="00F658E0"/>
    <w:rsid w:val="00F6679F"/>
    <w:rsid w:val="00F75F39"/>
    <w:rsid w:val="00F764B9"/>
    <w:rsid w:val="00F77B2B"/>
    <w:rsid w:val="00F83A2D"/>
    <w:rsid w:val="00F85165"/>
    <w:rsid w:val="00F859B7"/>
    <w:rsid w:val="00F874BC"/>
    <w:rsid w:val="00F97964"/>
    <w:rsid w:val="00F97D99"/>
    <w:rsid w:val="00FA00D2"/>
    <w:rsid w:val="00FA28E5"/>
    <w:rsid w:val="00FA572F"/>
    <w:rsid w:val="00FA69D4"/>
    <w:rsid w:val="00FA72BA"/>
    <w:rsid w:val="00FB15A9"/>
    <w:rsid w:val="00FB33D7"/>
    <w:rsid w:val="00FB355B"/>
    <w:rsid w:val="00FB4214"/>
    <w:rsid w:val="00FB4F80"/>
    <w:rsid w:val="00FC1C44"/>
    <w:rsid w:val="00FC3AEC"/>
    <w:rsid w:val="00FD3EB3"/>
    <w:rsid w:val="00FD6482"/>
    <w:rsid w:val="00FE0F9A"/>
    <w:rsid w:val="00FE312F"/>
    <w:rsid w:val="00FE39DE"/>
    <w:rsid w:val="00FF1C8E"/>
    <w:rsid w:val="00FF39FC"/>
    <w:rsid w:val="00FF4258"/>
    <w:rsid w:val="00FF427C"/>
    <w:rsid w:val="00FF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3FA886"/>
  <w15:chartTrackingRefBased/>
  <w15:docId w15:val="{4E74103D-9316-4531-BD09-A4385F66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2" w:uiPriority="39"/>
    <w:lsdException w:name="caption" w:locked="1" w:semiHidden="1" w:unhideWhenUsed="1" w:qFormat="1"/>
    <w:lsdException w:name="Title" w:locked="1" w:qFormat="1"/>
    <w:lsdException w:name="Subtitle" w:locked="1" w:qFormat="1"/>
    <w:lsdException w:name="Hyperlink" w:uiPriority="99"/>
    <w:lsdException w:name="Strong" w:locked="1" w:uiPriority="22" w:qFormat="1"/>
    <w:lsdException w:name="Emphasis" w:locked="1" w:qFormat="1"/>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24CDD"/>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37CA1"/>
    <w:rPr>
      <w:rFonts w:ascii="Arial" w:hAnsi="Arial" w:cs="Arial"/>
      <w:b/>
      <w:color w:val="FF9900"/>
      <w:sz w:val="32"/>
      <w:lang w:val="en-US" w:eastAsia="en-US" w:bidi="ar-SA"/>
    </w:rPr>
  </w:style>
  <w:style w:type="character" w:customStyle="1" w:styleId="Heading2Char">
    <w:name w:val="Heading 2 Char"/>
    <w:link w:val="Heading2"/>
    <w:locked/>
    <w:rPr>
      <w:rFonts w:ascii="Cambria" w:hAnsi="Cambria" w:cs="Times New Roman"/>
      <w:b/>
      <w:bCs/>
      <w:i/>
      <w:iCs/>
      <w:sz w:val="28"/>
      <w:szCs w:val="28"/>
    </w:rPr>
  </w:style>
  <w:style w:type="character" w:customStyle="1" w:styleId="Heading3Char">
    <w:name w:val="Heading 3 Char"/>
    <w:link w:val="Heading3"/>
    <w:locked/>
    <w:rsid w:val="00637CA1"/>
    <w:rPr>
      <w:rFonts w:ascii="Arial" w:hAnsi="Arial" w:cs="Arial"/>
      <w:b/>
      <w:bCs/>
      <w:sz w:val="26"/>
      <w:szCs w:val="26"/>
      <w:lang w:val="en-US" w:eastAsia="en-US" w:bidi="ar-SA"/>
    </w:rPr>
  </w:style>
  <w:style w:type="character" w:customStyle="1" w:styleId="Heading4Char">
    <w:name w:val="Heading 4 Char"/>
    <w:link w:val="Heading4"/>
    <w:semiHidden/>
    <w:locked/>
    <w:rPr>
      <w:rFonts w:ascii="Calibri" w:hAnsi="Calibri" w:cs="Times New Roman"/>
      <w:b/>
      <w:bCs/>
      <w:sz w:val="28"/>
      <w:szCs w:val="28"/>
    </w:rPr>
  </w:style>
  <w:style w:type="character" w:styleId="Hyperlink">
    <w:name w:val="Hyperlink"/>
    <w:uiPriority w:val="99"/>
    <w:rsid w:val="00524CDD"/>
    <w:rPr>
      <w:rFonts w:cs="Times New Roman"/>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llowedHyperlink">
    <w:name w:val="FollowedHyperlink"/>
    <w:rsid w:val="00637CA1"/>
    <w:rPr>
      <w:rFonts w:cs="Times New Roman"/>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rFonts w:cs="Times New Roman"/>
      <w:b/>
      <w:bCs/>
    </w:rPr>
  </w:style>
  <w:style w:type="paragraph" w:styleId="Header">
    <w:name w:val="header"/>
    <w:basedOn w:val="Normal"/>
    <w:link w:val="HeaderChar"/>
    <w:rsid w:val="00FC1C44"/>
    <w:pPr>
      <w:tabs>
        <w:tab w:val="center" w:pos="4320"/>
        <w:tab w:val="right" w:pos="8640"/>
      </w:tabs>
    </w:pPr>
    <w:rPr>
      <w:lang w:val="x-none" w:eastAsia="x-none"/>
    </w:rPr>
  </w:style>
  <w:style w:type="character" w:customStyle="1" w:styleId="HeaderChar">
    <w:name w:val="Header Char"/>
    <w:link w:val="Header"/>
    <w:semiHidden/>
    <w:locked/>
    <w:rPr>
      <w:rFonts w:cs="Times New Roman"/>
      <w:sz w:val="24"/>
      <w:szCs w:val="24"/>
    </w:rPr>
  </w:style>
  <w:style w:type="paragraph" w:styleId="Footer">
    <w:name w:val="footer"/>
    <w:basedOn w:val="Normal"/>
    <w:link w:val="FooterChar"/>
    <w:rsid w:val="00FC1C44"/>
    <w:pPr>
      <w:tabs>
        <w:tab w:val="center" w:pos="4320"/>
        <w:tab w:val="right" w:pos="8640"/>
      </w:tabs>
    </w:pPr>
    <w:rPr>
      <w:lang w:val="x-none" w:eastAsia="x-none"/>
    </w:rPr>
  </w:style>
  <w:style w:type="character" w:customStyle="1" w:styleId="FooterChar">
    <w:name w:val="Footer Char"/>
    <w:link w:val="Footer"/>
    <w:semiHidden/>
    <w:locked/>
    <w:rPr>
      <w:rFonts w:cs="Times New Roman"/>
      <w:sz w:val="24"/>
      <w:szCs w:val="24"/>
    </w:rPr>
  </w:style>
  <w:style w:type="paragraph" w:styleId="BodyText">
    <w:name w:val="Body Text"/>
    <w:basedOn w:val="Normal"/>
    <w:link w:val="BodyTextChar"/>
    <w:rsid w:val="00BD7B25"/>
    <w:rPr>
      <w:lang w:val="x-none" w:eastAsia="x-none"/>
    </w:rPr>
  </w:style>
  <w:style w:type="character" w:customStyle="1" w:styleId="BodyTextChar">
    <w:name w:val="Body Text Char"/>
    <w:link w:val="BodyText"/>
    <w:semiHidden/>
    <w:locked/>
    <w:rPr>
      <w:rFonts w:cs="Times New Roman"/>
      <w:sz w:val="24"/>
      <w:szCs w:val="24"/>
    </w:rPr>
  </w:style>
  <w:style w:type="paragraph" w:styleId="BodyTextIndent">
    <w:name w:val="Body Text Indent"/>
    <w:basedOn w:val="Normal"/>
    <w:link w:val="BodyTextIndentChar"/>
    <w:rsid w:val="008614E8"/>
    <w:pPr>
      <w:spacing w:after="120"/>
      <w:ind w:left="360"/>
    </w:pPr>
    <w:rPr>
      <w:lang w:val="x-none" w:eastAsia="x-none"/>
    </w:rPr>
  </w:style>
  <w:style w:type="character" w:customStyle="1" w:styleId="BodyTextIndentChar">
    <w:name w:val="Body Text Indent Char"/>
    <w:link w:val="BodyTextIndent"/>
    <w:semiHidden/>
    <w:locked/>
    <w:rPr>
      <w:rFonts w:cs="Times New Roman"/>
      <w:sz w:val="24"/>
      <w:szCs w:val="24"/>
    </w:r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rPr>
      <w:lang w:val="x-none" w:eastAsia="x-none"/>
    </w:rPr>
  </w:style>
  <w:style w:type="character" w:customStyle="1" w:styleId="BodyTextIndent2Char">
    <w:name w:val="Body Text Indent 2 Char"/>
    <w:link w:val="BodyTextIndent2"/>
    <w:semiHidden/>
    <w:locked/>
    <w:rPr>
      <w:rFonts w:cs="Times New Roman"/>
      <w:sz w:val="24"/>
      <w:szCs w:val="24"/>
    </w:rPr>
  </w:style>
  <w:style w:type="paragraph" w:styleId="DocumentMap">
    <w:name w:val="Document Map"/>
    <w:basedOn w:val="Normal"/>
    <w:link w:val="DocumentMapChar"/>
    <w:semiHidden/>
    <w:rsid w:val="009F78D3"/>
    <w:pPr>
      <w:shd w:val="clear" w:color="auto" w:fill="000080"/>
    </w:pPr>
    <w:rPr>
      <w:sz w:val="2"/>
      <w:szCs w:val="20"/>
      <w:lang w:val="x-none" w:eastAsia="x-none"/>
    </w:rPr>
  </w:style>
  <w:style w:type="character" w:customStyle="1" w:styleId="DocumentMapChar">
    <w:name w:val="Document Map Char"/>
    <w:link w:val="DocumentMap"/>
    <w:semiHidden/>
    <w:locked/>
    <w:rPr>
      <w:rFonts w:cs="Times New Roman"/>
      <w:sz w:val="2"/>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link w:val="SignatureChar"/>
    <w:rsid w:val="000F0D1B"/>
    <w:pPr>
      <w:ind w:left="4320"/>
    </w:pPr>
    <w:rPr>
      <w:lang w:val="x-none" w:eastAsia="x-none"/>
    </w:rPr>
  </w:style>
  <w:style w:type="character" w:customStyle="1" w:styleId="SignatureChar">
    <w:name w:val="Signature Char"/>
    <w:link w:val="Signature"/>
    <w:semiHidden/>
    <w:locked/>
    <w:rPr>
      <w:rFonts w:cs="Times New Roman"/>
      <w:sz w:val="24"/>
      <w:szCs w:val="24"/>
    </w:rPr>
  </w:style>
  <w:style w:type="paragraph" w:styleId="BlockText">
    <w:name w:val="Block Text"/>
    <w:basedOn w:val="Normal"/>
    <w:rsid w:val="000F0D1B"/>
    <w:pPr>
      <w:ind w:left="-1080" w:right="720"/>
    </w:pPr>
    <w:rPr>
      <w:rFonts w:ascii="PCS Corporate" w:hAnsi="PCS Corporate"/>
      <w:sz w:val="22"/>
      <w:szCs w:val="20"/>
    </w:rPr>
  </w:style>
  <w:style w:type="paragraph" w:customStyle="1" w:styleId="BulletText1">
    <w:name w:val="Bullet Text 1"/>
    <w:basedOn w:val="Normal"/>
    <w:rsid w:val="00595643"/>
    <w:pPr>
      <w:numPr>
        <w:numId w:val="1"/>
      </w:numPr>
      <w:tabs>
        <w:tab w:val="left" w:pos="187"/>
      </w:tabs>
      <w:ind w:left="187" w:hanging="187"/>
    </w:pPr>
    <w:rPr>
      <w:szCs w:val="20"/>
    </w:rPr>
  </w:style>
  <w:style w:type="paragraph" w:customStyle="1" w:styleId="TableText">
    <w:name w:val="Table Text"/>
    <w:basedOn w:val="Normal"/>
    <w:rsid w:val="00595643"/>
    <w:rPr>
      <w:szCs w:val="20"/>
    </w:rPr>
  </w:style>
  <w:style w:type="paragraph" w:customStyle="1" w:styleId="TableHeaderText">
    <w:name w:val="Table Header Text"/>
    <w:basedOn w:val="TableText"/>
    <w:rsid w:val="00595643"/>
    <w:pPr>
      <w:jc w:val="center"/>
    </w:pPr>
    <w:rPr>
      <w:b/>
    </w:rPr>
  </w:style>
  <w:style w:type="paragraph" w:styleId="NormalWeb">
    <w:name w:val="Normal (Web)"/>
    <w:basedOn w:val="Normal"/>
    <w:rsid w:val="00C616D6"/>
    <w:pPr>
      <w:spacing w:before="100" w:beforeAutospacing="1" w:after="100" w:afterAutospacing="1"/>
    </w:pPr>
  </w:style>
  <w:style w:type="paragraph" w:styleId="BalloonText">
    <w:name w:val="Balloon Text"/>
    <w:basedOn w:val="Normal"/>
    <w:link w:val="BalloonTextChar"/>
    <w:semiHidden/>
    <w:rsid w:val="0017560A"/>
    <w:rPr>
      <w:sz w:val="2"/>
      <w:szCs w:val="20"/>
      <w:lang w:val="x-none" w:eastAsia="x-none"/>
    </w:rPr>
  </w:style>
  <w:style w:type="character" w:customStyle="1" w:styleId="BalloonTextChar">
    <w:name w:val="Balloon Text Char"/>
    <w:link w:val="BalloonText"/>
    <w:semiHidden/>
    <w:locked/>
    <w:rPr>
      <w:rFonts w:cs="Times New Roman"/>
      <w:sz w:val="2"/>
    </w:rPr>
  </w:style>
  <w:style w:type="paragraph" w:customStyle="1" w:styleId="Dotbullet">
    <w:name w:val="Dot bullet"/>
    <w:basedOn w:val="Normal"/>
    <w:rsid w:val="00B976F9"/>
    <w:pPr>
      <w:widowControl w:val="0"/>
      <w:numPr>
        <w:numId w:val="2"/>
      </w:numPr>
      <w:tabs>
        <w:tab w:val="clear" w:pos="360"/>
        <w:tab w:val="num" w:pos="720"/>
      </w:tabs>
      <w:ind w:left="720"/>
    </w:pPr>
    <w:rPr>
      <w:rFonts w:ascii="Verdana" w:hAnsi="Verdana"/>
      <w:szCs w:val="20"/>
    </w:rPr>
  </w:style>
  <w:style w:type="paragraph" w:styleId="ListBullet">
    <w:name w:val="List Bullet"/>
    <w:basedOn w:val="Normal"/>
    <w:rsid w:val="001F3F00"/>
    <w:pPr>
      <w:tabs>
        <w:tab w:val="num" w:pos="720"/>
      </w:tabs>
      <w:ind w:left="360" w:hanging="360"/>
    </w:pPr>
  </w:style>
  <w:style w:type="character" w:styleId="PageNumber">
    <w:name w:val="page number"/>
    <w:basedOn w:val="DefaultParagraphFont"/>
    <w:rsid w:val="00B80B81"/>
  </w:style>
  <w:style w:type="character" w:styleId="CommentReference">
    <w:name w:val="annotation reference"/>
    <w:semiHidden/>
    <w:rsid w:val="0001653B"/>
    <w:rPr>
      <w:sz w:val="16"/>
      <w:szCs w:val="16"/>
    </w:rPr>
  </w:style>
  <w:style w:type="paragraph" w:styleId="CommentText">
    <w:name w:val="annotation text"/>
    <w:basedOn w:val="Normal"/>
    <w:semiHidden/>
    <w:rsid w:val="0001653B"/>
    <w:rPr>
      <w:sz w:val="20"/>
      <w:szCs w:val="20"/>
    </w:rPr>
  </w:style>
  <w:style w:type="paragraph" w:styleId="CommentSubject">
    <w:name w:val="annotation subject"/>
    <w:basedOn w:val="CommentText"/>
    <w:next w:val="CommentText"/>
    <w:semiHidden/>
    <w:rsid w:val="0001653B"/>
    <w:rPr>
      <w:b/>
      <w:bCs/>
    </w:rPr>
  </w:style>
  <w:style w:type="paragraph" w:styleId="ListParagraph">
    <w:name w:val="List Paragraph"/>
    <w:aliases w:val="Sapient_TableNumber"/>
    <w:basedOn w:val="Normal"/>
    <w:link w:val="ListParagraphChar"/>
    <w:uiPriority w:val="34"/>
    <w:qFormat/>
    <w:rsid w:val="00A4610B"/>
    <w:pPr>
      <w:ind w:left="720"/>
    </w:pPr>
  </w:style>
  <w:style w:type="paragraph" w:styleId="TOC2">
    <w:name w:val="toc 2"/>
    <w:basedOn w:val="Normal"/>
    <w:next w:val="Normal"/>
    <w:autoRedefine/>
    <w:uiPriority w:val="39"/>
    <w:rsid w:val="00A82210"/>
    <w:pPr>
      <w:tabs>
        <w:tab w:val="right" w:leader="dot" w:pos="12950"/>
      </w:tabs>
    </w:pPr>
  </w:style>
  <w:style w:type="character" w:styleId="Emphasis">
    <w:name w:val="Emphasis"/>
    <w:basedOn w:val="DefaultParagraphFont"/>
    <w:qFormat/>
    <w:locked/>
    <w:rsid w:val="00CA0E95"/>
    <w:rPr>
      <w:i/>
      <w:iCs/>
    </w:rPr>
  </w:style>
  <w:style w:type="paragraph" w:styleId="Revision">
    <w:name w:val="Revision"/>
    <w:hidden/>
    <w:uiPriority w:val="99"/>
    <w:semiHidden/>
    <w:rsid w:val="00E25084"/>
    <w:rPr>
      <w:sz w:val="24"/>
      <w:szCs w:val="24"/>
    </w:rPr>
  </w:style>
  <w:style w:type="character" w:styleId="UnresolvedMention">
    <w:name w:val="Unresolved Mention"/>
    <w:basedOn w:val="DefaultParagraphFont"/>
    <w:uiPriority w:val="99"/>
    <w:semiHidden/>
    <w:unhideWhenUsed/>
    <w:rsid w:val="00BD33EC"/>
    <w:rPr>
      <w:color w:val="605E5C"/>
      <w:shd w:val="clear" w:color="auto" w:fill="E1DFDD"/>
    </w:rPr>
  </w:style>
  <w:style w:type="character" w:customStyle="1" w:styleId="ListParagraphChar">
    <w:name w:val="List Paragraph Char"/>
    <w:aliases w:val="Sapient_TableNumber Char"/>
    <w:basedOn w:val="DefaultParagraphFont"/>
    <w:link w:val="ListParagraph"/>
    <w:uiPriority w:val="34"/>
    <w:locked/>
    <w:rsid w:val="00937049"/>
    <w:rPr>
      <w:sz w:val="24"/>
      <w:szCs w:val="24"/>
    </w:rPr>
  </w:style>
  <w:style w:type="character" w:customStyle="1" w:styleId="normaltextrun">
    <w:name w:val="normaltextrun"/>
    <w:basedOn w:val="DefaultParagraphFont"/>
    <w:rsid w:val="00937049"/>
  </w:style>
  <w:style w:type="paragraph" w:customStyle="1" w:styleId="Default">
    <w:name w:val="Default"/>
    <w:rsid w:val="00660AE6"/>
    <w:pPr>
      <w:autoSpaceDE w:val="0"/>
      <w:autoSpaceDN w:val="0"/>
      <w:adjustRightInd w:val="0"/>
    </w:pPr>
    <w:rPr>
      <w:rFonts w:ascii="CVS Health Sans" w:hAnsi="CVS Health Sans" w:cs="CVS Health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15354946">
      <w:bodyDiv w:val="1"/>
      <w:marLeft w:val="0"/>
      <w:marRight w:val="0"/>
      <w:marTop w:val="0"/>
      <w:marBottom w:val="0"/>
      <w:divBdr>
        <w:top w:val="none" w:sz="0" w:space="0" w:color="auto"/>
        <w:left w:val="none" w:sz="0" w:space="0" w:color="auto"/>
        <w:bottom w:val="none" w:sz="0" w:space="0" w:color="auto"/>
        <w:right w:val="none" w:sz="0" w:space="0" w:color="auto"/>
      </w:divBdr>
      <w:divsChild>
        <w:div w:id="872158503">
          <w:marLeft w:val="0"/>
          <w:marRight w:val="0"/>
          <w:marTop w:val="0"/>
          <w:marBottom w:val="0"/>
          <w:divBdr>
            <w:top w:val="none" w:sz="0" w:space="0" w:color="auto"/>
            <w:left w:val="none" w:sz="0" w:space="0" w:color="auto"/>
            <w:bottom w:val="none" w:sz="0" w:space="0" w:color="auto"/>
            <w:right w:val="none" w:sz="0" w:space="0" w:color="auto"/>
          </w:divBdr>
        </w:div>
      </w:divsChild>
    </w:div>
    <w:div w:id="120616557">
      <w:bodyDiv w:val="1"/>
      <w:marLeft w:val="0"/>
      <w:marRight w:val="0"/>
      <w:marTop w:val="0"/>
      <w:marBottom w:val="0"/>
      <w:divBdr>
        <w:top w:val="none" w:sz="0" w:space="0" w:color="auto"/>
        <w:left w:val="none" w:sz="0" w:space="0" w:color="auto"/>
        <w:bottom w:val="none" w:sz="0" w:space="0" w:color="auto"/>
        <w:right w:val="none" w:sz="0" w:space="0" w:color="auto"/>
      </w:divBdr>
    </w:div>
    <w:div w:id="213204339">
      <w:bodyDiv w:val="1"/>
      <w:marLeft w:val="0"/>
      <w:marRight w:val="0"/>
      <w:marTop w:val="0"/>
      <w:marBottom w:val="0"/>
      <w:divBdr>
        <w:top w:val="none" w:sz="0" w:space="0" w:color="auto"/>
        <w:left w:val="none" w:sz="0" w:space="0" w:color="auto"/>
        <w:bottom w:val="none" w:sz="0" w:space="0" w:color="auto"/>
        <w:right w:val="none" w:sz="0" w:space="0" w:color="auto"/>
      </w:divBdr>
    </w:div>
    <w:div w:id="387388674">
      <w:bodyDiv w:val="1"/>
      <w:marLeft w:val="0"/>
      <w:marRight w:val="0"/>
      <w:marTop w:val="0"/>
      <w:marBottom w:val="0"/>
      <w:divBdr>
        <w:top w:val="none" w:sz="0" w:space="0" w:color="auto"/>
        <w:left w:val="none" w:sz="0" w:space="0" w:color="auto"/>
        <w:bottom w:val="none" w:sz="0" w:space="0" w:color="auto"/>
        <w:right w:val="none" w:sz="0" w:space="0" w:color="auto"/>
      </w:divBdr>
    </w:div>
    <w:div w:id="575478559">
      <w:bodyDiv w:val="1"/>
      <w:marLeft w:val="0"/>
      <w:marRight w:val="0"/>
      <w:marTop w:val="0"/>
      <w:marBottom w:val="0"/>
      <w:divBdr>
        <w:top w:val="none" w:sz="0" w:space="0" w:color="auto"/>
        <w:left w:val="none" w:sz="0" w:space="0" w:color="auto"/>
        <w:bottom w:val="none" w:sz="0" w:space="0" w:color="auto"/>
        <w:right w:val="none" w:sz="0" w:space="0" w:color="auto"/>
      </w:divBdr>
    </w:div>
    <w:div w:id="696465523">
      <w:bodyDiv w:val="1"/>
      <w:marLeft w:val="0"/>
      <w:marRight w:val="0"/>
      <w:marTop w:val="0"/>
      <w:marBottom w:val="0"/>
      <w:divBdr>
        <w:top w:val="none" w:sz="0" w:space="0" w:color="auto"/>
        <w:left w:val="none" w:sz="0" w:space="0" w:color="auto"/>
        <w:bottom w:val="none" w:sz="0" w:space="0" w:color="auto"/>
        <w:right w:val="none" w:sz="0" w:space="0" w:color="auto"/>
      </w:divBdr>
    </w:div>
    <w:div w:id="808208912">
      <w:bodyDiv w:val="1"/>
      <w:marLeft w:val="0"/>
      <w:marRight w:val="0"/>
      <w:marTop w:val="0"/>
      <w:marBottom w:val="0"/>
      <w:divBdr>
        <w:top w:val="none" w:sz="0" w:space="0" w:color="auto"/>
        <w:left w:val="none" w:sz="0" w:space="0" w:color="auto"/>
        <w:bottom w:val="none" w:sz="0" w:space="0" w:color="auto"/>
        <w:right w:val="none" w:sz="0" w:space="0" w:color="auto"/>
      </w:divBdr>
    </w:div>
    <w:div w:id="861283582">
      <w:bodyDiv w:val="1"/>
      <w:marLeft w:val="0"/>
      <w:marRight w:val="0"/>
      <w:marTop w:val="0"/>
      <w:marBottom w:val="0"/>
      <w:divBdr>
        <w:top w:val="none" w:sz="0" w:space="0" w:color="auto"/>
        <w:left w:val="none" w:sz="0" w:space="0" w:color="auto"/>
        <w:bottom w:val="none" w:sz="0" w:space="0" w:color="auto"/>
        <w:right w:val="none" w:sz="0" w:space="0" w:color="auto"/>
      </w:divBdr>
    </w:div>
    <w:div w:id="868102911">
      <w:bodyDiv w:val="1"/>
      <w:marLeft w:val="0"/>
      <w:marRight w:val="0"/>
      <w:marTop w:val="0"/>
      <w:marBottom w:val="0"/>
      <w:divBdr>
        <w:top w:val="none" w:sz="0" w:space="0" w:color="auto"/>
        <w:left w:val="none" w:sz="0" w:space="0" w:color="auto"/>
        <w:bottom w:val="none" w:sz="0" w:space="0" w:color="auto"/>
        <w:right w:val="none" w:sz="0" w:space="0" w:color="auto"/>
      </w:divBdr>
    </w:div>
    <w:div w:id="904030097">
      <w:bodyDiv w:val="1"/>
      <w:marLeft w:val="0"/>
      <w:marRight w:val="0"/>
      <w:marTop w:val="0"/>
      <w:marBottom w:val="0"/>
      <w:divBdr>
        <w:top w:val="none" w:sz="0" w:space="0" w:color="auto"/>
        <w:left w:val="none" w:sz="0" w:space="0" w:color="auto"/>
        <w:bottom w:val="none" w:sz="0" w:space="0" w:color="auto"/>
        <w:right w:val="none" w:sz="0" w:space="0" w:color="auto"/>
      </w:divBdr>
    </w:div>
    <w:div w:id="917447910">
      <w:bodyDiv w:val="1"/>
      <w:marLeft w:val="0"/>
      <w:marRight w:val="0"/>
      <w:marTop w:val="0"/>
      <w:marBottom w:val="0"/>
      <w:divBdr>
        <w:top w:val="none" w:sz="0" w:space="0" w:color="auto"/>
        <w:left w:val="none" w:sz="0" w:space="0" w:color="auto"/>
        <w:bottom w:val="none" w:sz="0" w:space="0" w:color="auto"/>
        <w:right w:val="none" w:sz="0" w:space="0" w:color="auto"/>
      </w:divBdr>
    </w:div>
    <w:div w:id="947742064">
      <w:bodyDiv w:val="1"/>
      <w:marLeft w:val="0"/>
      <w:marRight w:val="0"/>
      <w:marTop w:val="0"/>
      <w:marBottom w:val="0"/>
      <w:divBdr>
        <w:top w:val="none" w:sz="0" w:space="0" w:color="auto"/>
        <w:left w:val="none" w:sz="0" w:space="0" w:color="auto"/>
        <w:bottom w:val="none" w:sz="0" w:space="0" w:color="auto"/>
        <w:right w:val="none" w:sz="0" w:space="0" w:color="auto"/>
      </w:divBdr>
    </w:div>
    <w:div w:id="1044057598">
      <w:bodyDiv w:val="1"/>
      <w:marLeft w:val="0"/>
      <w:marRight w:val="0"/>
      <w:marTop w:val="0"/>
      <w:marBottom w:val="0"/>
      <w:divBdr>
        <w:top w:val="none" w:sz="0" w:space="0" w:color="auto"/>
        <w:left w:val="none" w:sz="0" w:space="0" w:color="auto"/>
        <w:bottom w:val="none" w:sz="0" w:space="0" w:color="auto"/>
        <w:right w:val="none" w:sz="0" w:space="0" w:color="auto"/>
      </w:divBdr>
    </w:div>
    <w:div w:id="1120757954">
      <w:bodyDiv w:val="1"/>
      <w:marLeft w:val="0"/>
      <w:marRight w:val="0"/>
      <w:marTop w:val="0"/>
      <w:marBottom w:val="0"/>
      <w:divBdr>
        <w:top w:val="none" w:sz="0" w:space="0" w:color="auto"/>
        <w:left w:val="none" w:sz="0" w:space="0" w:color="auto"/>
        <w:bottom w:val="none" w:sz="0" w:space="0" w:color="auto"/>
        <w:right w:val="none" w:sz="0" w:space="0" w:color="auto"/>
      </w:divBdr>
    </w:div>
    <w:div w:id="1169639667">
      <w:bodyDiv w:val="1"/>
      <w:marLeft w:val="0"/>
      <w:marRight w:val="0"/>
      <w:marTop w:val="0"/>
      <w:marBottom w:val="0"/>
      <w:divBdr>
        <w:top w:val="none" w:sz="0" w:space="0" w:color="auto"/>
        <w:left w:val="none" w:sz="0" w:space="0" w:color="auto"/>
        <w:bottom w:val="none" w:sz="0" w:space="0" w:color="auto"/>
        <w:right w:val="none" w:sz="0" w:space="0" w:color="auto"/>
      </w:divBdr>
    </w:div>
    <w:div w:id="1265458000">
      <w:bodyDiv w:val="1"/>
      <w:marLeft w:val="0"/>
      <w:marRight w:val="0"/>
      <w:marTop w:val="0"/>
      <w:marBottom w:val="0"/>
      <w:divBdr>
        <w:top w:val="none" w:sz="0" w:space="0" w:color="auto"/>
        <w:left w:val="none" w:sz="0" w:space="0" w:color="auto"/>
        <w:bottom w:val="none" w:sz="0" w:space="0" w:color="auto"/>
        <w:right w:val="none" w:sz="0" w:space="0" w:color="auto"/>
      </w:divBdr>
    </w:div>
    <w:div w:id="1271933561">
      <w:bodyDiv w:val="1"/>
      <w:marLeft w:val="0"/>
      <w:marRight w:val="0"/>
      <w:marTop w:val="0"/>
      <w:marBottom w:val="0"/>
      <w:divBdr>
        <w:top w:val="none" w:sz="0" w:space="0" w:color="auto"/>
        <w:left w:val="none" w:sz="0" w:space="0" w:color="auto"/>
        <w:bottom w:val="none" w:sz="0" w:space="0" w:color="auto"/>
        <w:right w:val="none" w:sz="0" w:space="0" w:color="auto"/>
      </w:divBdr>
    </w:div>
    <w:div w:id="1307929528">
      <w:bodyDiv w:val="1"/>
      <w:marLeft w:val="0"/>
      <w:marRight w:val="0"/>
      <w:marTop w:val="0"/>
      <w:marBottom w:val="0"/>
      <w:divBdr>
        <w:top w:val="none" w:sz="0" w:space="0" w:color="auto"/>
        <w:left w:val="none" w:sz="0" w:space="0" w:color="auto"/>
        <w:bottom w:val="none" w:sz="0" w:space="0" w:color="auto"/>
        <w:right w:val="none" w:sz="0" w:space="0" w:color="auto"/>
      </w:divBdr>
    </w:div>
    <w:div w:id="1334186132">
      <w:bodyDiv w:val="1"/>
      <w:marLeft w:val="0"/>
      <w:marRight w:val="0"/>
      <w:marTop w:val="0"/>
      <w:marBottom w:val="0"/>
      <w:divBdr>
        <w:top w:val="none" w:sz="0" w:space="0" w:color="auto"/>
        <w:left w:val="none" w:sz="0" w:space="0" w:color="auto"/>
        <w:bottom w:val="none" w:sz="0" w:space="0" w:color="auto"/>
        <w:right w:val="none" w:sz="0" w:space="0" w:color="auto"/>
      </w:divBdr>
    </w:div>
    <w:div w:id="1402288959">
      <w:bodyDiv w:val="1"/>
      <w:marLeft w:val="0"/>
      <w:marRight w:val="0"/>
      <w:marTop w:val="0"/>
      <w:marBottom w:val="0"/>
      <w:divBdr>
        <w:top w:val="none" w:sz="0" w:space="0" w:color="auto"/>
        <w:left w:val="none" w:sz="0" w:space="0" w:color="auto"/>
        <w:bottom w:val="none" w:sz="0" w:space="0" w:color="auto"/>
        <w:right w:val="none" w:sz="0" w:space="0" w:color="auto"/>
      </w:divBdr>
    </w:div>
    <w:div w:id="1617565565">
      <w:bodyDiv w:val="1"/>
      <w:marLeft w:val="0"/>
      <w:marRight w:val="0"/>
      <w:marTop w:val="0"/>
      <w:marBottom w:val="0"/>
      <w:divBdr>
        <w:top w:val="none" w:sz="0" w:space="0" w:color="auto"/>
        <w:left w:val="none" w:sz="0" w:space="0" w:color="auto"/>
        <w:bottom w:val="none" w:sz="0" w:space="0" w:color="auto"/>
        <w:right w:val="none" w:sz="0" w:space="0" w:color="auto"/>
      </w:divBdr>
    </w:div>
    <w:div w:id="1646618597">
      <w:bodyDiv w:val="1"/>
      <w:marLeft w:val="0"/>
      <w:marRight w:val="0"/>
      <w:marTop w:val="0"/>
      <w:marBottom w:val="0"/>
      <w:divBdr>
        <w:top w:val="none" w:sz="0" w:space="0" w:color="auto"/>
        <w:left w:val="none" w:sz="0" w:space="0" w:color="auto"/>
        <w:bottom w:val="none" w:sz="0" w:space="0" w:color="auto"/>
        <w:right w:val="none" w:sz="0" w:space="0" w:color="auto"/>
      </w:divBdr>
    </w:div>
    <w:div w:id="1685789844">
      <w:bodyDiv w:val="1"/>
      <w:marLeft w:val="0"/>
      <w:marRight w:val="0"/>
      <w:marTop w:val="0"/>
      <w:marBottom w:val="0"/>
      <w:divBdr>
        <w:top w:val="none" w:sz="0" w:space="0" w:color="auto"/>
        <w:left w:val="none" w:sz="0" w:space="0" w:color="auto"/>
        <w:bottom w:val="none" w:sz="0" w:space="0" w:color="auto"/>
        <w:right w:val="none" w:sz="0" w:space="0" w:color="auto"/>
      </w:divBdr>
    </w:div>
    <w:div w:id="1817917717">
      <w:bodyDiv w:val="1"/>
      <w:marLeft w:val="0"/>
      <w:marRight w:val="0"/>
      <w:marTop w:val="0"/>
      <w:marBottom w:val="0"/>
      <w:divBdr>
        <w:top w:val="none" w:sz="0" w:space="0" w:color="auto"/>
        <w:left w:val="none" w:sz="0" w:space="0" w:color="auto"/>
        <w:bottom w:val="none" w:sz="0" w:space="0" w:color="auto"/>
        <w:right w:val="none" w:sz="0" w:space="0" w:color="auto"/>
      </w:divBdr>
    </w:div>
    <w:div w:id="1897857548">
      <w:bodyDiv w:val="1"/>
      <w:marLeft w:val="0"/>
      <w:marRight w:val="0"/>
      <w:marTop w:val="0"/>
      <w:marBottom w:val="0"/>
      <w:divBdr>
        <w:top w:val="none" w:sz="0" w:space="0" w:color="auto"/>
        <w:left w:val="none" w:sz="0" w:space="0" w:color="auto"/>
        <w:bottom w:val="none" w:sz="0" w:space="0" w:color="auto"/>
        <w:right w:val="none" w:sz="0" w:space="0" w:color="auto"/>
      </w:divBdr>
    </w:div>
    <w:div w:id="194965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6905E-6267-45A9-AEED-84FC1DBC7BD7}">
  <ds:schemaRefs>
    <ds:schemaRef ds:uri="http://schemas.microsoft.com/sharepoint/v3/contenttype/forms"/>
  </ds:schemaRefs>
</ds:datastoreItem>
</file>

<file path=customXml/itemProps2.xml><?xml version="1.0" encoding="utf-8"?>
<ds:datastoreItem xmlns:ds="http://schemas.openxmlformats.org/officeDocument/2006/customXml" ds:itemID="{F9AFAE37-F2B1-48F5-8531-7D1CAA0F9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FD890E-1F1E-4B44-97A4-DC5160427B89}">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4.xml><?xml version="1.0" encoding="utf-8"?>
<ds:datastoreItem xmlns:ds="http://schemas.openxmlformats.org/officeDocument/2006/customXml" ds:itemID="{6CEDC6C4-815D-42D4-8486-27288225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4573</CharactersWithSpaces>
  <SharedDoc>false</SharedDoc>
  <HLinks>
    <vt:vector size="240" baseType="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262192</vt:i4>
      </vt:variant>
      <vt:variant>
        <vt:i4>114</vt:i4>
      </vt:variant>
      <vt:variant>
        <vt:i4>0</vt:i4>
      </vt:variant>
      <vt:variant>
        <vt:i4>5</vt:i4>
      </vt:variant>
      <vt:variant>
        <vt:lpwstr/>
      </vt:variant>
      <vt:variant>
        <vt:lpwstr>_top</vt:lpwstr>
      </vt:variant>
      <vt:variant>
        <vt:i4>6225936</vt:i4>
      </vt:variant>
      <vt:variant>
        <vt:i4>111</vt:i4>
      </vt:variant>
      <vt:variant>
        <vt:i4>0</vt:i4>
      </vt:variant>
      <vt:variant>
        <vt:i4>5</vt:i4>
      </vt:variant>
      <vt:variant>
        <vt:lpwstr>CMS-2-004567</vt:lpwstr>
      </vt:variant>
      <vt:variant>
        <vt:lpwstr/>
      </vt:variant>
      <vt:variant>
        <vt:i4>589847</vt:i4>
      </vt:variant>
      <vt:variant>
        <vt:i4>108</vt:i4>
      </vt:variant>
      <vt:variant>
        <vt:i4>0</vt:i4>
      </vt:variant>
      <vt:variant>
        <vt:i4>5</vt:i4>
      </vt:variant>
      <vt:variant>
        <vt:lpwstr>../AppData/Local/Microsoft/Windows/Temporary Internet Files/Content.Outlook/U47JFJXQ/CMS-PCP1-025065</vt:lpwstr>
      </vt:variant>
      <vt:variant>
        <vt:lpwstr/>
      </vt:variant>
      <vt:variant>
        <vt:i4>3670142</vt:i4>
      </vt:variant>
      <vt:variant>
        <vt:i4>105</vt:i4>
      </vt:variant>
      <vt:variant>
        <vt:i4>0</vt:i4>
      </vt:variant>
      <vt:variant>
        <vt:i4>5</vt:i4>
      </vt:variant>
      <vt:variant>
        <vt:lpwstr>C:\Users\c046085\Desktop\David\Native Docs\TSRC-PROD-002390</vt:lpwstr>
      </vt:variant>
      <vt:variant>
        <vt:lpwstr/>
      </vt:variant>
      <vt:variant>
        <vt:i4>1376262</vt:i4>
      </vt:variant>
      <vt:variant>
        <vt:i4>102</vt:i4>
      </vt:variant>
      <vt:variant>
        <vt:i4>0</vt:i4>
      </vt:variant>
      <vt:variant>
        <vt:i4>5</vt:i4>
      </vt:variant>
      <vt:variant>
        <vt:lpwstr>TSRC-PROD-002394</vt:lpwstr>
      </vt:variant>
      <vt:variant>
        <vt:lpwstr/>
      </vt:variant>
      <vt:variant>
        <vt:i4>262192</vt:i4>
      </vt:variant>
      <vt:variant>
        <vt:i4>99</vt:i4>
      </vt:variant>
      <vt:variant>
        <vt:i4>0</vt:i4>
      </vt:variant>
      <vt:variant>
        <vt:i4>5</vt:i4>
      </vt:variant>
      <vt:variant>
        <vt:lpwstr/>
      </vt:variant>
      <vt:variant>
        <vt:lpwstr>_top</vt:lpwstr>
      </vt:variant>
      <vt:variant>
        <vt:i4>7405647</vt:i4>
      </vt:variant>
      <vt:variant>
        <vt:i4>96</vt:i4>
      </vt:variant>
      <vt:variant>
        <vt:i4>0</vt:i4>
      </vt:variant>
      <vt:variant>
        <vt:i4>5</vt:i4>
      </vt:variant>
      <vt:variant>
        <vt:lpwstr/>
      </vt:variant>
      <vt:variant>
        <vt:lpwstr>_No_Eligibility_Record</vt:lpwstr>
      </vt:variant>
      <vt:variant>
        <vt:i4>262192</vt:i4>
      </vt:variant>
      <vt:variant>
        <vt:i4>93</vt:i4>
      </vt:variant>
      <vt:variant>
        <vt:i4>0</vt:i4>
      </vt:variant>
      <vt:variant>
        <vt:i4>5</vt:i4>
      </vt:variant>
      <vt:variant>
        <vt:lpwstr/>
      </vt:variant>
      <vt:variant>
        <vt:lpwstr>_top</vt:lpwstr>
      </vt:variant>
      <vt:variant>
        <vt:i4>262192</vt:i4>
      </vt:variant>
      <vt:variant>
        <vt:i4>90</vt:i4>
      </vt:variant>
      <vt:variant>
        <vt:i4>0</vt:i4>
      </vt:variant>
      <vt:variant>
        <vt:i4>5</vt:i4>
      </vt:variant>
      <vt:variant>
        <vt:lpwstr/>
      </vt:variant>
      <vt:variant>
        <vt:lpwstr>_top</vt:lpwstr>
      </vt:variant>
      <vt:variant>
        <vt:i4>7405647</vt:i4>
      </vt:variant>
      <vt:variant>
        <vt:i4>87</vt:i4>
      </vt:variant>
      <vt:variant>
        <vt:i4>0</vt:i4>
      </vt:variant>
      <vt:variant>
        <vt:i4>5</vt:i4>
      </vt:variant>
      <vt:variant>
        <vt:lpwstr/>
      </vt:variant>
      <vt:variant>
        <vt:lpwstr>_No_Eligibility_Record</vt:lpwstr>
      </vt:variant>
      <vt:variant>
        <vt:i4>7405647</vt:i4>
      </vt:variant>
      <vt:variant>
        <vt:i4>84</vt:i4>
      </vt:variant>
      <vt:variant>
        <vt:i4>0</vt:i4>
      </vt:variant>
      <vt:variant>
        <vt:i4>5</vt:i4>
      </vt:variant>
      <vt:variant>
        <vt:lpwstr/>
      </vt:variant>
      <vt:variant>
        <vt:lpwstr>_No_Eligibility_Record</vt:lpwstr>
      </vt:variant>
      <vt:variant>
        <vt:i4>7405647</vt:i4>
      </vt:variant>
      <vt:variant>
        <vt:i4>81</vt:i4>
      </vt:variant>
      <vt:variant>
        <vt:i4>0</vt:i4>
      </vt:variant>
      <vt:variant>
        <vt:i4>5</vt:i4>
      </vt:variant>
      <vt:variant>
        <vt:lpwstr/>
      </vt:variant>
      <vt:variant>
        <vt:lpwstr>_No_Eligibility_Record</vt:lpwstr>
      </vt:variant>
      <vt:variant>
        <vt:i4>5636120</vt:i4>
      </vt:variant>
      <vt:variant>
        <vt:i4>78</vt:i4>
      </vt:variant>
      <vt:variant>
        <vt:i4>0</vt:i4>
      </vt:variant>
      <vt:variant>
        <vt:i4>5</vt:i4>
      </vt:variant>
      <vt:variant>
        <vt:lpwstr>CMS-2-028920</vt:lpwstr>
      </vt:variant>
      <vt:variant>
        <vt:lpwstr/>
      </vt:variant>
      <vt:variant>
        <vt:i4>5242896</vt:i4>
      </vt:variant>
      <vt:variant>
        <vt:i4>75</vt:i4>
      </vt:variant>
      <vt:variant>
        <vt:i4>0</vt:i4>
      </vt:variant>
      <vt:variant>
        <vt:i4>5</vt:i4>
      </vt:variant>
      <vt:variant>
        <vt:lpwstr>CMS-2-004568</vt:lpwstr>
      </vt:variant>
      <vt:variant>
        <vt:lpwstr/>
      </vt:variant>
      <vt:variant>
        <vt:i4>3538989</vt:i4>
      </vt:variant>
      <vt:variant>
        <vt:i4>72</vt:i4>
      </vt:variant>
      <vt:variant>
        <vt:i4>0</vt:i4>
      </vt:variant>
      <vt:variant>
        <vt:i4>5</vt:i4>
      </vt:variant>
      <vt:variant>
        <vt:lpwstr>CMS-PRD1-076334</vt:lpwstr>
      </vt:variant>
      <vt:variant>
        <vt:lpwstr/>
      </vt:variant>
      <vt:variant>
        <vt:i4>262192</vt:i4>
      </vt:variant>
      <vt:variant>
        <vt:i4>69</vt:i4>
      </vt:variant>
      <vt:variant>
        <vt:i4>0</vt:i4>
      </vt:variant>
      <vt:variant>
        <vt:i4>5</vt:i4>
      </vt:variant>
      <vt:variant>
        <vt:lpwstr/>
      </vt:variant>
      <vt:variant>
        <vt:lpwstr>_top</vt:lpwstr>
      </vt:variant>
      <vt:variant>
        <vt:i4>1572959</vt:i4>
      </vt:variant>
      <vt:variant>
        <vt:i4>66</vt:i4>
      </vt:variant>
      <vt:variant>
        <vt:i4>0</vt:i4>
      </vt:variant>
      <vt:variant>
        <vt:i4>5</vt:i4>
      </vt:variant>
      <vt:variant>
        <vt:lpwstr>../AppData/Local/Microsoft/Windows/Temporary Internet Files/Content.Outlook/U47JFJXQ/CMS-2-010590</vt:lpwstr>
      </vt:variant>
      <vt:variant>
        <vt:lpwstr/>
      </vt:variant>
      <vt:variant>
        <vt:i4>1572959</vt:i4>
      </vt:variant>
      <vt:variant>
        <vt:i4>63</vt:i4>
      </vt:variant>
      <vt:variant>
        <vt:i4>0</vt:i4>
      </vt:variant>
      <vt:variant>
        <vt:i4>5</vt:i4>
      </vt:variant>
      <vt:variant>
        <vt:lpwstr>../AppData/Local/Microsoft/Windows/Temporary Internet Files/Content.Outlook/U47JFJXQ/CMS-2-010590</vt:lpwstr>
      </vt:variant>
      <vt:variant>
        <vt:lpwstr/>
      </vt:variant>
      <vt:variant>
        <vt:i4>7798835</vt:i4>
      </vt:variant>
      <vt:variant>
        <vt:i4>60</vt:i4>
      </vt:variant>
      <vt:variant>
        <vt:i4>0</vt:i4>
      </vt:variant>
      <vt:variant>
        <vt:i4>5</vt:i4>
      </vt:variant>
      <vt:variant>
        <vt:lpwstr/>
      </vt:variant>
      <vt:variant>
        <vt:lpwstr>_Cardholder-Based_Eligibility</vt:lpwstr>
      </vt:variant>
      <vt:variant>
        <vt:i4>1376306</vt:i4>
      </vt:variant>
      <vt:variant>
        <vt:i4>57</vt:i4>
      </vt:variant>
      <vt:variant>
        <vt:i4>0</vt:i4>
      </vt:variant>
      <vt:variant>
        <vt:i4>5</vt:i4>
      </vt:variant>
      <vt:variant>
        <vt:lpwstr/>
      </vt:variant>
      <vt:variant>
        <vt:lpwstr>_Troubleshooting</vt:lpwstr>
      </vt:variant>
      <vt:variant>
        <vt:i4>1245275</vt:i4>
      </vt:variant>
      <vt:variant>
        <vt:i4>54</vt:i4>
      </vt:variant>
      <vt:variant>
        <vt:i4>0</vt:i4>
      </vt:variant>
      <vt:variant>
        <vt:i4>5</vt:i4>
      </vt:variant>
      <vt:variant>
        <vt:lpwstr>../AppData/Local/Microsoft/Windows/Temporary Internet Files/Content.Outlook/U47JFJXQ/CMS-2-027257</vt:lpwstr>
      </vt:variant>
      <vt:variant>
        <vt:lpwstr/>
      </vt:variant>
      <vt:variant>
        <vt:i4>7798835</vt:i4>
      </vt:variant>
      <vt:variant>
        <vt:i4>51</vt:i4>
      </vt:variant>
      <vt:variant>
        <vt:i4>0</vt:i4>
      </vt:variant>
      <vt:variant>
        <vt:i4>5</vt:i4>
      </vt:variant>
      <vt:variant>
        <vt:lpwstr/>
      </vt:variant>
      <vt:variant>
        <vt:lpwstr>_Cardholder-Based_Eligibility</vt:lpwstr>
      </vt:variant>
      <vt:variant>
        <vt:i4>2752549</vt:i4>
      </vt:variant>
      <vt:variant>
        <vt:i4>48</vt:i4>
      </vt:variant>
      <vt:variant>
        <vt:i4>0</vt:i4>
      </vt:variant>
      <vt:variant>
        <vt:i4>5</vt:i4>
      </vt:variant>
      <vt:variant>
        <vt:lpwstr/>
      </vt:variant>
      <vt:variant>
        <vt:lpwstr>_Standard_Eligibility</vt:lpwstr>
      </vt:variant>
      <vt:variant>
        <vt:i4>6291574</vt:i4>
      </vt:variant>
      <vt:variant>
        <vt:i4>45</vt:i4>
      </vt:variant>
      <vt:variant>
        <vt:i4>0</vt:i4>
      </vt:variant>
      <vt:variant>
        <vt:i4>5</vt:i4>
      </vt:variant>
      <vt:variant>
        <vt:lpwstr/>
      </vt:variant>
      <vt:variant>
        <vt:lpwstr>_COBRA_coverage</vt:lpwstr>
      </vt:variant>
      <vt:variant>
        <vt:i4>262192</vt:i4>
      </vt:variant>
      <vt:variant>
        <vt:i4>42</vt:i4>
      </vt:variant>
      <vt:variant>
        <vt:i4>0</vt:i4>
      </vt:variant>
      <vt:variant>
        <vt:i4>5</vt:i4>
      </vt:variant>
      <vt:variant>
        <vt:lpwstr/>
      </vt:variant>
      <vt:variant>
        <vt:lpwstr>_top</vt:lpwstr>
      </vt:variant>
      <vt:variant>
        <vt:i4>6225936</vt:i4>
      </vt:variant>
      <vt:variant>
        <vt:i4>39</vt:i4>
      </vt:variant>
      <vt:variant>
        <vt:i4>0</vt:i4>
      </vt:variant>
      <vt:variant>
        <vt:i4>5</vt:i4>
      </vt:variant>
      <vt:variant>
        <vt:lpwstr>CMS-2-004567</vt:lpwstr>
      </vt:variant>
      <vt:variant>
        <vt:lpwstr/>
      </vt:variant>
      <vt:variant>
        <vt:i4>589841</vt:i4>
      </vt:variant>
      <vt:variant>
        <vt:i4>36</vt:i4>
      </vt:variant>
      <vt:variant>
        <vt:i4>0</vt:i4>
      </vt:variant>
      <vt:variant>
        <vt:i4>5</vt:i4>
      </vt:variant>
      <vt:variant>
        <vt:lpwstr>../AppData/Local/Microsoft/Windows/Temporary Internet Files/Content.Outlook/U47JFJXQ/CMS-PCP1-022376</vt:lpwstr>
      </vt:variant>
      <vt:variant>
        <vt:lpwstr/>
      </vt:variant>
      <vt:variant>
        <vt:i4>1376306</vt:i4>
      </vt:variant>
      <vt:variant>
        <vt:i4>33</vt:i4>
      </vt:variant>
      <vt:variant>
        <vt:i4>0</vt:i4>
      </vt:variant>
      <vt:variant>
        <vt:i4>5</vt:i4>
      </vt:variant>
      <vt:variant>
        <vt:lpwstr/>
      </vt:variant>
      <vt:variant>
        <vt:lpwstr>_Troubleshooting</vt:lpwstr>
      </vt:variant>
      <vt:variant>
        <vt:i4>2424887</vt:i4>
      </vt:variant>
      <vt:variant>
        <vt:i4>30</vt:i4>
      </vt:variant>
      <vt:variant>
        <vt:i4>0</vt:i4>
      </vt:variant>
      <vt:variant>
        <vt:i4>5</vt:i4>
      </vt:variant>
      <vt:variant>
        <vt:lpwstr>https://policy.corp.cvscaremark.com/pnp/faces/DocRenderer?documentId=CALL-0049</vt:lpwstr>
      </vt:variant>
      <vt:variant>
        <vt:lpwstr/>
      </vt:variant>
      <vt:variant>
        <vt:i4>1310814</vt:i4>
      </vt:variant>
      <vt:variant>
        <vt:i4>27</vt:i4>
      </vt:variant>
      <vt:variant>
        <vt:i4>0</vt:i4>
      </vt:variant>
      <vt:variant>
        <vt:i4>5</vt:i4>
      </vt:variant>
      <vt:variant>
        <vt:lpwstr>../AppData/Local/Microsoft/Windows/Temporary Internet Files/Content.Outlook/U47JFJXQ/CMS-2-017428</vt:lpwstr>
      </vt:variant>
      <vt:variant>
        <vt:lpwstr/>
      </vt:variant>
      <vt:variant>
        <vt:i4>1835061</vt:i4>
      </vt:variant>
      <vt:variant>
        <vt:i4>23</vt:i4>
      </vt:variant>
      <vt:variant>
        <vt:i4>0</vt:i4>
      </vt:variant>
      <vt:variant>
        <vt:i4>5</vt:i4>
      </vt:variant>
      <vt:variant>
        <vt:lpwstr/>
      </vt:variant>
      <vt:variant>
        <vt:lpwstr>_Toc522368425</vt:lpwstr>
      </vt:variant>
      <vt:variant>
        <vt:i4>1835061</vt:i4>
      </vt:variant>
      <vt:variant>
        <vt:i4>20</vt:i4>
      </vt:variant>
      <vt:variant>
        <vt:i4>0</vt:i4>
      </vt:variant>
      <vt:variant>
        <vt:i4>5</vt:i4>
      </vt:variant>
      <vt:variant>
        <vt:lpwstr/>
      </vt:variant>
      <vt:variant>
        <vt:lpwstr>_Toc522368424</vt:lpwstr>
      </vt:variant>
      <vt:variant>
        <vt:i4>1835061</vt:i4>
      </vt:variant>
      <vt:variant>
        <vt:i4>17</vt:i4>
      </vt:variant>
      <vt:variant>
        <vt:i4>0</vt:i4>
      </vt:variant>
      <vt:variant>
        <vt:i4>5</vt:i4>
      </vt:variant>
      <vt:variant>
        <vt:lpwstr/>
      </vt:variant>
      <vt:variant>
        <vt:lpwstr>_Toc522368423</vt:lpwstr>
      </vt:variant>
      <vt:variant>
        <vt:i4>1835061</vt:i4>
      </vt:variant>
      <vt:variant>
        <vt:i4>14</vt:i4>
      </vt:variant>
      <vt:variant>
        <vt:i4>0</vt:i4>
      </vt:variant>
      <vt:variant>
        <vt:i4>5</vt:i4>
      </vt:variant>
      <vt:variant>
        <vt:lpwstr/>
      </vt:variant>
      <vt:variant>
        <vt:lpwstr>_Toc522368422</vt:lpwstr>
      </vt:variant>
      <vt:variant>
        <vt:i4>1835061</vt:i4>
      </vt:variant>
      <vt:variant>
        <vt:i4>11</vt:i4>
      </vt:variant>
      <vt:variant>
        <vt:i4>0</vt:i4>
      </vt:variant>
      <vt:variant>
        <vt:i4>5</vt:i4>
      </vt:variant>
      <vt:variant>
        <vt:lpwstr/>
      </vt:variant>
      <vt:variant>
        <vt:lpwstr>_Toc522368421</vt:lpwstr>
      </vt:variant>
      <vt:variant>
        <vt:i4>1835061</vt:i4>
      </vt:variant>
      <vt:variant>
        <vt:i4>8</vt:i4>
      </vt:variant>
      <vt:variant>
        <vt:i4>0</vt:i4>
      </vt:variant>
      <vt:variant>
        <vt:i4>5</vt:i4>
      </vt:variant>
      <vt:variant>
        <vt:lpwstr/>
      </vt:variant>
      <vt:variant>
        <vt:lpwstr>_Toc522368420</vt:lpwstr>
      </vt:variant>
      <vt:variant>
        <vt:i4>2031669</vt:i4>
      </vt:variant>
      <vt:variant>
        <vt:i4>5</vt:i4>
      </vt:variant>
      <vt:variant>
        <vt:i4>0</vt:i4>
      </vt:variant>
      <vt:variant>
        <vt:i4>5</vt:i4>
      </vt:variant>
      <vt:variant>
        <vt:lpwstr/>
      </vt:variant>
      <vt:variant>
        <vt:lpwstr>_Toc522368419</vt:lpwstr>
      </vt:variant>
      <vt:variant>
        <vt:i4>2031669</vt:i4>
      </vt:variant>
      <vt:variant>
        <vt:i4>2</vt:i4>
      </vt:variant>
      <vt:variant>
        <vt:i4>0</vt:i4>
      </vt:variant>
      <vt:variant>
        <vt:i4>5</vt:i4>
      </vt:variant>
      <vt:variant>
        <vt:lpwstr/>
      </vt:variant>
      <vt:variant>
        <vt:lpwstr>_Toc522368418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Mcgrath, Caitlin</cp:lastModifiedBy>
  <cp:revision>4</cp:revision>
  <cp:lastPrinted>2008-03-18T15:53:00Z</cp:lastPrinted>
  <dcterms:created xsi:type="dcterms:W3CDTF">2024-06-25T13:24:00Z</dcterms:created>
  <dcterms:modified xsi:type="dcterms:W3CDTF">2024-06-25T13:25:00Z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2021-10-14T21:14:25Z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332a05cf-ae17-4de8-afa0-f670e2ac5d7e</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