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BE75" w14:textId="24978696" w:rsidR="006B35F8" w:rsidRDefault="007B103F" w:rsidP="6AF15926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1"/>
      <w:bookmarkEnd w:id="0"/>
      <w:r w:rsidRPr="6AF15926">
        <w:rPr>
          <w:rFonts w:ascii="Verdana" w:hAnsi="Verdana"/>
          <w:color w:val="auto"/>
          <w:sz w:val="36"/>
          <w:szCs w:val="36"/>
        </w:rPr>
        <w:t xml:space="preserve">PeopleSafe - </w:t>
      </w:r>
      <w:r w:rsidR="00AB0FC6" w:rsidRPr="6AF15926">
        <w:rPr>
          <w:rFonts w:ascii="Verdana" w:hAnsi="Verdana"/>
          <w:color w:val="auto"/>
          <w:sz w:val="36"/>
          <w:szCs w:val="36"/>
        </w:rPr>
        <w:t>Cumulative Refills</w:t>
      </w:r>
      <w:r w:rsidR="00A84CED" w:rsidRPr="6AF15926">
        <w:rPr>
          <w:rFonts w:ascii="Verdana" w:hAnsi="Verdana"/>
          <w:color w:val="auto"/>
          <w:sz w:val="36"/>
          <w:szCs w:val="36"/>
        </w:rPr>
        <w:t xml:space="preserve"> at the Refill Drug Level</w:t>
      </w:r>
      <w:r w:rsidR="00AB0FC6" w:rsidRPr="6AF15926">
        <w:rPr>
          <w:rFonts w:ascii="Verdana" w:hAnsi="Verdana"/>
          <w:color w:val="auto"/>
          <w:sz w:val="36"/>
          <w:szCs w:val="36"/>
        </w:rPr>
        <w:t xml:space="preserve"> / DEA Class Drugs</w:t>
      </w:r>
      <w:r w:rsidR="00CD5FC7" w:rsidRPr="6AF15926">
        <w:rPr>
          <w:rFonts w:ascii="Verdana" w:hAnsi="Verdana"/>
          <w:color w:val="auto"/>
          <w:sz w:val="36"/>
          <w:szCs w:val="36"/>
        </w:rPr>
        <w:t xml:space="preserve"> </w:t>
      </w:r>
    </w:p>
    <w:bookmarkEnd w:id="1"/>
    <w:p w14:paraId="2C1B033B" w14:textId="77777777" w:rsidR="004A5BF3" w:rsidRDefault="004A5BF3">
      <w:pPr>
        <w:pStyle w:val="TOC2"/>
        <w:rPr>
          <w:rFonts w:cs="Arial"/>
          <w:b/>
          <w:color w:val="FF9900"/>
          <w:sz w:val="32"/>
          <w:szCs w:val="20"/>
        </w:rPr>
      </w:pPr>
    </w:p>
    <w:p w14:paraId="787D24AD" w14:textId="77777777" w:rsidR="004A5BF3" w:rsidRDefault="004A5BF3">
      <w:pPr>
        <w:pStyle w:val="TOC2"/>
        <w:rPr>
          <w:rFonts w:cs="Arial"/>
          <w:b/>
          <w:color w:val="FF9900"/>
          <w:sz w:val="32"/>
          <w:szCs w:val="20"/>
        </w:rPr>
      </w:pPr>
    </w:p>
    <w:p w14:paraId="200BB70A" w14:textId="2357C068" w:rsidR="004A5BF3" w:rsidRDefault="00926F26" w:rsidP="008C3D29">
      <w:pPr>
        <w:rPr>
          <w:rFonts w:ascii="Calibri" w:hAnsi="Calibri"/>
          <w:noProof/>
          <w:sz w:val="22"/>
          <w:szCs w:val="22"/>
        </w:rPr>
      </w:pPr>
      <w:r>
        <w:rPr>
          <w:rFonts w:cs="Arial"/>
          <w:b/>
          <w:color w:val="FF9900"/>
          <w:sz w:val="32"/>
          <w:szCs w:val="20"/>
        </w:rPr>
        <w:fldChar w:fldCharType="begin"/>
      </w:r>
      <w:r>
        <w:instrText xml:space="preserve"> TOC \o "2-2" \n \p " " \h \z \u </w:instrText>
      </w:r>
      <w:r>
        <w:rPr>
          <w:rFonts w:cs="Arial"/>
          <w:b/>
          <w:color w:val="FF9900"/>
          <w:sz w:val="32"/>
          <w:szCs w:val="20"/>
        </w:rPr>
        <w:fldChar w:fldCharType="separate"/>
      </w:r>
      <w:hyperlink w:anchor="_Toc132034205" w:history="1">
        <w:r w:rsidR="004A5BF3" w:rsidRPr="00D8522C">
          <w:rPr>
            <w:rStyle w:val="Hyperlink"/>
            <w:noProof/>
          </w:rPr>
          <w:t>Edit PBO (Plan Ben</w:t>
        </w:r>
        <w:r w:rsidR="004A5BF3" w:rsidRPr="00D8522C">
          <w:rPr>
            <w:rStyle w:val="Hyperlink"/>
            <w:noProof/>
          </w:rPr>
          <w:t>e</w:t>
        </w:r>
        <w:r w:rsidR="004A5BF3" w:rsidRPr="00D8522C">
          <w:rPr>
            <w:rStyle w:val="Hyperlink"/>
            <w:noProof/>
          </w:rPr>
          <w:t>fit Override) screen</w:t>
        </w:r>
      </w:hyperlink>
    </w:p>
    <w:p w14:paraId="7C79AE54" w14:textId="7BC5943C" w:rsidR="004A5BF3" w:rsidRDefault="00904D6F" w:rsidP="008C3D29">
      <w:pPr>
        <w:rPr>
          <w:rFonts w:ascii="Calibri" w:hAnsi="Calibri"/>
          <w:noProof/>
          <w:sz w:val="22"/>
          <w:szCs w:val="22"/>
        </w:rPr>
      </w:pPr>
      <w:hyperlink w:anchor="_Toc132034206" w:history="1">
        <w:r w:rsidR="004A5BF3" w:rsidRPr="00D8522C">
          <w:rPr>
            <w:rStyle w:val="Hyperlink"/>
            <w:noProof/>
          </w:rPr>
          <w:t>Related Docu</w:t>
        </w:r>
        <w:r w:rsidR="004A5BF3" w:rsidRPr="00D8522C">
          <w:rPr>
            <w:rStyle w:val="Hyperlink"/>
            <w:noProof/>
          </w:rPr>
          <w:t>m</w:t>
        </w:r>
        <w:r w:rsidR="004A5BF3" w:rsidRPr="00D8522C">
          <w:rPr>
            <w:rStyle w:val="Hyperlink"/>
            <w:noProof/>
          </w:rPr>
          <w:t>ents</w:t>
        </w:r>
      </w:hyperlink>
    </w:p>
    <w:p w14:paraId="2234953C" w14:textId="6321D974" w:rsidR="00D22783" w:rsidRDefault="00926F26" w:rsidP="008C3D29">
      <w:pPr>
        <w:rPr>
          <w:color w:val="000000"/>
        </w:rPr>
      </w:pPr>
      <w:r>
        <w:fldChar w:fldCharType="end"/>
      </w:r>
    </w:p>
    <w:p w14:paraId="564DD738" w14:textId="77777777" w:rsidR="00177276" w:rsidRDefault="00177276" w:rsidP="00177276"/>
    <w:p w14:paraId="546DF7B5" w14:textId="7688AF1B" w:rsidR="00FC7C80" w:rsidRDefault="006B35F8" w:rsidP="006B35F8">
      <w:r w:rsidRPr="006B35F8">
        <w:rPr>
          <w:b/>
          <w:bCs/>
          <w:color w:val="000000"/>
        </w:rPr>
        <w:t>Description:</w:t>
      </w:r>
      <w:r>
        <w:rPr>
          <w:color w:val="000000"/>
        </w:rPr>
        <w:t xml:space="preserve">  </w:t>
      </w:r>
      <w:r w:rsidR="006B0502">
        <w:rPr>
          <w:color w:val="000000"/>
        </w:rPr>
        <w:t>D</w:t>
      </w:r>
      <w:r>
        <w:rPr>
          <w:color w:val="000000"/>
        </w:rPr>
        <w:t xml:space="preserve">etailed Edit PBO screen information including </w:t>
      </w:r>
      <w:r>
        <w:t xml:space="preserve">the </w:t>
      </w:r>
      <w:r w:rsidR="00AB0FC6" w:rsidRPr="00547E4C">
        <w:t>Cumulative Refill fields</w:t>
      </w:r>
      <w:r w:rsidR="00AB0FC6">
        <w:t xml:space="preserve"> for DEA Class Drugs for the </w:t>
      </w:r>
      <w:r>
        <w:t xml:space="preserve">opted in </w:t>
      </w:r>
      <w:r w:rsidR="00FC7C80">
        <w:t xml:space="preserve">clients. </w:t>
      </w:r>
    </w:p>
    <w:p w14:paraId="357468BB" w14:textId="77777777" w:rsidR="006B0502" w:rsidRDefault="006B0502" w:rsidP="006B35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7C80" w14:paraId="2D929763" w14:textId="77777777" w:rsidTr="00192D47">
        <w:tc>
          <w:tcPr>
            <w:tcW w:w="5000" w:type="pct"/>
            <w:shd w:val="clear" w:color="auto" w:fill="C0C0C0"/>
          </w:tcPr>
          <w:p w14:paraId="19C4CA53" w14:textId="36464FEF" w:rsidR="00FC7C80" w:rsidRDefault="00FC7C80" w:rsidP="006B35F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32034205"/>
            <w:r>
              <w:rPr>
                <w:rFonts w:ascii="Verdana" w:hAnsi="Verdana"/>
                <w:i w:val="0"/>
                <w:iCs w:val="0"/>
              </w:rPr>
              <w:t>Edit PBO</w:t>
            </w:r>
            <w:r w:rsidR="004A5BF3">
              <w:rPr>
                <w:rFonts w:ascii="Verdana" w:hAnsi="Verdana"/>
                <w:i w:val="0"/>
                <w:iCs w:val="0"/>
              </w:rPr>
              <w:t xml:space="preserve"> (Plan Benefit Override)</w:t>
            </w:r>
            <w:r>
              <w:rPr>
                <w:rFonts w:ascii="Verdana" w:hAnsi="Verdana"/>
                <w:i w:val="0"/>
                <w:iCs w:val="0"/>
              </w:rPr>
              <w:t xml:space="preserve"> screen</w:t>
            </w:r>
            <w:bookmarkEnd w:id="2"/>
          </w:p>
        </w:tc>
      </w:tr>
    </w:tbl>
    <w:p w14:paraId="6BC68482" w14:textId="70F08214" w:rsidR="00AB0FC6" w:rsidRPr="00547E4C" w:rsidRDefault="006B35F8" w:rsidP="006B35F8">
      <w:r>
        <w:t>Th</w:t>
      </w:r>
      <w:r w:rsidR="00E94261">
        <w:t>ere</w:t>
      </w:r>
      <w:r>
        <w:t xml:space="preserve"> is</w:t>
      </w:r>
      <w:r w:rsidRPr="00547E4C">
        <w:t xml:space="preserve"> a requirement to allow DEA </w:t>
      </w:r>
      <w:r w:rsidR="006B0502">
        <w:t xml:space="preserve">(Drug Enforcement Administration) </w:t>
      </w:r>
      <w:r w:rsidRPr="00547E4C">
        <w:t>class drugs to have different cumulative refill threshold than all other drugs</w:t>
      </w:r>
      <w:r w:rsidR="00904D6F" w:rsidRPr="00547E4C">
        <w:t xml:space="preserve">. </w:t>
      </w:r>
    </w:p>
    <w:p w14:paraId="3B6B0A19" w14:textId="77777777" w:rsidR="006B35F8" w:rsidRDefault="006B35F8" w:rsidP="006B35F8"/>
    <w:p w14:paraId="6FC8DFF3" w14:textId="6FE69EAD" w:rsidR="00FC7C80" w:rsidRPr="00547E4C" w:rsidRDefault="00DA3772" w:rsidP="006B35F8">
      <w:pPr>
        <w:jc w:val="center"/>
      </w:pPr>
      <w:r>
        <w:rPr>
          <w:noProof/>
        </w:rPr>
        <w:drawing>
          <wp:inline distT="0" distB="0" distL="0" distR="0" wp14:anchorId="4658A7C9" wp14:editId="3AD747B4">
            <wp:extent cx="6400800" cy="3019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5056" w14:textId="7D0071AF" w:rsidR="00FC7C80" w:rsidRDefault="006B35F8" w:rsidP="00FC7C80">
      <w:pPr>
        <w:jc w:val="center"/>
        <w:rPr>
          <w:b/>
        </w:rPr>
      </w:pPr>
      <w:r>
        <w:rPr>
          <w:b/>
        </w:rPr>
        <w:t xml:space="preserve"> </w:t>
      </w:r>
      <w:r w:rsidR="00FC7C80" w:rsidRPr="00547E4C">
        <w:rPr>
          <w:b/>
        </w:rPr>
        <w:t xml:space="preserve"> </w:t>
      </w:r>
      <w:r w:rsidR="00FC7C80">
        <w:rPr>
          <w:b/>
        </w:rPr>
        <w:t xml:space="preserve"> </w:t>
      </w:r>
      <w:r>
        <w:rPr>
          <w:b/>
        </w:rPr>
        <w:t xml:space="preserve"> </w:t>
      </w:r>
      <w:r w:rsidR="00FC7C80" w:rsidRPr="00547E4C">
        <w:rPr>
          <w:b/>
        </w:rPr>
        <w:t xml:space="preserve"> </w:t>
      </w:r>
    </w:p>
    <w:p w14:paraId="3FCAABD0" w14:textId="77777777" w:rsidR="00FC7C80" w:rsidRDefault="00FC7C80" w:rsidP="00FC7C80">
      <w:pPr>
        <w:jc w:val="center"/>
      </w:pPr>
    </w:p>
    <w:p w14:paraId="5D2E29B8" w14:textId="35F6B29B" w:rsidR="00681E65" w:rsidRDefault="00DA3772" w:rsidP="00AB0FC6">
      <w:r>
        <w:rPr>
          <w:noProof/>
        </w:rPr>
        <w:drawing>
          <wp:inline distT="0" distB="0" distL="0" distR="0" wp14:anchorId="2CA35029" wp14:editId="64A20069">
            <wp:extent cx="238125" cy="209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E65">
        <w:t xml:space="preserve"> </w:t>
      </w:r>
      <w:r w:rsidR="00FC7C80">
        <w:rPr>
          <w:b/>
        </w:rPr>
        <w:t>V</w:t>
      </w:r>
      <w:r w:rsidR="00681E65" w:rsidRPr="00681E65">
        <w:rPr>
          <w:b/>
        </w:rPr>
        <w:t>iew only</w:t>
      </w:r>
      <w:r w:rsidR="00FC7C80">
        <w:rPr>
          <w:b/>
        </w:rPr>
        <w:t xml:space="preserve"> access</w:t>
      </w:r>
      <w:r w:rsidR="00681E65">
        <w:t>.</w:t>
      </w:r>
    </w:p>
    <w:p w14:paraId="0A765E6F" w14:textId="550F0B1A" w:rsidR="006B35F8" w:rsidRDefault="006B35F8" w:rsidP="006B35F8">
      <w:r w:rsidRPr="00547E4C">
        <w:t xml:space="preserve">The following </w:t>
      </w:r>
      <w:r>
        <w:t>f</w:t>
      </w:r>
      <w:r w:rsidRPr="00547E4C">
        <w:t xml:space="preserve">ields </w:t>
      </w:r>
      <w:r>
        <w:t xml:space="preserve">are in </w:t>
      </w:r>
      <w:r w:rsidRPr="00547E4C">
        <w:t>the Edit PBO screen</w:t>
      </w:r>
      <w:r w:rsidR="00904D6F" w:rsidRPr="00547E4C">
        <w:t>.</w:t>
      </w:r>
      <w:r w:rsidR="00904D6F">
        <w:t xml:space="preserve"> </w:t>
      </w:r>
    </w:p>
    <w:p w14:paraId="4F036BE8" w14:textId="77777777" w:rsidR="00681E65" w:rsidRPr="00547E4C" w:rsidRDefault="00681E65" w:rsidP="00AB0FC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2325"/>
      </w:tblGrid>
      <w:tr w:rsidR="005C1135" w:rsidRPr="005C1135" w14:paraId="02A132FE" w14:textId="77777777" w:rsidTr="003075DA">
        <w:tc>
          <w:tcPr>
            <w:tcW w:w="1714" w:type="pct"/>
            <w:shd w:val="clear" w:color="auto" w:fill="D9D9D9"/>
          </w:tcPr>
          <w:p w14:paraId="514F8AFB" w14:textId="77777777" w:rsidR="00AB0FC6" w:rsidRPr="005C1135" w:rsidRDefault="00AB0FC6" w:rsidP="006B35F8">
            <w:pPr>
              <w:jc w:val="center"/>
              <w:rPr>
                <w:b/>
              </w:rPr>
            </w:pPr>
            <w:r w:rsidRPr="005C1135">
              <w:rPr>
                <w:b/>
              </w:rPr>
              <w:t>Fields</w:t>
            </w:r>
          </w:p>
        </w:tc>
        <w:tc>
          <w:tcPr>
            <w:tcW w:w="3286" w:type="pct"/>
            <w:shd w:val="clear" w:color="auto" w:fill="D9D9D9"/>
          </w:tcPr>
          <w:p w14:paraId="7393A801" w14:textId="77777777" w:rsidR="00AB0FC6" w:rsidRPr="005C1135" w:rsidRDefault="00AB0FC6" w:rsidP="006B35F8">
            <w:pPr>
              <w:jc w:val="center"/>
              <w:rPr>
                <w:b/>
              </w:rPr>
            </w:pPr>
            <w:r w:rsidRPr="005C1135">
              <w:rPr>
                <w:b/>
              </w:rPr>
              <w:t>Information</w:t>
            </w:r>
          </w:p>
        </w:tc>
      </w:tr>
      <w:tr w:rsidR="00AB0FC6" w:rsidRPr="005C1135" w14:paraId="1C5AD342" w14:textId="77777777" w:rsidTr="003075DA">
        <w:tc>
          <w:tcPr>
            <w:tcW w:w="1714" w:type="pct"/>
            <w:shd w:val="clear" w:color="auto" w:fill="auto"/>
          </w:tcPr>
          <w:p w14:paraId="7D2DDADD" w14:textId="77777777" w:rsidR="00AB0FC6" w:rsidRPr="005C1135" w:rsidRDefault="00AB0FC6" w:rsidP="006B35F8">
            <w:r w:rsidRPr="005C1135">
              <w:t>Use Balance on Hand</w:t>
            </w:r>
          </w:p>
        </w:tc>
        <w:tc>
          <w:tcPr>
            <w:tcW w:w="3286" w:type="pct"/>
            <w:shd w:val="clear" w:color="auto" w:fill="auto"/>
          </w:tcPr>
          <w:p w14:paraId="63325103" w14:textId="506FD6A6" w:rsidR="00AB0FC6" w:rsidRPr="005C1135" w:rsidRDefault="00285C34" w:rsidP="006B35F8">
            <w:pPr>
              <w:contextualSpacing/>
            </w:pPr>
            <w:r>
              <w:t>D</w:t>
            </w:r>
            <w:r w:rsidR="00AB0FC6" w:rsidRPr="005C1135">
              <w:t>isplay</w:t>
            </w:r>
            <w:r w:rsidR="007A3008">
              <w:t>s</w:t>
            </w:r>
            <w:r w:rsidR="00AB0FC6" w:rsidRPr="005C1135">
              <w:t xml:space="preserve"> regardless of the value of the field. This field include</w:t>
            </w:r>
            <w:r w:rsidR="00E94261">
              <w:t>s</w:t>
            </w:r>
            <w:r w:rsidR="00AB0FC6" w:rsidRPr="005C1135">
              <w:t xml:space="preserve"> a drop down with the values of Blank or “B</w:t>
            </w:r>
            <w:r w:rsidR="00D97542">
              <w:t>.</w:t>
            </w:r>
            <w:r w:rsidR="00AB0FC6" w:rsidRPr="005C1135">
              <w:t xml:space="preserve">” </w:t>
            </w:r>
            <w:r w:rsidR="00D97542">
              <w:t xml:space="preserve">This </w:t>
            </w:r>
            <w:r w:rsidR="00B52D9A">
              <w:t>defaults</w:t>
            </w:r>
            <w:r w:rsidR="009840E3">
              <w:t xml:space="preserve"> to</w:t>
            </w:r>
            <w:r w:rsidR="00AB0FC6" w:rsidRPr="005C1135">
              <w:t xml:space="preserve"> blank. </w:t>
            </w:r>
          </w:p>
        </w:tc>
      </w:tr>
      <w:tr w:rsidR="00AB0FC6" w:rsidRPr="005C1135" w14:paraId="0720B1CA" w14:textId="77777777" w:rsidTr="00E71F15">
        <w:trPr>
          <w:trHeight w:val="602"/>
        </w:trPr>
        <w:tc>
          <w:tcPr>
            <w:tcW w:w="1714" w:type="pct"/>
            <w:shd w:val="clear" w:color="auto" w:fill="auto"/>
          </w:tcPr>
          <w:p w14:paraId="6367456B" w14:textId="77777777" w:rsidR="00AB0FC6" w:rsidRPr="005C1135" w:rsidRDefault="00AB0FC6" w:rsidP="006B35F8">
            <w:r w:rsidRPr="005C1135">
              <w:t>Days’ Supply</w:t>
            </w:r>
          </w:p>
        </w:tc>
        <w:tc>
          <w:tcPr>
            <w:tcW w:w="3286" w:type="pct"/>
            <w:shd w:val="clear" w:color="auto" w:fill="auto"/>
          </w:tcPr>
          <w:p w14:paraId="0BDF0DCA" w14:textId="2D49F512" w:rsidR="00AB0FC6" w:rsidRPr="005C1135" w:rsidRDefault="00285C34" w:rsidP="006B35F8">
            <w:pPr>
              <w:contextualSpacing/>
            </w:pPr>
            <w:r>
              <w:t>D</w:t>
            </w:r>
            <w:r w:rsidR="00AB0FC6" w:rsidRPr="005C1135">
              <w:t>isplay</w:t>
            </w:r>
            <w:r w:rsidR="00E94261">
              <w:t>s</w:t>
            </w:r>
            <w:r w:rsidR="00AB0FC6" w:rsidRPr="005C1135">
              <w:t xml:space="preserve"> regardless of the value of the field. This field allows entering up to </w:t>
            </w:r>
            <w:r w:rsidR="006B35F8">
              <w:t>three</w:t>
            </w:r>
            <w:r w:rsidR="00AB0FC6" w:rsidRPr="005C1135">
              <w:t xml:space="preserve"> digits </w:t>
            </w:r>
            <w:r w:rsidR="001C62A1">
              <w:t>(</w:t>
            </w:r>
            <w:r w:rsidR="00AB0FC6" w:rsidRPr="005C1135">
              <w:t>between 1 and 99</w:t>
            </w:r>
            <w:r w:rsidR="00A51D98">
              <w:t>9</w:t>
            </w:r>
            <w:r w:rsidR="00E51AB3">
              <w:t>)</w:t>
            </w:r>
            <w:r w:rsidR="00D97542">
              <w:t xml:space="preserve">. This </w:t>
            </w:r>
            <w:r w:rsidR="00AB0FC6" w:rsidRPr="005C1135">
              <w:t>default</w:t>
            </w:r>
            <w:r w:rsidR="00D97542">
              <w:t>s</w:t>
            </w:r>
            <w:r w:rsidR="00AB0FC6" w:rsidRPr="005C1135">
              <w:t xml:space="preserve"> </w:t>
            </w:r>
            <w:r w:rsidR="00D97542">
              <w:t>to</w:t>
            </w:r>
            <w:r w:rsidR="00AB0FC6" w:rsidRPr="005C1135">
              <w:t xml:space="preserve"> blank. </w:t>
            </w:r>
          </w:p>
        </w:tc>
      </w:tr>
      <w:tr w:rsidR="00AB0FC6" w:rsidRPr="005C1135" w14:paraId="69CC44B1" w14:textId="77777777" w:rsidTr="003075DA">
        <w:tc>
          <w:tcPr>
            <w:tcW w:w="1714" w:type="pct"/>
            <w:shd w:val="clear" w:color="auto" w:fill="auto"/>
          </w:tcPr>
          <w:p w14:paraId="0C5136BA" w14:textId="77777777" w:rsidR="00AB0FC6" w:rsidRPr="005C1135" w:rsidRDefault="00AB0FC6" w:rsidP="006B35F8">
            <w:r w:rsidRPr="005C1135">
              <w:t>% Used</w:t>
            </w:r>
          </w:p>
        </w:tc>
        <w:tc>
          <w:tcPr>
            <w:tcW w:w="3286" w:type="pct"/>
            <w:shd w:val="clear" w:color="auto" w:fill="auto"/>
          </w:tcPr>
          <w:p w14:paraId="22AD34B8" w14:textId="26F54B26" w:rsidR="00AB0FC6" w:rsidRPr="005C1135" w:rsidRDefault="00285C34" w:rsidP="006B35F8">
            <w:r>
              <w:t>D</w:t>
            </w:r>
            <w:r w:rsidR="00AB0FC6" w:rsidRPr="005C1135">
              <w:t>isplay</w:t>
            </w:r>
            <w:r w:rsidR="007A3008">
              <w:t>s</w:t>
            </w:r>
            <w:r w:rsidR="00AB0FC6" w:rsidRPr="005C1135">
              <w:t xml:space="preserve"> regardless of the value of the field. The % Used default value will be blank. It allows entering up to </w:t>
            </w:r>
            <w:r w:rsidR="006B35F8">
              <w:t>three</w:t>
            </w:r>
            <w:r w:rsidR="00AB0FC6" w:rsidRPr="005C1135">
              <w:t xml:space="preserve"> digits </w:t>
            </w:r>
            <w:r w:rsidR="0031079F">
              <w:t>(</w:t>
            </w:r>
            <w:r w:rsidR="00AB0FC6" w:rsidRPr="005C1135">
              <w:t>between 1 and 100</w:t>
            </w:r>
            <w:r w:rsidR="00D97542">
              <w:t>)</w:t>
            </w:r>
            <w:r w:rsidR="000E5BE5" w:rsidRPr="005C1135">
              <w:t xml:space="preserve">. </w:t>
            </w:r>
          </w:p>
        </w:tc>
      </w:tr>
      <w:tr w:rsidR="00AB0FC6" w:rsidRPr="005C1135" w14:paraId="2ABE6694" w14:textId="77777777" w:rsidTr="003075DA">
        <w:tc>
          <w:tcPr>
            <w:tcW w:w="1714" w:type="pct"/>
            <w:shd w:val="clear" w:color="auto" w:fill="auto"/>
          </w:tcPr>
          <w:p w14:paraId="5C742FF0" w14:textId="77777777" w:rsidR="00AB0FC6" w:rsidRPr="005C1135" w:rsidRDefault="00AB0FC6" w:rsidP="006B35F8">
            <w:r w:rsidRPr="005C1135">
              <w:t>Look Back Days</w:t>
            </w:r>
          </w:p>
        </w:tc>
        <w:tc>
          <w:tcPr>
            <w:tcW w:w="3286" w:type="pct"/>
            <w:shd w:val="clear" w:color="auto" w:fill="auto"/>
          </w:tcPr>
          <w:p w14:paraId="705FEAC4" w14:textId="2AEEE330" w:rsidR="00AB0FC6" w:rsidRPr="005C1135" w:rsidRDefault="00285C34" w:rsidP="006B35F8">
            <w:pPr>
              <w:contextualSpacing/>
            </w:pPr>
            <w:r>
              <w:t>D</w:t>
            </w:r>
            <w:r w:rsidR="00AB0FC6" w:rsidRPr="005C1135">
              <w:t xml:space="preserve">isplays regardless of the value of the field. It allows entering up to </w:t>
            </w:r>
            <w:r w:rsidR="006B35F8">
              <w:t>three</w:t>
            </w:r>
            <w:r w:rsidR="00AB0FC6" w:rsidRPr="005C1135">
              <w:t xml:space="preserve"> digits </w:t>
            </w:r>
            <w:r w:rsidR="007D6743">
              <w:t>(</w:t>
            </w:r>
            <w:r w:rsidR="00AB0FC6" w:rsidRPr="005C1135">
              <w:t>between 1 and 999</w:t>
            </w:r>
            <w:r w:rsidR="007D6743">
              <w:t>)</w:t>
            </w:r>
            <w:r w:rsidR="00A51D98">
              <w:t>. This</w:t>
            </w:r>
            <w:r w:rsidR="00AB0FC6" w:rsidRPr="005C1135">
              <w:t xml:space="preserve"> default</w:t>
            </w:r>
            <w:r w:rsidR="00A51D98">
              <w:t>s to</w:t>
            </w:r>
            <w:r w:rsidR="00AB0FC6" w:rsidRPr="005C1135">
              <w:t xml:space="preserve"> blank.</w:t>
            </w:r>
          </w:p>
        </w:tc>
      </w:tr>
      <w:tr w:rsidR="00AB0FC6" w:rsidRPr="005C1135" w14:paraId="246A0DD0" w14:textId="77777777" w:rsidTr="003075DA">
        <w:tc>
          <w:tcPr>
            <w:tcW w:w="1714" w:type="pct"/>
            <w:shd w:val="clear" w:color="auto" w:fill="auto"/>
          </w:tcPr>
          <w:p w14:paraId="6571FB87" w14:textId="77777777" w:rsidR="00AB0FC6" w:rsidRPr="005C1135" w:rsidRDefault="00AB0FC6" w:rsidP="006B35F8">
            <w:r w:rsidRPr="005C1135">
              <w:t>Multiples in PA - RxClaim</w:t>
            </w:r>
          </w:p>
        </w:tc>
        <w:tc>
          <w:tcPr>
            <w:tcW w:w="3286" w:type="pct"/>
            <w:shd w:val="clear" w:color="auto" w:fill="auto"/>
          </w:tcPr>
          <w:p w14:paraId="60CB59FC" w14:textId="057A62B3" w:rsidR="007A3008" w:rsidRDefault="00A51D98" w:rsidP="006B35F8">
            <w:pPr>
              <w:contextualSpacing/>
            </w:pPr>
            <w:r>
              <w:t>A</w:t>
            </w:r>
            <w:r w:rsidR="00AB0FC6" w:rsidRPr="005C1135">
              <w:t>llow</w:t>
            </w:r>
            <w:r>
              <w:t>s</w:t>
            </w:r>
            <w:r w:rsidR="00AB0FC6" w:rsidRPr="005C1135">
              <w:t xml:space="preserve"> multiple cumulative refills on one PA</w:t>
            </w:r>
            <w:r w:rsidR="00DC7D08">
              <w:t xml:space="preserve"> (Prior Authorization)</w:t>
            </w:r>
            <w:r w:rsidR="00AB0FC6" w:rsidRPr="005C1135">
              <w:t xml:space="preserve">. When this happens, the Multiples in PA flag </w:t>
            </w:r>
            <w:r w:rsidR="00FC7C80">
              <w:t>is</w:t>
            </w:r>
            <w:r w:rsidR="00AB0FC6" w:rsidRPr="005C1135">
              <w:t xml:space="preserve"> set to </w:t>
            </w:r>
            <w:r w:rsidR="00AB0FC6" w:rsidRPr="005C1135">
              <w:rPr>
                <w:b/>
              </w:rPr>
              <w:t>true</w:t>
            </w:r>
            <w:r w:rsidR="00AB0FC6" w:rsidRPr="005C1135">
              <w:t xml:space="preserve"> and display</w:t>
            </w:r>
            <w:r w:rsidR="002E079E">
              <w:t>s</w:t>
            </w:r>
            <w:r w:rsidR="00AB0FC6" w:rsidRPr="005C1135">
              <w:t xml:space="preserve"> as </w:t>
            </w:r>
            <w:r w:rsidR="00AB0FC6" w:rsidRPr="005C1135">
              <w:rPr>
                <w:b/>
              </w:rPr>
              <w:t>yes</w:t>
            </w:r>
            <w:r w:rsidR="00AB0FC6" w:rsidRPr="005C1135">
              <w:t xml:space="preserve"> in PeopleSafe. </w:t>
            </w:r>
          </w:p>
          <w:p w14:paraId="7448009F" w14:textId="77777777" w:rsidR="007A3008" w:rsidRDefault="007A3008" w:rsidP="006B35F8">
            <w:pPr>
              <w:contextualSpacing/>
            </w:pPr>
          </w:p>
          <w:p w14:paraId="094CB912" w14:textId="77777777" w:rsidR="00AB0FC6" w:rsidRPr="005C1135" w:rsidRDefault="00AB0FC6" w:rsidP="006B35F8">
            <w:pPr>
              <w:contextualSpacing/>
            </w:pPr>
            <w:r w:rsidRPr="005C1135">
              <w:t>The last updated cumulative refill display</w:t>
            </w:r>
            <w:r w:rsidR="00FC7C80">
              <w:t>s</w:t>
            </w:r>
            <w:r w:rsidRPr="005C1135">
              <w:t xml:space="preserve"> in PeopleSafe.</w:t>
            </w:r>
          </w:p>
          <w:p w14:paraId="5F648AD4" w14:textId="77777777" w:rsidR="00AB0FC6" w:rsidRPr="005C1135" w:rsidRDefault="00AB0FC6" w:rsidP="006B35F8">
            <w:pPr>
              <w:contextualSpacing/>
            </w:pPr>
          </w:p>
          <w:p w14:paraId="2F2ED610" w14:textId="088964C3" w:rsidR="00FC7C80" w:rsidRDefault="00AB0FC6" w:rsidP="006B35F8">
            <w:pPr>
              <w:contextualSpacing/>
            </w:pPr>
            <w:r w:rsidRPr="005C1135">
              <w:t xml:space="preserve">The flag for Multiples in PA will be labeled “Multiples in PA”- RxClaim and </w:t>
            </w:r>
            <w:r w:rsidR="00310CDC">
              <w:t xml:space="preserve">will </w:t>
            </w:r>
            <w:r w:rsidRPr="005C1135">
              <w:t>be editable based upon the representative’s security access</w:t>
            </w:r>
            <w:r w:rsidR="00904D6F" w:rsidRPr="005C1135">
              <w:t xml:space="preserve">. </w:t>
            </w:r>
          </w:p>
          <w:p w14:paraId="2F86E6AE" w14:textId="77777777" w:rsidR="000961E4" w:rsidRDefault="000961E4" w:rsidP="006B35F8">
            <w:pPr>
              <w:contextualSpacing/>
              <w:rPr>
                <w:b/>
              </w:rPr>
            </w:pPr>
          </w:p>
          <w:p w14:paraId="32D6DEA2" w14:textId="34655BFE" w:rsidR="00AB0FC6" w:rsidRPr="005C1135" w:rsidRDefault="00FC7C80" w:rsidP="006B35F8">
            <w:pPr>
              <w:contextualSpacing/>
            </w:pPr>
            <w:r w:rsidRPr="00FC7C80">
              <w:rPr>
                <w:b/>
              </w:rPr>
              <w:t>Note:</w:t>
            </w:r>
            <w:r>
              <w:t xml:space="preserve">  </w:t>
            </w:r>
            <w:r w:rsidR="006B35F8">
              <w:t>V</w:t>
            </w:r>
            <w:r w:rsidR="00AB0FC6" w:rsidRPr="005C1135">
              <w:t>iew</w:t>
            </w:r>
            <w:r w:rsidR="006B35F8">
              <w:t xml:space="preserve"> or </w:t>
            </w:r>
            <w:r w:rsidR="00AB0FC6" w:rsidRPr="005C1135">
              <w:t>updat</w:t>
            </w:r>
            <w:r w:rsidR="006B35F8">
              <w:t>e</w:t>
            </w:r>
            <w:r w:rsidR="00AB0FC6" w:rsidRPr="005C1135">
              <w:t xml:space="preserve"> one cumulative refill per PA</w:t>
            </w:r>
            <w:r w:rsidR="006B35F8">
              <w:t xml:space="preserve"> in PeopleSafe</w:t>
            </w:r>
            <w:r w:rsidR="00AB0FC6" w:rsidRPr="005C1135">
              <w:t>. To view Multiple P</w:t>
            </w:r>
            <w:r>
              <w:t>A’s;</w:t>
            </w:r>
            <w:r w:rsidR="00AB0FC6" w:rsidRPr="005C1135">
              <w:t xml:space="preserve"> access RxClaim. </w:t>
            </w:r>
          </w:p>
          <w:p w14:paraId="7827B6E1" w14:textId="1B410D01" w:rsidR="00FC7C80" w:rsidRDefault="00AB0FC6" w:rsidP="007E77F9">
            <w:pPr>
              <w:numPr>
                <w:ilvl w:val="0"/>
                <w:numId w:val="35"/>
              </w:numPr>
            </w:pPr>
            <w:r w:rsidRPr="005C1135">
              <w:t>The Multiples in PA label displays regardless of the value of the field. This field will display “Yes” or “No</w:t>
            </w:r>
            <w:r w:rsidR="006E7BF0">
              <w:t>,</w:t>
            </w:r>
            <w:r w:rsidRPr="005C1135">
              <w:t xml:space="preserve">” with a default to </w:t>
            </w:r>
            <w:r w:rsidR="003C3C0E">
              <w:t>“No</w:t>
            </w:r>
            <w:r w:rsidRPr="005C1135">
              <w:t>.</w:t>
            </w:r>
            <w:r w:rsidR="003C3C0E">
              <w:t>”</w:t>
            </w:r>
            <w:r w:rsidRPr="005C1135">
              <w:t xml:space="preserve"> </w:t>
            </w:r>
          </w:p>
          <w:p w14:paraId="269FC143" w14:textId="77777777" w:rsidR="00FC7C80" w:rsidRDefault="00AB0FC6" w:rsidP="007E77F9">
            <w:pPr>
              <w:numPr>
                <w:ilvl w:val="0"/>
                <w:numId w:val="36"/>
              </w:numPr>
            </w:pPr>
            <w:r w:rsidRPr="005C1135">
              <w:t xml:space="preserve">False will display as </w:t>
            </w:r>
            <w:r w:rsidRPr="00CA0052">
              <w:rPr>
                <w:b/>
                <w:bCs/>
              </w:rPr>
              <w:t>No</w:t>
            </w:r>
            <w:r w:rsidRPr="005C1135">
              <w:t xml:space="preserve"> on the screen. </w:t>
            </w:r>
          </w:p>
          <w:p w14:paraId="59C5F3FE" w14:textId="77777777" w:rsidR="00AB0FC6" w:rsidRPr="005C1135" w:rsidRDefault="00AB0FC6" w:rsidP="007E77F9">
            <w:pPr>
              <w:numPr>
                <w:ilvl w:val="0"/>
                <w:numId w:val="36"/>
              </w:numPr>
            </w:pPr>
            <w:r w:rsidRPr="005C1135">
              <w:t xml:space="preserve">True will display as </w:t>
            </w:r>
            <w:r w:rsidRPr="00CA0052">
              <w:rPr>
                <w:b/>
                <w:bCs/>
              </w:rPr>
              <w:t>Yes</w:t>
            </w:r>
            <w:r w:rsidRPr="005C1135">
              <w:t xml:space="preserve"> on the screen.</w:t>
            </w:r>
          </w:p>
          <w:p w14:paraId="1A2E2A26" w14:textId="77777777" w:rsidR="00AB0FC6" w:rsidRPr="005C1135" w:rsidRDefault="00AB0FC6" w:rsidP="006B35F8"/>
          <w:p w14:paraId="5C8861F2" w14:textId="77777777" w:rsidR="006B35F8" w:rsidRDefault="00AB0FC6" w:rsidP="006B35F8">
            <w:pPr>
              <w:contextualSpacing/>
            </w:pPr>
            <w:r w:rsidRPr="005C1135">
              <w:rPr>
                <w:b/>
              </w:rPr>
              <w:t>Note</w:t>
            </w:r>
            <w:r w:rsidR="006B35F8">
              <w:rPr>
                <w:b/>
              </w:rPr>
              <w:t>s</w:t>
            </w:r>
            <w:r w:rsidRPr="005C1135">
              <w:rPr>
                <w:b/>
              </w:rPr>
              <w:t>:</w:t>
            </w:r>
            <w:r w:rsidRPr="005C1135">
              <w:t xml:space="preserve"> </w:t>
            </w:r>
          </w:p>
          <w:p w14:paraId="36B69BD1" w14:textId="299CA0A1" w:rsidR="006B35F8" w:rsidRDefault="00AB0FC6" w:rsidP="007E77F9">
            <w:r w:rsidRPr="005C1135">
              <w:t xml:space="preserve">New error messages for Cumulative Refill </w:t>
            </w:r>
            <w:r w:rsidR="00187CFD">
              <w:t xml:space="preserve">will </w:t>
            </w:r>
            <w:r w:rsidRPr="005C1135">
              <w:t xml:space="preserve">display in a pop up. </w:t>
            </w:r>
          </w:p>
          <w:p w14:paraId="71BA3624" w14:textId="78CAFBFA" w:rsidR="006B35F8" w:rsidRDefault="00187CFD" w:rsidP="007E77F9">
            <w:r>
              <w:t>Only s</w:t>
            </w:r>
            <w:r w:rsidR="00AB0FC6" w:rsidRPr="005C1135">
              <w:t xml:space="preserve">elected users have the ability to Add or Edit the Cumulative Refill fields. </w:t>
            </w:r>
          </w:p>
          <w:p w14:paraId="7813A33B" w14:textId="7B7BB5BD" w:rsidR="00AB0FC6" w:rsidRPr="005C1135" w:rsidRDefault="00FC7C80" w:rsidP="007E77F9">
            <w:r>
              <w:t>You</w:t>
            </w:r>
            <w:r w:rsidR="00AB0FC6" w:rsidRPr="005C1135">
              <w:t xml:space="preserve"> </w:t>
            </w:r>
            <w:r w:rsidR="00904D6F" w:rsidRPr="005C1135">
              <w:t>can</w:t>
            </w:r>
            <w:r w:rsidR="00AB0FC6" w:rsidRPr="005C1135">
              <w:t xml:space="preserve"> </w:t>
            </w:r>
            <w:r w:rsidR="00AB0FC6" w:rsidRPr="00E71F15">
              <w:rPr>
                <w:b/>
                <w:bCs/>
              </w:rPr>
              <w:t>view</w:t>
            </w:r>
            <w:r w:rsidR="00AB0FC6" w:rsidRPr="005C1135">
              <w:t xml:space="preserve"> Cumulative Refill fields. The Cumulative Refill labels</w:t>
            </w:r>
            <w:r w:rsidR="00480634">
              <w:t xml:space="preserve"> will</w:t>
            </w:r>
            <w:r w:rsidR="00AB0FC6" w:rsidRPr="005C1135">
              <w:t xml:space="preserve"> display</w:t>
            </w:r>
            <w:r w:rsidR="00480634">
              <w:t>,</w:t>
            </w:r>
            <w:r w:rsidR="00AB0FC6" w:rsidRPr="005C1135">
              <w:t xml:space="preserve"> and Cumulative Refill fields </w:t>
            </w:r>
            <w:r w:rsidR="00480634">
              <w:t>will be</w:t>
            </w:r>
            <w:r w:rsidR="00AB0FC6" w:rsidRPr="005C1135">
              <w:t xml:space="preserve"> disabled when the PA type is NDC&lt; NDC List or MIC</w:t>
            </w:r>
            <w:r>
              <w:t>.</w:t>
            </w:r>
            <w:r w:rsidR="00AB0FC6" w:rsidRPr="005C1135">
              <w:t xml:space="preserve"> </w:t>
            </w:r>
          </w:p>
        </w:tc>
      </w:tr>
    </w:tbl>
    <w:p w14:paraId="13A0B650" w14:textId="77777777" w:rsidR="00AB0FC6" w:rsidRPr="00547E4C" w:rsidRDefault="00AB0FC6" w:rsidP="00AB0FC6"/>
    <w:p w14:paraId="177ED50F" w14:textId="77777777" w:rsidR="00FC7C80" w:rsidRDefault="00FC7C80" w:rsidP="00AB0FC6">
      <w:pPr>
        <w:jc w:val="center"/>
        <w:rPr>
          <w:b/>
        </w:rPr>
      </w:pPr>
    </w:p>
    <w:p w14:paraId="77C06A8D" w14:textId="77777777" w:rsidR="00FC7C80" w:rsidRDefault="00904D6F" w:rsidP="00FC7C80">
      <w:pPr>
        <w:jc w:val="right"/>
      </w:pPr>
      <w:hyperlink w:anchor="_top" w:history="1">
        <w:r w:rsidR="00FC7C80" w:rsidRPr="003075DA">
          <w:rPr>
            <w:rStyle w:val="Hyperlink"/>
          </w:rPr>
          <w:t>Top of the D</w:t>
        </w:r>
        <w:r w:rsidR="00FC7C80" w:rsidRPr="003075DA">
          <w:rPr>
            <w:rStyle w:val="Hyperlink"/>
          </w:rPr>
          <w:t>o</w:t>
        </w:r>
        <w:r w:rsidR="00FC7C80" w:rsidRPr="003075DA">
          <w:rPr>
            <w:rStyle w:val="Hyperlink"/>
          </w:rPr>
          <w:t>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7C80" w14:paraId="2FB055F0" w14:textId="77777777" w:rsidTr="00192D47">
        <w:tc>
          <w:tcPr>
            <w:tcW w:w="5000" w:type="pct"/>
            <w:shd w:val="clear" w:color="auto" w:fill="C0C0C0"/>
          </w:tcPr>
          <w:p w14:paraId="2BC495B7" w14:textId="77777777" w:rsidR="00FC7C80" w:rsidRDefault="00FC7C80" w:rsidP="006B35F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3203420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"/>
          </w:p>
        </w:tc>
      </w:tr>
    </w:tbl>
    <w:p w14:paraId="409DD8E3" w14:textId="09ACC0E4" w:rsidR="006B35F8" w:rsidRDefault="00904D6F" w:rsidP="006B35F8">
      <w:hyperlink r:id="rId13" w:anchor="!/view?docid=f075340f-87ec-41b3-bdeb-16422d0fed0e" w:history="1">
        <w:r w:rsidR="00CA0052">
          <w:rPr>
            <w:rStyle w:val="Hyperlink"/>
          </w:rPr>
          <w:t>PeopleSafe - Plan Benefit Overrides (PBO) CCR (024671)</w:t>
        </w:r>
      </w:hyperlink>
    </w:p>
    <w:p w14:paraId="43FB3F9F" w14:textId="7EE48B08" w:rsidR="00FC7C80" w:rsidRDefault="00904D6F" w:rsidP="006B35F8">
      <w:hyperlink r:id="rId14" w:anchor="!/view?docid=c1f1028b-e42c-4b4f-a4cf-cc0b42c91606" w:history="1">
        <w:r w:rsidR="00CA0052">
          <w:rPr>
            <w:rStyle w:val="Hyperlink"/>
          </w:rPr>
          <w:t>Customer Care Abbreviations, Definitions, and Terms Index (017428)</w:t>
        </w:r>
      </w:hyperlink>
      <w:r w:rsidR="00FC7C80">
        <w:t xml:space="preserve"> </w:t>
      </w:r>
    </w:p>
    <w:p w14:paraId="3DE2E8E5" w14:textId="6559B0B4" w:rsidR="006010BB" w:rsidRPr="001B6B24" w:rsidRDefault="00904D6F" w:rsidP="006B35F8">
      <w:hyperlink r:id="rId15" w:anchor="!/view?docid=1992cb33-0790-40c8-9bb4-857aed48c8b4" w:history="1">
        <w:r w:rsidR="000A41DE">
          <w:rPr>
            <w:rStyle w:val="Hyperlink"/>
            <w:rFonts w:cs="Helvetica"/>
            <w:shd w:val="clear" w:color="auto" w:fill="FFFFFF"/>
          </w:rPr>
          <w:t>Customer Care Abbreviations, Definitions and Terms - N (051687)</w:t>
        </w:r>
      </w:hyperlink>
    </w:p>
    <w:p w14:paraId="22CB9B6C" w14:textId="02964D8B" w:rsidR="00177276" w:rsidRDefault="006B35F8" w:rsidP="006B35F8">
      <w:pPr>
        <w:rPr>
          <w:color w:val="000000"/>
        </w:rPr>
      </w:pPr>
      <w:r w:rsidRPr="00002AF0">
        <w:rPr>
          <w:b/>
        </w:rPr>
        <w:t>Parent Document:</w:t>
      </w:r>
      <w:r>
        <w:t xml:space="preserve">  </w:t>
      </w:r>
      <w:hyperlink r:id="rId16" w:tgtFrame="_blank" w:history="1">
        <w:r w:rsidRPr="00B704FA">
          <w:rPr>
            <w:color w:val="0000FF"/>
            <w:u w:val="single"/>
          </w:rPr>
          <w:t>CALL 0049 Customer Care In</w:t>
        </w:r>
        <w:r w:rsidRPr="00B704FA">
          <w:rPr>
            <w:color w:val="0000FF"/>
            <w:u w:val="single"/>
          </w:rPr>
          <w:t>t</w:t>
        </w:r>
        <w:r w:rsidRPr="00B704FA">
          <w:rPr>
            <w:color w:val="0000FF"/>
            <w:u w:val="single"/>
          </w:rPr>
          <w:t>ernal and External Call Handling</w:t>
        </w:r>
      </w:hyperlink>
    </w:p>
    <w:p w14:paraId="087D8DC6" w14:textId="5B296F23" w:rsidR="0032294C" w:rsidRDefault="00904D6F" w:rsidP="0032294C">
      <w:pPr>
        <w:jc w:val="right"/>
      </w:pPr>
      <w:hyperlink w:anchor="_top" w:history="1">
        <w:r w:rsidR="003075DA" w:rsidRPr="003075DA">
          <w:rPr>
            <w:rStyle w:val="Hyperlink"/>
          </w:rPr>
          <w:t>Top o</w:t>
        </w:r>
        <w:r w:rsidR="003075DA" w:rsidRPr="003075DA">
          <w:rPr>
            <w:rStyle w:val="Hyperlink"/>
          </w:rPr>
          <w:t>f</w:t>
        </w:r>
        <w:r w:rsidR="003075DA" w:rsidRPr="003075DA">
          <w:rPr>
            <w:rStyle w:val="Hyperlink"/>
          </w:rPr>
          <w:t xml:space="preserve"> the Document</w:t>
        </w:r>
      </w:hyperlink>
    </w:p>
    <w:p w14:paraId="53B4934F" w14:textId="77777777" w:rsidR="00FD4AAA" w:rsidRPr="00C247CB" w:rsidRDefault="00FD4AAA" w:rsidP="00D22783">
      <w:pPr>
        <w:jc w:val="center"/>
        <w:rPr>
          <w:sz w:val="16"/>
          <w:szCs w:val="16"/>
        </w:rPr>
      </w:pPr>
    </w:p>
    <w:p w14:paraId="5184283F" w14:textId="77777777" w:rsidR="00FD4AAA" w:rsidRPr="00C247CB" w:rsidRDefault="00B4636A" w:rsidP="00D22783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</w:t>
      </w:r>
      <w:r w:rsidR="00FD4AAA" w:rsidRPr="00C247CB">
        <w:rPr>
          <w:sz w:val="16"/>
          <w:szCs w:val="16"/>
        </w:rPr>
        <w:t xml:space="preserve">r Disclosed to Others </w:t>
      </w:r>
      <w:r w:rsidR="00B86FFE" w:rsidRPr="00C247CB">
        <w:rPr>
          <w:sz w:val="16"/>
          <w:szCs w:val="16"/>
        </w:rPr>
        <w:t>without</w:t>
      </w:r>
      <w:r w:rsidR="00FD4AAA" w:rsidRPr="00C247CB">
        <w:rPr>
          <w:sz w:val="16"/>
          <w:szCs w:val="16"/>
        </w:rPr>
        <w:t xml:space="preserve"> Prior Written Approval</w:t>
      </w:r>
    </w:p>
    <w:p w14:paraId="5608DDF7" w14:textId="77777777" w:rsidR="00FD4AAA" w:rsidRPr="00C247CB" w:rsidRDefault="00FD4AAA" w:rsidP="00D22783">
      <w:pPr>
        <w:jc w:val="center"/>
        <w:rPr>
          <w:b/>
          <w:sz w:val="16"/>
          <w:szCs w:val="16"/>
        </w:rPr>
      </w:pPr>
      <w:r w:rsidRPr="00C247CB">
        <w:rPr>
          <w:b/>
          <w:sz w:val="16"/>
          <w:szCs w:val="16"/>
        </w:rPr>
        <w:t>ELEC</w:t>
      </w:r>
      <w:r w:rsidR="001A28CB">
        <w:rPr>
          <w:b/>
          <w:sz w:val="16"/>
          <w:szCs w:val="16"/>
        </w:rPr>
        <w:t>TRONIC DATA = OFFICIAL VERSION / PAPER COPY =</w:t>
      </w:r>
      <w:r w:rsidRPr="00C247CB">
        <w:rPr>
          <w:b/>
          <w:sz w:val="16"/>
          <w:szCs w:val="16"/>
        </w:rPr>
        <w:t xml:space="preserve"> INFORMATIONAL ONLY</w:t>
      </w:r>
    </w:p>
    <w:p w14:paraId="2D3827D8" w14:textId="77777777" w:rsidR="0002766B" w:rsidRPr="00C247CB" w:rsidRDefault="0002766B" w:rsidP="00D22783">
      <w:pPr>
        <w:jc w:val="center"/>
        <w:rPr>
          <w:sz w:val="16"/>
          <w:szCs w:val="16"/>
        </w:rPr>
      </w:pPr>
    </w:p>
    <w:sectPr w:rsidR="0002766B" w:rsidRPr="00C247CB" w:rsidSect="001B6289">
      <w:footerReference w:type="even" r:id="rId17"/>
      <w:footerReference w:type="defaul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B0A4" w14:textId="77777777" w:rsidR="002B275C" w:rsidRDefault="002B275C">
      <w:r>
        <w:separator/>
      </w:r>
    </w:p>
  </w:endnote>
  <w:endnote w:type="continuationSeparator" w:id="0">
    <w:p w14:paraId="571EA3C0" w14:textId="77777777" w:rsidR="002B275C" w:rsidRDefault="002B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6E0D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09BE7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305A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5778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EFDFC9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ABC0" w14:textId="77777777" w:rsidR="002B275C" w:rsidRDefault="002B275C">
      <w:r>
        <w:separator/>
      </w:r>
    </w:p>
  </w:footnote>
  <w:footnote w:type="continuationSeparator" w:id="0">
    <w:p w14:paraId="6CF2CA5F" w14:textId="77777777" w:rsidR="002B275C" w:rsidRDefault="002B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638C"/>
    <w:multiLevelType w:val="hybridMultilevel"/>
    <w:tmpl w:val="7E6C6B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5914AF"/>
    <w:multiLevelType w:val="hybridMultilevel"/>
    <w:tmpl w:val="B236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12407B"/>
    <w:multiLevelType w:val="hybridMultilevel"/>
    <w:tmpl w:val="04B025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93476"/>
    <w:multiLevelType w:val="hybridMultilevel"/>
    <w:tmpl w:val="3B9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38889639">
    <w:abstractNumId w:val="19"/>
  </w:num>
  <w:num w:numId="2" w16cid:durableId="1828936059">
    <w:abstractNumId w:val="14"/>
  </w:num>
  <w:num w:numId="3" w16cid:durableId="1330862438">
    <w:abstractNumId w:val="22"/>
  </w:num>
  <w:num w:numId="4" w16cid:durableId="2021540090">
    <w:abstractNumId w:val="0"/>
  </w:num>
  <w:num w:numId="5" w16cid:durableId="403188312">
    <w:abstractNumId w:val="3"/>
  </w:num>
  <w:num w:numId="6" w16cid:durableId="2113931821">
    <w:abstractNumId w:val="25"/>
  </w:num>
  <w:num w:numId="7" w16cid:durableId="1314915936">
    <w:abstractNumId w:val="29"/>
  </w:num>
  <w:num w:numId="8" w16cid:durableId="669454606">
    <w:abstractNumId w:val="2"/>
  </w:num>
  <w:num w:numId="9" w16cid:durableId="1368944451">
    <w:abstractNumId w:val="35"/>
  </w:num>
  <w:num w:numId="10" w16cid:durableId="206261409">
    <w:abstractNumId w:val="4"/>
  </w:num>
  <w:num w:numId="11" w16cid:durableId="1607156359">
    <w:abstractNumId w:val="34"/>
  </w:num>
  <w:num w:numId="12" w16cid:durableId="2008170196">
    <w:abstractNumId w:val="8"/>
  </w:num>
  <w:num w:numId="13" w16cid:durableId="473259830">
    <w:abstractNumId w:val="20"/>
  </w:num>
  <w:num w:numId="14" w16cid:durableId="29654245">
    <w:abstractNumId w:val="12"/>
  </w:num>
  <w:num w:numId="15" w16cid:durableId="1660422196">
    <w:abstractNumId w:val="32"/>
  </w:num>
  <w:num w:numId="16" w16cid:durableId="666906428">
    <w:abstractNumId w:val="16"/>
  </w:num>
  <w:num w:numId="17" w16cid:durableId="1094857762">
    <w:abstractNumId w:val="28"/>
  </w:num>
  <w:num w:numId="18" w16cid:durableId="166870434">
    <w:abstractNumId w:val="33"/>
  </w:num>
  <w:num w:numId="19" w16cid:durableId="1947499243">
    <w:abstractNumId w:val="24"/>
  </w:num>
  <w:num w:numId="20" w16cid:durableId="1780946530">
    <w:abstractNumId w:val="15"/>
  </w:num>
  <w:num w:numId="21" w16cid:durableId="689571132">
    <w:abstractNumId w:val="21"/>
  </w:num>
  <w:num w:numId="22" w16cid:durableId="2137867283">
    <w:abstractNumId w:val="6"/>
  </w:num>
  <w:num w:numId="23" w16cid:durableId="1816799730">
    <w:abstractNumId w:val="13"/>
  </w:num>
  <w:num w:numId="24" w16cid:durableId="605625165">
    <w:abstractNumId w:val="30"/>
  </w:num>
  <w:num w:numId="25" w16cid:durableId="528835202">
    <w:abstractNumId w:val="18"/>
  </w:num>
  <w:num w:numId="26" w16cid:durableId="577329033">
    <w:abstractNumId w:val="17"/>
  </w:num>
  <w:num w:numId="27" w16cid:durableId="1715080258">
    <w:abstractNumId w:val="11"/>
  </w:num>
  <w:num w:numId="28" w16cid:durableId="1450514063">
    <w:abstractNumId w:val="10"/>
  </w:num>
  <w:num w:numId="29" w16cid:durableId="1683120943">
    <w:abstractNumId w:val="7"/>
  </w:num>
  <w:num w:numId="30" w16cid:durableId="429198431">
    <w:abstractNumId w:val="23"/>
  </w:num>
  <w:num w:numId="31" w16cid:durableId="758720454">
    <w:abstractNumId w:val="31"/>
  </w:num>
  <w:num w:numId="32" w16cid:durableId="1111972520">
    <w:abstractNumId w:val="9"/>
  </w:num>
  <w:num w:numId="33" w16cid:durableId="314650730">
    <w:abstractNumId w:val="27"/>
  </w:num>
  <w:num w:numId="34" w16cid:durableId="2003193251">
    <w:abstractNumId w:val="5"/>
  </w:num>
  <w:num w:numId="35" w16cid:durableId="2097700066">
    <w:abstractNumId w:val="26"/>
  </w:num>
  <w:num w:numId="36" w16cid:durableId="102690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6FE1"/>
    <w:rsid w:val="000128F4"/>
    <w:rsid w:val="00026765"/>
    <w:rsid w:val="0002766B"/>
    <w:rsid w:val="00030B68"/>
    <w:rsid w:val="00036F50"/>
    <w:rsid w:val="00040C5B"/>
    <w:rsid w:val="00046717"/>
    <w:rsid w:val="00046D7D"/>
    <w:rsid w:val="00061F15"/>
    <w:rsid w:val="00063161"/>
    <w:rsid w:val="00064378"/>
    <w:rsid w:val="00072248"/>
    <w:rsid w:val="00086DA1"/>
    <w:rsid w:val="0008701E"/>
    <w:rsid w:val="00092E73"/>
    <w:rsid w:val="000961E4"/>
    <w:rsid w:val="000974BD"/>
    <w:rsid w:val="00097F84"/>
    <w:rsid w:val="000A41DE"/>
    <w:rsid w:val="000A7311"/>
    <w:rsid w:val="000A7958"/>
    <w:rsid w:val="000D2381"/>
    <w:rsid w:val="000E1715"/>
    <w:rsid w:val="000E2030"/>
    <w:rsid w:val="000E20DA"/>
    <w:rsid w:val="000E59E2"/>
    <w:rsid w:val="000E5BE5"/>
    <w:rsid w:val="000F552F"/>
    <w:rsid w:val="001110D7"/>
    <w:rsid w:val="00116E14"/>
    <w:rsid w:val="00123CE4"/>
    <w:rsid w:val="00130EF7"/>
    <w:rsid w:val="00141BA3"/>
    <w:rsid w:val="00146437"/>
    <w:rsid w:val="00161CA7"/>
    <w:rsid w:val="0016673C"/>
    <w:rsid w:val="00177276"/>
    <w:rsid w:val="00187CFD"/>
    <w:rsid w:val="00187D44"/>
    <w:rsid w:val="00192D47"/>
    <w:rsid w:val="00195596"/>
    <w:rsid w:val="001A28CB"/>
    <w:rsid w:val="001A6F50"/>
    <w:rsid w:val="001B0373"/>
    <w:rsid w:val="001B6289"/>
    <w:rsid w:val="001B6B24"/>
    <w:rsid w:val="001C62A1"/>
    <w:rsid w:val="001F0E95"/>
    <w:rsid w:val="001F5535"/>
    <w:rsid w:val="00204EAD"/>
    <w:rsid w:val="00217D07"/>
    <w:rsid w:val="002207D9"/>
    <w:rsid w:val="00230483"/>
    <w:rsid w:val="00235B24"/>
    <w:rsid w:val="00246831"/>
    <w:rsid w:val="00246ACF"/>
    <w:rsid w:val="0025658F"/>
    <w:rsid w:val="0026019A"/>
    <w:rsid w:val="00271080"/>
    <w:rsid w:val="002808BE"/>
    <w:rsid w:val="00285C34"/>
    <w:rsid w:val="00297D15"/>
    <w:rsid w:val="002B275C"/>
    <w:rsid w:val="002C4634"/>
    <w:rsid w:val="002C5810"/>
    <w:rsid w:val="002D0276"/>
    <w:rsid w:val="002E079E"/>
    <w:rsid w:val="002F08B6"/>
    <w:rsid w:val="002F1D71"/>
    <w:rsid w:val="00301347"/>
    <w:rsid w:val="0030141E"/>
    <w:rsid w:val="003075DA"/>
    <w:rsid w:val="00310568"/>
    <w:rsid w:val="0031079F"/>
    <w:rsid w:val="00310CDC"/>
    <w:rsid w:val="00317C44"/>
    <w:rsid w:val="0032294C"/>
    <w:rsid w:val="003261AA"/>
    <w:rsid w:val="00334923"/>
    <w:rsid w:val="003425C7"/>
    <w:rsid w:val="003457C3"/>
    <w:rsid w:val="003521EA"/>
    <w:rsid w:val="003855A5"/>
    <w:rsid w:val="003A7D6C"/>
    <w:rsid w:val="003B7D4D"/>
    <w:rsid w:val="003C3C0E"/>
    <w:rsid w:val="003D0429"/>
    <w:rsid w:val="003D22B7"/>
    <w:rsid w:val="003E12FE"/>
    <w:rsid w:val="003E3CB4"/>
    <w:rsid w:val="004204CB"/>
    <w:rsid w:val="00427387"/>
    <w:rsid w:val="00433EE7"/>
    <w:rsid w:val="00435270"/>
    <w:rsid w:val="00453D6F"/>
    <w:rsid w:val="00461611"/>
    <w:rsid w:val="00463A2C"/>
    <w:rsid w:val="00474987"/>
    <w:rsid w:val="00477D30"/>
    <w:rsid w:val="00480634"/>
    <w:rsid w:val="00485408"/>
    <w:rsid w:val="0048648D"/>
    <w:rsid w:val="004A0E36"/>
    <w:rsid w:val="004A2123"/>
    <w:rsid w:val="004A5BF3"/>
    <w:rsid w:val="004C0979"/>
    <w:rsid w:val="004C5B09"/>
    <w:rsid w:val="004C6EA9"/>
    <w:rsid w:val="004F1457"/>
    <w:rsid w:val="004F4530"/>
    <w:rsid w:val="004F5A23"/>
    <w:rsid w:val="00500BE1"/>
    <w:rsid w:val="00511F92"/>
    <w:rsid w:val="0051560A"/>
    <w:rsid w:val="005200DD"/>
    <w:rsid w:val="00526286"/>
    <w:rsid w:val="0055522F"/>
    <w:rsid w:val="00583CA8"/>
    <w:rsid w:val="0058579D"/>
    <w:rsid w:val="005B60B7"/>
    <w:rsid w:val="005B6A35"/>
    <w:rsid w:val="005C1135"/>
    <w:rsid w:val="005C1ADC"/>
    <w:rsid w:val="005C6FA6"/>
    <w:rsid w:val="005C7C3B"/>
    <w:rsid w:val="005D5A7E"/>
    <w:rsid w:val="005E41E8"/>
    <w:rsid w:val="005E5253"/>
    <w:rsid w:val="005F6841"/>
    <w:rsid w:val="0060025F"/>
    <w:rsid w:val="006010BB"/>
    <w:rsid w:val="00611464"/>
    <w:rsid w:val="00614745"/>
    <w:rsid w:val="00621AE4"/>
    <w:rsid w:val="00627D37"/>
    <w:rsid w:val="0063722B"/>
    <w:rsid w:val="006627EE"/>
    <w:rsid w:val="00662808"/>
    <w:rsid w:val="006710F0"/>
    <w:rsid w:val="006738AA"/>
    <w:rsid w:val="00681E65"/>
    <w:rsid w:val="006A78B5"/>
    <w:rsid w:val="006B0502"/>
    <w:rsid w:val="006B35F8"/>
    <w:rsid w:val="006E7BF0"/>
    <w:rsid w:val="006F1C7E"/>
    <w:rsid w:val="007007FE"/>
    <w:rsid w:val="00701D29"/>
    <w:rsid w:val="00702E69"/>
    <w:rsid w:val="00702EB8"/>
    <w:rsid w:val="00703AA9"/>
    <w:rsid w:val="00705048"/>
    <w:rsid w:val="007133E9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A3008"/>
    <w:rsid w:val="007B042C"/>
    <w:rsid w:val="007B103F"/>
    <w:rsid w:val="007B5296"/>
    <w:rsid w:val="007C7AF2"/>
    <w:rsid w:val="007D04B0"/>
    <w:rsid w:val="007D6743"/>
    <w:rsid w:val="007E77F9"/>
    <w:rsid w:val="007F42FD"/>
    <w:rsid w:val="0082396F"/>
    <w:rsid w:val="00843688"/>
    <w:rsid w:val="00845B5A"/>
    <w:rsid w:val="00852DF8"/>
    <w:rsid w:val="00887D28"/>
    <w:rsid w:val="00892B73"/>
    <w:rsid w:val="008A77FF"/>
    <w:rsid w:val="008B5066"/>
    <w:rsid w:val="008B6FD3"/>
    <w:rsid w:val="008B7971"/>
    <w:rsid w:val="008C3D29"/>
    <w:rsid w:val="008C5459"/>
    <w:rsid w:val="008D1657"/>
    <w:rsid w:val="008F17A3"/>
    <w:rsid w:val="008F3A3E"/>
    <w:rsid w:val="00904D6F"/>
    <w:rsid w:val="0091123D"/>
    <w:rsid w:val="00924ECB"/>
    <w:rsid w:val="009261DF"/>
    <w:rsid w:val="00926F26"/>
    <w:rsid w:val="0093292A"/>
    <w:rsid w:val="00942D4E"/>
    <w:rsid w:val="0097678A"/>
    <w:rsid w:val="009840E3"/>
    <w:rsid w:val="00993EF5"/>
    <w:rsid w:val="009A0ED3"/>
    <w:rsid w:val="009D1594"/>
    <w:rsid w:val="009D1D14"/>
    <w:rsid w:val="009E0C29"/>
    <w:rsid w:val="009E5268"/>
    <w:rsid w:val="009F1910"/>
    <w:rsid w:val="009F19F1"/>
    <w:rsid w:val="00A21D15"/>
    <w:rsid w:val="00A3158C"/>
    <w:rsid w:val="00A34F76"/>
    <w:rsid w:val="00A45778"/>
    <w:rsid w:val="00A509A9"/>
    <w:rsid w:val="00A51D98"/>
    <w:rsid w:val="00A84CED"/>
    <w:rsid w:val="00A86B94"/>
    <w:rsid w:val="00A91843"/>
    <w:rsid w:val="00A95E2A"/>
    <w:rsid w:val="00AA54D5"/>
    <w:rsid w:val="00AB0FC6"/>
    <w:rsid w:val="00AB7396"/>
    <w:rsid w:val="00AB7959"/>
    <w:rsid w:val="00AD4C22"/>
    <w:rsid w:val="00AE0A87"/>
    <w:rsid w:val="00AE2080"/>
    <w:rsid w:val="00B05A5F"/>
    <w:rsid w:val="00B11414"/>
    <w:rsid w:val="00B156B4"/>
    <w:rsid w:val="00B37D6F"/>
    <w:rsid w:val="00B424E0"/>
    <w:rsid w:val="00B4636A"/>
    <w:rsid w:val="00B52D9A"/>
    <w:rsid w:val="00B70C50"/>
    <w:rsid w:val="00B86FFE"/>
    <w:rsid w:val="00BA653D"/>
    <w:rsid w:val="00BB59A0"/>
    <w:rsid w:val="00BB75C8"/>
    <w:rsid w:val="00BD22D5"/>
    <w:rsid w:val="00BD68D4"/>
    <w:rsid w:val="00BF72BB"/>
    <w:rsid w:val="00C116E6"/>
    <w:rsid w:val="00C13DC8"/>
    <w:rsid w:val="00C140A1"/>
    <w:rsid w:val="00C26CFE"/>
    <w:rsid w:val="00C32FEF"/>
    <w:rsid w:val="00C45947"/>
    <w:rsid w:val="00C50C38"/>
    <w:rsid w:val="00C51563"/>
    <w:rsid w:val="00C52EF6"/>
    <w:rsid w:val="00C561BA"/>
    <w:rsid w:val="00C66197"/>
    <w:rsid w:val="00C80C7B"/>
    <w:rsid w:val="00C83A8F"/>
    <w:rsid w:val="00C949F8"/>
    <w:rsid w:val="00CA0052"/>
    <w:rsid w:val="00CA4EEB"/>
    <w:rsid w:val="00CA4F87"/>
    <w:rsid w:val="00CA745C"/>
    <w:rsid w:val="00CB47E4"/>
    <w:rsid w:val="00CC20B3"/>
    <w:rsid w:val="00CC681C"/>
    <w:rsid w:val="00CD5FC7"/>
    <w:rsid w:val="00CE023F"/>
    <w:rsid w:val="00CE4811"/>
    <w:rsid w:val="00D000E3"/>
    <w:rsid w:val="00D034D8"/>
    <w:rsid w:val="00D054C7"/>
    <w:rsid w:val="00D22783"/>
    <w:rsid w:val="00D2420B"/>
    <w:rsid w:val="00D43E88"/>
    <w:rsid w:val="00D4584B"/>
    <w:rsid w:val="00D50B7E"/>
    <w:rsid w:val="00D57362"/>
    <w:rsid w:val="00D71113"/>
    <w:rsid w:val="00D7249C"/>
    <w:rsid w:val="00D76F9D"/>
    <w:rsid w:val="00D97542"/>
    <w:rsid w:val="00D97D19"/>
    <w:rsid w:val="00DA0673"/>
    <w:rsid w:val="00DA3772"/>
    <w:rsid w:val="00DC0DC3"/>
    <w:rsid w:val="00DC10C7"/>
    <w:rsid w:val="00DC1671"/>
    <w:rsid w:val="00DC7D08"/>
    <w:rsid w:val="00DD065F"/>
    <w:rsid w:val="00DD284C"/>
    <w:rsid w:val="00DD53A2"/>
    <w:rsid w:val="00DD77A2"/>
    <w:rsid w:val="00DE0A0D"/>
    <w:rsid w:val="00DE68FA"/>
    <w:rsid w:val="00E0554C"/>
    <w:rsid w:val="00E149E3"/>
    <w:rsid w:val="00E26A80"/>
    <w:rsid w:val="00E352EB"/>
    <w:rsid w:val="00E434DB"/>
    <w:rsid w:val="00E45ED0"/>
    <w:rsid w:val="00E51AB3"/>
    <w:rsid w:val="00E53444"/>
    <w:rsid w:val="00E54835"/>
    <w:rsid w:val="00E54E39"/>
    <w:rsid w:val="00E60FCE"/>
    <w:rsid w:val="00E6591A"/>
    <w:rsid w:val="00E66167"/>
    <w:rsid w:val="00E71F15"/>
    <w:rsid w:val="00E93822"/>
    <w:rsid w:val="00E94261"/>
    <w:rsid w:val="00EA2DD0"/>
    <w:rsid w:val="00EB5363"/>
    <w:rsid w:val="00EC0BDC"/>
    <w:rsid w:val="00EC1C8C"/>
    <w:rsid w:val="00EC2260"/>
    <w:rsid w:val="00EC36EA"/>
    <w:rsid w:val="00EC3B3A"/>
    <w:rsid w:val="00ED5215"/>
    <w:rsid w:val="00EE0E62"/>
    <w:rsid w:val="00EE6A28"/>
    <w:rsid w:val="00EF5531"/>
    <w:rsid w:val="00F10320"/>
    <w:rsid w:val="00F1589F"/>
    <w:rsid w:val="00F50407"/>
    <w:rsid w:val="00F63FB1"/>
    <w:rsid w:val="00F65453"/>
    <w:rsid w:val="00F76435"/>
    <w:rsid w:val="00F91B40"/>
    <w:rsid w:val="00F95C42"/>
    <w:rsid w:val="00FA43FA"/>
    <w:rsid w:val="00FB6DF9"/>
    <w:rsid w:val="00FC5594"/>
    <w:rsid w:val="00FC7C80"/>
    <w:rsid w:val="00FD1489"/>
    <w:rsid w:val="00FD4AAA"/>
    <w:rsid w:val="00FE29F4"/>
    <w:rsid w:val="00FF1EFC"/>
    <w:rsid w:val="00FF7098"/>
    <w:rsid w:val="6AF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7C6A3"/>
  <w15:chartTrackingRefBased/>
  <w15:docId w15:val="{653B656E-FF0B-4B41-90BE-7E743B0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D29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C80C7B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1B6B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0E17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1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1715"/>
  </w:style>
  <w:style w:type="paragraph" w:styleId="CommentSubject">
    <w:name w:val="annotation subject"/>
    <w:basedOn w:val="CommentText"/>
    <w:next w:val="CommentText"/>
    <w:link w:val="CommentSubjectChar"/>
    <w:rsid w:val="000E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1715"/>
    <w:rPr>
      <w:b/>
      <w:bCs/>
    </w:rPr>
  </w:style>
  <w:style w:type="character" w:styleId="Mention">
    <w:name w:val="Mention"/>
    <w:basedOn w:val="DefaultParagraphFont"/>
    <w:uiPriority w:val="99"/>
    <w:unhideWhenUsed/>
    <w:rsid w:val="000E171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A8E5DC-03D4-4F19-B08C-EC63B87A6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6A6C9B-9ED2-4751-A77F-72BFCD151DB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fad01eb7-d870-475a-9d28-789bb88fcc6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e718eae-16bc-49f1-9e0a-85226ba39ba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9A2BB2-DF10-44E0-B2F8-0C346A02E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0D4044-62BD-461F-A579-EC64FC15FB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35</TotalTime>
  <Pages>1</Pages>
  <Words>441</Words>
  <Characters>2871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Shirey, Keith W</cp:lastModifiedBy>
  <cp:revision>2</cp:revision>
  <dcterms:created xsi:type="dcterms:W3CDTF">2024-09-25T16:16:00Z</dcterms:created>
  <dcterms:modified xsi:type="dcterms:W3CDTF">2024-09-25T16:16:00Z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2021-09-02T10:38:31Z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1cee7d2c-478b-4f1d-a97e-911c61bb42eb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