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55D1" w14:textId="1C4E8F24" w:rsidR="004A09DE" w:rsidRPr="00812777" w:rsidRDefault="00A3108F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4A09DE">
        <w:rPr>
          <w:rFonts w:ascii="Verdana" w:hAnsi="Verdana"/>
          <w:color w:val="000000"/>
          <w:sz w:val="36"/>
          <w:szCs w:val="36"/>
        </w:rPr>
        <w:t xml:space="preserve">Inactive NDC </w:t>
      </w:r>
    </w:p>
    <w:p w14:paraId="509A486C" w14:textId="16B1523A" w:rsidR="004A4A5A" w:rsidRPr="007F5608" w:rsidRDefault="005E3632" w:rsidP="007F5608">
      <w:pPr>
        <w:rPr>
          <w:rFonts w:ascii="Verdana" w:hAnsi="Verdana"/>
          <w:noProof/>
          <w:sz w:val="22"/>
          <w:szCs w:val="22"/>
        </w:rPr>
      </w:pPr>
      <w:r w:rsidRPr="007F5608">
        <w:rPr>
          <w:rFonts w:ascii="Verdana" w:hAnsi="Verdana"/>
        </w:rPr>
        <w:fldChar w:fldCharType="begin"/>
      </w:r>
      <w:r w:rsidRPr="007F5608">
        <w:rPr>
          <w:rFonts w:ascii="Verdana" w:hAnsi="Verdana"/>
        </w:rPr>
        <w:instrText xml:space="preserve"> TOC \o "2-2" \n \p " " \h \z \u </w:instrText>
      </w:r>
      <w:r w:rsidRPr="007F5608">
        <w:rPr>
          <w:rFonts w:ascii="Verdana" w:hAnsi="Verdana"/>
        </w:rPr>
        <w:fldChar w:fldCharType="separate"/>
      </w:r>
      <w:hyperlink w:anchor="_Toc102987729" w:history="1">
        <w:r w:rsidR="004A4A5A" w:rsidRPr="007F5608">
          <w:rPr>
            <w:rStyle w:val="Hyperlink"/>
            <w:rFonts w:ascii="Verdana" w:hAnsi="Verdana"/>
            <w:noProof/>
          </w:rPr>
          <w:t>Claim Rejects for Inactive NDC</w:t>
        </w:r>
      </w:hyperlink>
    </w:p>
    <w:p w14:paraId="49D94082" w14:textId="077CC2CB" w:rsidR="004A4A5A" w:rsidRPr="007F5608" w:rsidRDefault="004A4A5A" w:rsidP="007F5608">
      <w:pPr>
        <w:rPr>
          <w:rFonts w:ascii="Verdana" w:hAnsi="Verdana"/>
          <w:noProof/>
          <w:sz w:val="22"/>
          <w:szCs w:val="22"/>
        </w:rPr>
      </w:pPr>
      <w:hyperlink w:anchor="_Toc102987730" w:history="1">
        <w:r w:rsidRPr="007F5608">
          <w:rPr>
            <w:rStyle w:val="Hyperlink"/>
            <w:rFonts w:ascii="Verdana" w:hAnsi="Verdana"/>
            <w:noProof/>
          </w:rPr>
          <w:t>Plan Benefit Override for Inactive NDC</w:t>
        </w:r>
      </w:hyperlink>
    </w:p>
    <w:p w14:paraId="2E8C9CEF" w14:textId="1BB2E3EE" w:rsidR="004A4A5A" w:rsidRPr="007F5608" w:rsidRDefault="004A4A5A" w:rsidP="007F5608">
      <w:pPr>
        <w:rPr>
          <w:rFonts w:ascii="Verdana" w:hAnsi="Verdana"/>
          <w:noProof/>
          <w:sz w:val="22"/>
          <w:szCs w:val="22"/>
        </w:rPr>
      </w:pPr>
      <w:hyperlink w:anchor="_Toc102987731" w:history="1">
        <w:r w:rsidRPr="007F5608">
          <w:rPr>
            <w:rStyle w:val="Hyperlink"/>
            <w:rFonts w:ascii="Verdana" w:hAnsi="Verdana"/>
            <w:noProof/>
          </w:rPr>
          <w:t>Related Documents</w:t>
        </w:r>
      </w:hyperlink>
    </w:p>
    <w:p w14:paraId="6F5AA54F" w14:textId="636D5144" w:rsidR="004A4A5A" w:rsidRDefault="005E3632" w:rsidP="007F5608">
      <w:pPr>
        <w:rPr>
          <w:rFonts w:ascii="Verdana" w:hAnsi="Verdana"/>
        </w:rPr>
      </w:pPr>
      <w:r w:rsidRPr="007F5608">
        <w:rPr>
          <w:rFonts w:ascii="Verdana" w:hAnsi="Verdana"/>
        </w:rPr>
        <w:fldChar w:fldCharType="end"/>
      </w:r>
      <w:bookmarkStart w:id="1" w:name="_Overview"/>
      <w:bookmarkEnd w:id="1"/>
    </w:p>
    <w:p w14:paraId="20CEC26D" w14:textId="68CB69B3" w:rsidR="00325F50" w:rsidRDefault="00946D46" w:rsidP="00480E2E">
      <w:pPr>
        <w:tabs>
          <w:tab w:val="left" w:pos="3075"/>
        </w:tabs>
        <w:autoSpaceDE w:val="0"/>
        <w:autoSpaceDN w:val="0"/>
        <w:adjustRightInd w:val="0"/>
        <w:spacing w:before="120" w:after="120"/>
      </w:pPr>
      <w:r w:rsidRPr="004A4A5A">
        <w:rPr>
          <w:rFonts w:ascii="Verdana" w:hAnsi="Verdana" w:cs="Arial"/>
          <w:b/>
          <w:bCs/>
        </w:rPr>
        <w:t>Description:</w:t>
      </w:r>
      <w:r>
        <w:rPr>
          <w:rFonts w:ascii="Verdana" w:hAnsi="Verdana" w:cs="Arial"/>
        </w:rPr>
        <w:t xml:space="preserve"> </w:t>
      </w:r>
      <w:r w:rsidR="007F1C55">
        <w:rPr>
          <w:rFonts w:ascii="Verdana" w:hAnsi="Verdana" w:cs="Arial"/>
        </w:rPr>
        <w:t>H</w:t>
      </w:r>
      <w:r w:rsidR="00FF040E">
        <w:rPr>
          <w:rFonts w:ascii="Verdana" w:hAnsi="Verdana" w:cs="Arial"/>
        </w:rPr>
        <w:t>ow t</w:t>
      </w:r>
      <w:r w:rsidR="00CE5FC5">
        <w:rPr>
          <w:rFonts w:ascii="Verdana" w:hAnsi="Verdana" w:cs="Arial"/>
        </w:rPr>
        <w:t xml:space="preserve">o </w:t>
      </w:r>
      <w:r w:rsidR="00981BD0">
        <w:rPr>
          <w:rFonts w:ascii="Verdana" w:hAnsi="Verdana" w:cs="Arial"/>
        </w:rPr>
        <w:t>ensure that</w:t>
      </w:r>
      <w:r w:rsidR="00CE5FC5">
        <w:rPr>
          <w:rFonts w:ascii="Verdana" w:hAnsi="Verdana" w:cs="Arial"/>
        </w:rPr>
        <w:t xml:space="preserve"> our</w:t>
      </w:r>
      <w:r w:rsidR="000A4011">
        <w:rPr>
          <w:rFonts w:ascii="Verdana" w:hAnsi="Verdana" w:cs="Arial"/>
        </w:rPr>
        <w:t xml:space="preserve"> </w:t>
      </w:r>
      <w:r w:rsidR="005B6D49">
        <w:rPr>
          <w:rFonts w:ascii="Verdana" w:hAnsi="Verdana" w:cs="Arial"/>
        </w:rPr>
        <w:t>Mail Order</w:t>
      </w:r>
      <w:r w:rsidR="004A09DE" w:rsidRPr="00B71E78">
        <w:rPr>
          <w:rFonts w:ascii="Verdana" w:hAnsi="Verdana" w:cs="Arial"/>
        </w:rPr>
        <w:t xml:space="preserve"> </w:t>
      </w:r>
      <w:r w:rsidR="00CE5FC5">
        <w:rPr>
          <w:rFonts w:ascii="Verdana" w:hAnsi="Verdana" w:cs="Arial"/>
        </w:rPr>
        <w:t xml:space="preserve">pharmacies </w:t>
      </w:r>
      <w:r>
        <w:rPr>
          <w:rFonts w:ascii="Verdana" w:hAnsi="Verdana" w:cs="Arial"/>
        </w:rPr>
        <w:t xml:space="preserve">remain </w:t>
      </w:r>
      <w:r w:rsidR="004A09DE" w:rsidRPr="00B71E78">
        <w:rPr>
          <w:rFonts w:ascii="Verdana" w:hAnsi="Verdana" w:cs="Arial"/>
        </w:rPr>
        <w:t xml:space="preserve">in compliance with states that do not allow the dispensing of inactive NDCs under their state-sponsored plans, </w:t>
      </w:r>
      <w:r w:rsidR="00325F50">
        <w:rPr>
          <w:rFonts w:ascii="Verdana" w:hAnsi="Verdana" w:cs="Arial"/>
        </w:rPr>
        <w:t>c</w:t>
      </w:r>
      <w:r w:rsidR="004A09DE" w:rsidRPr="00B71E78">
        <w:rPr>
          <w:rFonts w:ascii="Verdana" w:hAnsi="Verdana" w:cs="Arial"/>
        </w:rPr>
        <w:t>lients have requested that a warning</w:t>
      </w:r>
      <w:r w:rsidR="004A09DE">
        <w:rPr>
          <w:rFonts w:ascii="Verdana" w:hAnsi="Verdana" w:cs="Arial"/>
        </w:rPr>
        <w:t xml:space="preserve"> and/or a reject</w:t>
      </w:r>
      <w:r w:rsidR="004A09DE" w:rsidRPr="00B71E78">
        <w:rPr>
          <w:rFonts w:ascii="Verdana" w:hAnsi="Verdana" w:cs="Arial"/>
        </w:rPr>
        <w:t xml:space="preserve"> message be built for retail/POS claims to notify the retail pharmacies that they are dispensing an inactive NDC.</w:t>
      </w:r>
      <w:r w:rsidR="00CE5FC5">
        <w:rPr>
          <w:rFonts w:ascii="Verdana" w:hAnsi="Verdana" w:cs="Arial"/>
        </w:rPr>
        <w:t xml:space="preserve"> </w:t>
      </w:r>
    </w:p>
    <w:p w14:paraId="3705985B" w14:textId="27FDE27C" w:rsidR="004A09DE" w:rsidRDefault="004A09DE" w:rsidP="005A64DA">
      <w:pPr>
        <w:jc w:val="right"/>
        <w:rPr>
          <w:rFonts w:ascii="Verdana" w:hAnsi="Verdana"/>
        </w:rPr>
      </w:pPr>
      <w:bookmarkStart w:id="2" w:name="_PAR_Process_after_a_FRX_/_FRC_confl"/>
      <w:bookmarkStart w:id="3" w:name="_Search_by_Order#"/>
      <w:bookmarkStart w:id="4" w:name="_Various_Work_Instructions"/>
      <w:bookmarkStart w:id="5" w:name="_Next_Day_and"/>
      <w:bookmarkStart w:id="6" w:name="_Scanning_the_Targets"/>
      <w:bookmarkStart w:id="7" w:name="_LAN_Log_In"/>
      <w:bookmarkStart w:id="8" w:name="_AMOS_Log_In"/>
      <w:bookmarkStart w:id="9" w:name="_Check_Look_Up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A09DE" w:rsidRPr="00BF74E9" w14:paraId="1B37F6BE" w14:textId="77777777" w:rsidTr="00C947EE">
        <w:tc>
          <w:tcPr>
            <w:tcW w:w="5000" w:type="pct"/>
            <w:shd w:val="clear" w:color="auto" w:fill="C0C0C0"/>
          </w:tcPr>
          <w:p w14:paraId="6CB29CD8" w14:textId="77777777" w:rsidR="004A09DE" w:rsidRPr="00C947EE" w:rsidRDefault="000C551E" w:rsidP="00480E2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Claim_rejects_for_Inactive_NDC"/>
            <w:bookmarkStart w:id="11" w:name="_Process_for_Handling"/>
            <w:bookmarkStart w:id="12" w:name="_Claim_rejects_for"/>
            <w:bookmarkStart w:id="13" w:name="_Toc102987729"/>
            <w:bookmarkEnd w:id="10"/>
            <w:bookmarkEnd w:id="11"/>
            <w:bookmarkEnd w:id="12"/>
            <w:r>
              <w:rPr>
                <w:rFonts w:ascii="Verdana" w:hAnsi="Verdana"/>
                <w:i w:val="0"/>
                <w:iCs w:val="0"/>
              </w:rPr>
              <w:t>Claim R</w:t>
            </w:r>
            <w:r w:rsidR="004A09DE" w:rsidRPr="00C947EE">
              <w:rPr>
                <w:rFonts w:ascii="Verdana" w:hAnsi="Verdana"/>
                <w:i w:val="0"/>
                <w:iCs w:val="0"/>
              </w:rPr>
              <w:t>ejects for Inactive NDC</w:t>
            </w:r>
            <w:bookmarkEnd w:id="13"/>
          </w:p>
        </w:tc>
      </w:tr>
    </w:tbl>
    <w:p w14:paraId="4D019CA2" w14:textId="5FF90E16" w:rsidR="00706B22" w:rsidRDefault="00706B22" w:rsidP="00480E2E">
      <w:pPr>
        <w:tabs>
          <w:tab w:val="left" w:pos="3075"/>
        </w:tabs>
        <w:autoSpaceDE w:val="0"/>
        <w:autoSpaceDN w:val="0"/>
        <w:adjustRightInd w:val="0"/>
        <w:spacing w:before="120" w:after="120"/>
        <w:rPr>
          <w:rFonts w:ascii="Verdana" w:hAnsi="Verdana" w:cs="Arial"/>
        </w:rPr>
      </w:pPr>
      <w:r w:rsidRPr="00B71E78">
        <w:rPr>
          <w:rFonts w:ascii="Verdana" w:hAnsi="Verdana" w:cs="Arial"/>
        </w:rPr>
        <w:t>The expectation is that the pharmacists  act</w:t>
      </w:r>
      <w:r w:rsidR="007F1C55">
        <w:rPr>
          <w:rFonts w:ascii="Verdana" w:hAnsi="Verdana" w:cs="Arial"/>
        </w:rPr>
        <w:t>s</w:t>
      </w:r>
      <w:r w:rsidRPr="00B71E78">
        <w:rPr>
          <w:rFonts w:ascii="Verdana" w:hAnsi="Verdana" w:cs="Arial"/>
        </w:rPr>
        <w:t xml:space="preserve"> appropriately upon receiving the message indicating that the NDC to be dispensed is inactive, such as substituting the inactive NDC drug with </w:t>
      </w:r>
      <w:r>
        <w:rPr>
          <w:rFonts w:ascii="Verdana" w:hAnsi="Verdana" w:cs="Arial"/>
        </w:rPr>
        <w:t>the same medication with a different active NDC number.</w:t>
      </w:r>
    </w:p>
    <w:p w14:paraId="51E2C2E0" w14:textId="77777777" w:rsidR="004A09DE" w:rsidRPr="00176400" w:rsidRDefault="004A09DE" w:rsidP="00480E2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C95D04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11994"/>
      </w:tblGrid>
      <w:tr w:rsidR="004A09DE" w:rsidRPr="00E157BC" w14:paraId="715B787E" w14:textId="77777777" w:rsidTr="00981BD0">
        <w:tc>
          <w:tcPr>
            <w:tcW w:w="369" w:type="pct"/>
            <w:shd w:val="clear" w:color="auto" w:fill="E6E6E6"/>
          </w:tcPr>
          <w:p w14:paraId="035AE4EB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Step</w:t>
            </w:r>
          </w:p>
        </w:tc>
        <w:tc>
          <w:tcPr>
            <w:tcW w:w="4631" w:type="pct"/>
            <w:shd w:val="clear" w:color="auto" w:fill="E6E6E6"/>
          </w:tcPr>
          <w:p w14:paraId="510CC12B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 xml:space="preserve">Action </w:t>
            </w:r>
          </w:p>
        </w:tc>
      </w:tr>
      <w:tr w:rsidR="004A09DE" w:rsidRPr="00E157BC" w14:paraId="6B624039" w14:textId="77777777" w:rsidTr="00981BD0">
        <w:tc>
          <w:tcPr>
            <w:tcW w:w="369" w:type="pct"/>
          </w:tcPr>
          <w:p w14:paraId="5D2A6CDD" w14:textId="77777777" w:rsidR="004A09DE" w:rsidRPr="00C947EE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31" w:type="pct"/>
          </w:tcPr>
          <w:p w14:paraId="3F9F3420" w14:textId="77777777" w:rsidR="004A09DE" w:rsidRDefault="00C95D04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4A09DE" w:rsidRPr="00C947EE">
              <w:rPr>
                <w:rFonts w:ascii="Verdana" w:hAnsi="Verdana"/>
              </w:rPr>
              <w:t>eterm</w:t>
            </w:r>
            <w:r>
              <w:rPr>
                <w:rFonts w:ascii="Verdana" w:hAnsi="Verdana"/>
              </w:rPr>
              <w:t>ine why the claim is rejecting by viewing</w:t>
            </w:r>
            <w:r w:rsidR="004A09DE" w:rsidRPr="00C947EE">
              <w:rPr>
                <w:rFonts w:ascii="Verdana" w:hAnsi="Verdana"/>
              </w:rPr>
              <w:t xml:space="preserve"> the settlement codes from the rejected claim</w:t>
            </w:r>
            <w:r>
              <w:rPr>
                <w:rFonts w:ascii="Verdana" w:hAnsi="Verdana"/>
              </w:rPr>
              <w:t>.</w:t>
            </w:r>
          </w:p>
          <w:p w14:paraId="599F814C" w14:textId="77777777" w:rsidR="00C95D04" w:rsidRDefault="00C95D04" w:rsidP="00480E2E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C947EE">
              <w:rPr>
                <w:rFonts w:ascii="Verdana" w:hAnsi="Verdana"/>
              </w:rPr>
              <w:t xml:space="preserve">If the settlement code is </w:t>
            </w:r>
            <w:r w:rsidRPr="00706B22">
              <w:rPr>
                <w:rFonts w:ascii="Verdana" w:hAnsi="Verdana"/>
                <w:b/>
              </w:rPr>
              <w:t>3314</w:t>
            </w:r>
            <w:r w:rsidRPr="00C947EE">
              <w:rPr>
                <w:rFonts w:ascii="Verdana" w:hAnsi="Verdana"/>
              </w:rPr>
              <w:t xml:space="preserve"> DRUG DISC. RESUBMIT ACTIVE NDC the pharmacy would need to substitute the Inactive NDC # to Active NDC #.</w:t>
            </w:r>
          </w:p>
          <w:p w14:paraId="573019FF" w14:textId="77777777" w:rsidR="00C95D04" w:rsidRPr="00C947EE" w:rsidRDefault="005B6D49" w:rsidP="00480E2E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reject code is </w:t>
            </w:r>
            <w:r w:rsidRPr="00706B22">
              <w:rPr>
                <w:rFonts w:ascii="Verdana" w:hAnsi="Verdana"/>
                <w:b/>
              </w:rPr>
              <w:t>54</w:t>
            </w:r>
            <w:r>
              <w:rPr>
                <w:rFonts w:ascii="Verdana" w:hAnsi="Verdana"/>
              </w:rPr>
              <w:t xml:space="preserve"> (NDC Not FDA Approved), there is not an option to fix.</w:t>
            </w:r>
          </w:p>
        </w:tc>
      </w:tr>
      <w:tr w:rsidR="004A09DE" w:rsidRPr="00E157BC" w14:paraId="515BFF3E" w14:textId="77777777" w:rsidTr="00981BD0">
        <w:tc>
          <w:tcPr>
            <w:tcW w:w="369" w:type="pct"/>
          </w:tcPr>
          <w:p w14:paraId="3346BCD3" w14:textId="77777777" w:rsidR="004A09DE" w:rsidRPr="001C6E8A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lastRenderedPageBreak/>
              <w:t>2</w:t>
            </w:r>
          </w:p>
        </w:tc>
        <w:tc>
          <w:tcPr>
            <w:tcW w:w="4631" w:type="pct"/>
          </w:tcPr>
          <w:p w14:paraId="3BC6B6B5" w14:textId="77777777" w:rsidR="005B6D49" w:rsidRPr="001C6E8A" w:rsidRDefault="001C6E8A" w:rsidP="00480E2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4A09DE" w:rsidRPr="001C6E8A">
              <w:rPr>
                <w:rFonts w:ascii="Verdana" w:hAnsi="Verdana"/>
                <w:color w:val="000000"/>
              </w:rPr>
              <w:t xml:space="preserve">ssure the plan </w:t>
            </w:r>
            <w:r w:rsidRPr="001C6E8A">
              <w:rPr>
                <w:rFonts w:ascii="Verdana" w:hAnsi="Verdana"/>
                <w:color w:val="000000"/>
              </w:rPr>
              <w:t>member</w:t>
            </w:r>
            <w:r w:rsidR="004A09DE" w:rsidRPr="001C6E8A">
              <w:rPr>
                <w:rFonts w:ascii="Verdana" w:hAnsi="Verdana"/>
                <w:color w:val="000000"/>
              </w:rPr>
              <w:t xml:space="preserve"> their drug is covered; however, the claim is rejecting because their </w:t>
            </w:r>
            <w:r w:rsidR="004A09DE" w:rsidRPr="00C31573">
              <w:rPr>
                <w:rFonts w:ascii="Verdana" w:hAnsi="Verdana"/>
              </w:rPr>
              <w:t xml:space="preserve">pharmacy is using an </w:t>
            </w:r>
            <w:r w:rsidR="00C008BC" w:rsidRPr="00C31573">
              <w:rPr>
                <w:rFonts w:ascii="Verdana" w:hAnsi="Verdana"/>
              </w:rPr>
              <w:t>outdated code for the drug they are dispensing</w:t>
            </w:r>
            <w:r w:rsidR="00660F4D" w:rsidRPr="001C6E8A">
              <w:rPr>
                <w:rFonts w:ascii="Verdana" w:hAnsi="Verdana"/>
                <w:color w:val="000000"/>
              </w:rPr>
              <w:t>.</w:t>
            </w:r>
          </w:p>
        </w:tc>
      </w:tr>
      <w:tr w:rsidR="004A09DE" w:rsidRPr="00E157BC" w14:paraId="41CE9FAC" w14:textId="77777777" w:rsidTr="00981BD0">
        <w:tc>
          <w:tcPr>
            <w:tcW w:w="369" w:type="pct"/>
          </w:tcPr>
          <w:p w14:paraId="515BBDEC" w14:textId="77777777" w:rsidR="004A09DE" w:rsidRPr="001C6E8A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31" w:type="pct"/>
          </w:tcPr>
          <w:p w14:paraId="4791DCC0" w14:textId="77777777" w:rsidR="004A09DE" w:rsidRPr="001C6E8A" w:rsidRDefault="004A09DE" w:rsidP="00480E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C6E8A">
              <w:rPr>
                <w:rFonts w:ascii="Verdana" w:hAnsi="Verdana"/>
                <w:color w:val="000000"/>
              </w:rPr>
              <w:t xml:space="preserve">Advise the plan </w:t>
            </w:r>
            <w:r w:rsidR="001C6E8A" w:rsidRPr="001C6E8A">
              <w:rPr>
                <w:rFonts w:ascii="Verdana" w:hAnsi="Verdana"/>
                <w:color w:val="000000"/>
              </w:rPr>
              <w:t>member</w:t>
            </w:r>
            <w:r w:rsidRPr="001C6E8A">
              <w:rPr>
                <w:rFonts w:ascii="Verdana" w:hAnsi="Verdana"/>
                <w:color w:val="000000"/>
              </w:rPr>
              <w:t xml:space="preserve"> to have their </w:t>
            </w:r>
            <w:r w:rsidR="00C008BC">
              <w:rPr>
                <w:rFonts w:ascii="Verdana" w:hAnsi="Verdana"/>
                <w:color w:val="000000"/>
              </w:rPr>
              <w:t>p</w:t>
            </w:r>
            <w:r w:rsidRPr="001C6E8A">
              <w:rPr>
                <w:rFonts w:ascii="Verdana" w:hAnsi="Verdana"/>
                <w:color w:val="000000"/>
              </w:rPr>
              <w:t xml:space="preserve">harmacy contact the </w:t>
            </w:r>
            <w:r w:rsidRPr="00480E2E">
              <w:rPr>
                <w:rFonts w:ascii="Verdana" w:hAnsi="Verdana"/>
                <w:bCs/>
                <w:color w:val="000000"/>
              </w:rPr>
              <w:t>Pharmacy Help Desk</w:t>
            </w:r>
            <w:r w:rsidRPr="001C6E8A">
              <w:rPr>
                <w:rFonts w:ascii="Verdana" w:hAnsi="Verdana"/>
                <w:color w:val="000000"/>
              </w:rPr>
              <w:t xml:space="preserve"> at </w:t>
            </w:r>
            <w:r w:rsidR="00C31573">
              <w:rPr>
                <w:rFonts w:ascii="Verdana" w:hAnsi="Verdana"/>
                <w:b/>
                <w:color w:val="000000"/>
              </w:rPr>
              <w:t>1-800-364-6331</w:t>
            </w:r>
            <w:r w:rsidRPr="001C6E8A">
              <w:rPr>
                <w:rFonts w:ascii="Verdana" w:hAnsi="Verdana"/>
                <w:color w:val="000000"/>
              </w:rPr>
              <w:t xml:space="preserve"> for help in processing the claim</w:t>
            </w:r>
            <w:r w:rsidR="00C95D04" w:rsidRPr="001C6E8A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2ED04EDF" w14:textId="77777777" w:rsidR="001C6E8A" w:rsidRDefault="001C6E8A" w:rsidP="00C95D04">
      <w:pPr>
        <w:jc w:val="right"/>
      </w:pPr>
    </w:p>
    <w:p w14:paraId="086E7C22" w14:textId="77777777" w:rsidR="00FB6B97" w:rsidRDefault="00FB6B97" w:rsidP="00FB6B97">
      <w:pPr>
        <w:jc w:val="right"/>
        <w:rPr>
          <w:rFonts w:ascii="Verdana" w:hAnsi="Verdana"/>
        </w:rPr>
      </w:pPr>
      <w:hyperlink w:anchor="_top" w:history="1">
        <w:r w:rsidRPr="00FB6B9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A09DE" w:rsidRPr="00BF74E9" w14:paraId="4ADF7CDE" w14:textId="77777777" w:rsidTr="00480E2E">
        <w:tc>
          <w:tcPr>
            <w:tcW w:w="5000" w:type="pct"/>
            <w:shd w:val="clear" w:color="auto" w:fill="C0C0C0"/>
          </w:tcPr>
          <w:p w14:paraId="119CE3E5" w14:textId="77777777" w:rsidR="004A09DE" w:rsidRPr="00C947EE" w:rsidRDefault="004A09DE" w:rsidP="00480E2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Plan_Benefit_Override_for_Inactive_"/>
            <w:bookmarkStart w:id="15" w:name="_Plan_Benefit_Override"/>
            <w:bookmarkStart w:id="16" w:name="_Toc102987730"/>
            <w:bookmarkEnd w:id="14"/>
            <w:bookmarkEnd w:id="15"/>
            <w:r w:rsidRPr="00C947EE">
              <w:rPr>
                <w:rFonts w:ascii="Verdana" w:hAnsi="Verdana"/>
                <w:i w:val="0"/>
                <w:iCs w:val="0"/>
              </w:rPr>
              <w:t>Plan Benefit Override for Inactive NDC</w:t>
            </w:r>
            <w:bookmarkEnd w:id="16"/>
          </w:p>
        </w:tc>
      </w:tr>
    </w:tbl>
    <w:p w14:paraId="7AC61EB8" w14:textId="77777777" w:rsidR="004A09DE" w:rsidRPr="00176400" w:rsidRDefault="004A09DE" w:rsidP="00480E2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CE5FC5">
        <w:rPr>
          <w:rFonts w:ascii="Verdana" w:hAnsi="Verdana"/>
        </w:rPr>
        <w:t xml:space="preserve"> to override an Inactive NDC rejection.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900"/>
        <w:gridCol w:w="824"/>
        <w:gridCol w:w="4681"/>
        <w:gridCol w:w="5596"/>
      </w:tblGrid>
      <w:tr w:rsidR="00C95D04" w:rsidRPr="00E157BC" w14:paraId="687A6813" w14:textId="77777777" w:rsidTr="00981BD0">
        <w:tc>
          <w:tcPr>
            <w:tcW w:w="369" w:type="pct"/>
            <w:shd w:val="clear" w:color="auto" w:fill="E6E6E6"/>
          </w:tcPr>
          <w:p w14:paraId="1D958363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Step</w:t>
            </w:r>
          </w:p>
        </w:tc>
        <w:tc>
          <w:tcPr>
            <w:tcW w:w="4631" w:type="pct"/>
            <w:gridSpan w:val="4"/>
            <w:shd w:val="clear" w:color="auto" w:fill="E6E6E6"/>
          </w:tcPr>
          <w:p w14:paraId="0BDE4143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 xml:space="preserve">Action </w:t>
            </w:r>
          </w:p>
        </w:tc>
      </w:tr>
      <w:tr w:rsidR="00C95D04" w:rsidRPr="00E157BC" w14:paraId="658ABD92" w14:textId="77777777" w:rsidTr="00981BD0">
        <w:trPr>
          <w:trHeight w:val="57"/>
        </w:trPr>
        <w:tc>
          <w:tcPr>
            <w:tcW w:w="369" w:type="pct"/>
            <w:vMerge w:val="restart"/>
          </w:tcPr>
          <w:p w14:paraId="3AF79EB5" w14:textId="77777777" w:rsidR="00C95D04" w:rsidRPr="00C947EE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31" w:type="pct"/>
            <w:gridSpan w:val="4"/>
            <w:tcBorders>
              <w:bottom w:val="single" w:sz="4" w:space="0" w:color="auto"/>
            </w:tcBorders>
          </w:tcPr>
          <w:p w14:paraId="48905E9E" w14:textId="77777777" w:rsidR="00C95D04" w:rsidRPr="00C947EE" w:rsidRDefault="00C95D04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Plan Benefit Override screen to d</w:t>
            </w:r>
            <w:r w:rsidRPr="00C947EE">
              <w:rPr>
                <w:rFonts w:ascii="Verdana" w:hAnsi="Verdana"/>
              </w:rPr>
              <w:t>etermine if the Client has added a</w:t>
            </w:r>
            <w:r>
              <w:rPr>
                <w:rFonts w:ascii="Verdana" w:hAnsi="Verdana"/>
              </w:rPr>
              <w:t>n</w:t>
            </w:r>
            <w:r w:rsidRPr="00C947EE">
              <w:rPr>
                <w:rFonts w:ascii="Verdana" w:hAnsi="Verdana"/>
              </w:rPr>
              <w:t xml:space="preserve"> Inactive NDC PBO</w:t>
            </w:r>
            <w:r w:rsidRPr="001C6E8A">
              <w:rPr>
                <w:rFonts w:ascii="Verdana" w:hAnsi="Verdana"/>
              </w:rPr>
              <w:t>.</w:t>
            </w:r>
          </w:p>
        </w:tc>
      </w:tr>
      <w:tr w:rsidR="001C6E8A" w:rsidRPr="00E157BC" w14:paraId="7556AEF0" w14:textId="77777777" w:rsidTr="00981BD0">
        <w:trPr>
          <w:trHeight w:val="57"/>
        </w:trPr>
        <w:tc>
          <w:tcPr>
            <w:tcW w:w="369" w:type="pct"/>
            <w:vMerge/>
          </w:tcPr>
          <w:p w14:paraId="169772A4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shd w:val="clear" w:color="auto" w:fill="E6E6E6"/>
          </w:tcPr>
          <w:p w14:paraId="4B15C6EF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4281" w:type="pct"/>
            <w:gridSpan w:val="3"/>
            <w:shd w:val="clear" w:color="auto" w:fill="E6E6E6"/>
          </w:tcPr>
          <w:p w14:paraId="1D7D91FF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C6E8A" w:rsidRPr="00E157BC" w14:paraId="28BDDFB7" w14:textId="77777777" w:rsidTr="00981BD0">
        <w:trPr>
          <w:trHeight w:val="147"/>
        </w:trPr>
        <w:tc>
          <w:tcPr>
            <w:tcW w:w="369" w:type="pct"/>
            <w:vMerge/>
          </w:tcPr>
          <w:p w14:paraId="19821C16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vMerge w:val="restart"/>
          </w:tcPr>
          <w:p w14:paraId="2F7C24E0" w14:textId="77777777" w:rsidR="001C6E8A" w:rsidRPr="00C947EE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4281" w:type="pct"/>
            <w:gridSpan w:val="3"/>
            <w:tcBorders>
              <w:bottom w:val="single" w:sz="4" w:space="0" w:color="auto"/>
            </w:tcBorders>
          </w:tcPr>
          <w:p w14:paraId="489F77A5" w14:textId="77777777" w:rsidR="001C6E8A" w:rsidRPr="00C947EE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 the steps below:</w:t>
            </w:r>
          </w:p>
        </w:tc>
      </w:tr>
      <w:tr w:rsidR="00981BD0" w:rsidRPr="00E157BC" w14:paraId="372C14C2" w14:textId="77777777" w:rsidTr="00981BD0">
        <w:trPr>
          <w:trHeight w:val="146"/>
        </w:trPr>
        <w:tc>
          <w:tcPr>
            <w:tcW w:w="369" w:type="pct"/>
            <w:vMerge/>
          </w:tcPr>
          <w:p w14:paraId="173C431A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vMerge/>
          </w:tcPr>
          <w:p w14:paraId="7DE70B31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08" w:type="pct"/>
            <w:shd w:val="clear" w:color="auto" w:fill="E6E6E6"/>
          </w:tcPr>
          <w:p w14:paraId="23A55355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3973" w:type="pct"/>
            <w:gridSpan w:val="2"/>
            <w:shd w:val="clear" w:color="auto" w:fill="E6E6E6"/>
          </w:tcPr>
          <w:p w14:paraId="187AB986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981BD0" w:rsidRPr="00E157BC" w14:paraId="0E05E670" w14:textId="77777777" w:rsidTr="00981BD0">
        <w:trPr>
          <w:trHeight w:val="146"/>
        </w:trPr>
        <w:tc>
          <w:tcPr>
            <w:tcW w:w="369" w:type="pct"/>
            <w:vMerge/>
          </w:tcPr>
          <w:p w14:paraId="31253077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vMerge/>
          </w:tcPr>
          <w:p w14:paraId="7AC124D6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08" w:type="pct"/>
          </w:tcPr>
          <w:p w14:paraId="5EAF1D40" w14:textId="77777777" w:rsidR="001C6E8A" w:rsidRPr="00C95D04" w:rsidRDefault="00FB6B97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3973" w:type="pct"/>
            <w:gridSpan w:val="2"/>
          </w:tcPr>
          <w:p w14:paraId="7F0215A9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</w:t>
            </w:r>
            <w:r w:rsidRPr="00C947EE">
              <w:rPr>
                <w:rFonts w:ascii="Verdana" w:hAnsi="Verdana"/>
              </w:rPr>
              <w:t>the date the Plan Benefit Override was entered</w:t>
            </w:r>
            <w:r>
              <w:rPr>
                <w:rFonts w:ascii="Verdana" w:hAnsi="Verdana"/>
              </w:rPr>
              <w:t>.</w:t>
            </w:r>
          </w:p>
        </w:tc>
      </w:tr>
      <w:tr w:rsidR="00981BD0" w:rsidRPr="00E157BC" w14:paraId="6B400C11" w14:textId="77777777" w:rsidTr="00981BD0">
        <w:trPr>
          <w:trHeight w:val="147"/>
        </w:trPr>
        <w:tc>
          <w:tcPr>
            <w:tcW w:w="369" w:type="pct"/>
            <w:vMerge/>
          </w:tcPr>
          <w:p w14:paraId="13661BD9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vMerge/>
          </w:tcPr>
          <w:p w14:paraId="4F472068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08" w:type="pct"/>
            <w:vMerge w:val="restart"/>
          </w:tcPr>
          <w:p w14:paraId="76B3280B" w14:textId="77777777" w:rsidR="001C6E8A" w:rsidRPr="00C95D04" w:rsidRDefault="00FB6B97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3973" w:type="pct"/>
            <w:gridSpan w:val="2"/>
            <w:tcBorders>
              <w:bottom w:val="single" w:sz="4" w:space="0" w:color="auto"/>
            </w:tcBorders>
          </w:tcPr>
          <w:p w14:paraId="52142E46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the appropriate scenario below</w:t>
            </w:r>
            <w:r w:rsidR="00981BD0">
              <w:rPr>
                <w:rFonts w:ascii="Verdana" w:hAnsi="Verdana"/>
              </w:rPr>
              <w:t>.</w:t>
            </w:r>
          </w:p>
        </w:tc>
      </w:tr>
      <w:tr w:rsidR="00981BD0" w:rsidRPr="00E157BC" w14:paraId="6CADF01E" w14:textId="77777777" w:rsidTr="00981BD0">
        <w:trPr>
          <w:trHeight w:val="146"/>
        </w:trPr>
        <w:tc>
          <w:tcPr>
            <w:tcW w:w="369" w:type="pct"/>
            <w:vMerge/>
          </w:tcPr>
          <w:p w14:paraId="131BE3CF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vMerge/>
          </w:tcPr>
          <w:p w14:paraId="2FFF4AF3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08" w:type="pct"/>
            <w:vMerge/>
          </w:tcPr>
          <w:p w14:paraId="6FEB2271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10" w:type="pct"/>
            <w:shd w:val="clear" w:color="auto" w:fill="E6E6E6"/>
          </w:tcPr>
          <w:p w14:paraId="2A9544E9" w14:textId="77777777" w:rsidR="001C6E8A" w:rsidRPr="00C947EE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the PBO</w:t>
            </w:r>
            <w:r w:rsidRPr="00C947EE">
              <w:rPr>
                <w:rFonts w:ascii="Verdana" w:hAnsi="Verdana"/>
                <w:b/>
              </w:rPr>
              <w:t>…</w:t>
            </w:r>
          </w:p>
        </w:tc>
        <w:tc>
          <w:tcPr>
            <w:tcW w:w="2163" w:type="pct"/>
            <w:shd w:val="clear" w:color="auto" w:fill="E6E6E6"/>
          </w:tcPr>
          <w:p w14:paraId="3B815BDD" w14:textId="77777777" w:rsidR="001C6E8A" w:rsidRPr="00C947EE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Then…</w:t>
            </w:r>
          </w:p>
        </w:tc>
      </w:tr>
      <w:tr w:rsidR="00981BD0" w:rsidRPr="00E157BC" w14:paraId="4EFA2252" w14:textId="77777777" w:rsidTr="00981BD0">
        <w:trPr>
          <w:trHeight w:val="146"/>
        </w:trPr>
        <w:tc>
          <w:tcPr>
            <w:tcW w:w="369" w:type="pct"/>
            <w:vMerge/>
          </w:tcPr>
          <w:p w14:paraId="67E1AFFF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vMerge/>
          </w:tcPr>
          <w:p w14:paraId="5829C8A4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08" w:type="pct"/>
            <w:vMerge/>
          </w:tcPr>
          <w:p w14:paraId="560310D8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10" w:type="pct"/>
          </w:tcPr>
          <w:p w14:paraId="4EAA236E" w14:textId="77777777" w:rsidR="001C6E8A" w:rsidRPr="00C95D04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</w:t>
            </w:r>
            <w:r w:rsidRPr="00C95D04">
              <w:rPr>
                <w:rFonts w:ascii="Verdana" w:hAnsi="Verdana"/>
              </w:rPr>
              <w:t>as entered after the claim was submitted</w:t>
            </w:r>
          </w:p>
        </w:tc>
        <w:tc>
          <w:tcPr>
            <w:tcW w:w="2163" w:type="pct"/>
          </w:tcPr>
          <w:p w14:paraId="701E218D" w14:textId="77777777" w:rsidR="001C6E8A" w:rsidRPr="00C947EE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 the p</w:t>
            </w:r>
            <w:r w:rsidRPr="00C947EE">
              <w:rPr>
                <w:rFonts w:ascii="Verdana" w:hAnsi="Verdana"/>
              </w:rPr>
              <w:t xml:space="preserve">lan </w:t>
            </w:r>
            <w:r>
              <w:rPr>
                <w:rFonts w:ascii="Verdana" w:hAnsi="Verdana"/>
              </w:rPr>
              <w:t>member</w:t>
            </w:r>
            <w:r w:rsidRPr="00C947EE">
              <w:rPr>
                <w:rFonts w:ascii="Verdana" w:hAnsi="Verdana"/>
              </w:rPr>
              <w:t xml:space="preserve"> to have the pharmacy reprocess the claim</w:t>
            </w:r>
            <w:r>
              <w:rPr>
                <w:rFonts w:ascii="Verdana" w:hAnsi="Verdana"/>
              </w:rPr>
              <w:t>.</w:t>
            </w:r>
          </w:p>
        </w:tc>
      </w:tr>
      <w:tr w:rsidR="00981BD0" w:rsidRPr="00E157BC" w14:paraId="14CF7C3D" w14:textId="77777777" w:rsidTr="00981BD0">
        <w:trPr>
          <w:trHeight w:val="953"/>
        </w:trPr>
        <w:tc>
          <w:tcPr>
            <w:tcW w:w="369" w:type="pct"/>
            <w:vMerge/>
          </w:tcPr>
          <w:p w14:paraId="6D03869E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vMerge/>
          </w:tcPr>
          <w:p w14:paraId="3B504BA4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08" w:type="pct"/>
            <w:vMerge/>
          </w:tcPr>
          <w:p w14:paraId="1272B051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10" w:type="pct"/>
          </w:tcPr>
          <w:p w14:paraId="54E2CFD1" w14:textId="77777777" w:rsidR="001C6E8A" w:rsidRPr="00C95D04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  <w:r w:rsidRPr="00C95D04">
              <w:rPr>
                <w:rFonts w:ascii="Verdana" w:hAnsi="Verdana"/>
              </w:rPr>
              <w:t xml:space="preserve">as been entered </w:t>
            </w:r>
            <w:r>
              <w:rPr>
                <w:rFonts w:ascii="Verdana" w:hAnsi="Verdana"/>
              </w:rPr>
              <w:t>and</w:t>
            </w:r>
            <w:r w:rsidRPr="00C95D0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 claim i</w:t>
            </w:r>
            <w:r w:rsidRPr="00C95D04">
              <w:rPr>
                <w:rFonts w:ascii="Verdana" w:hAnsi="Verdana"/>
              </w:rPr>
              <w:t xml:space="preserve">s still denying </w:t>
            </w:r>
          </w:p>
        </w:tc>
        <w:tc>
          <w:tcPr>
            <w:tcW w:w="2163" w:type="pct"/>
          </w:tcPr>
          <w:p w14:paraId="1C4B6E34" w14:textId="77777777" w:rsidR="001C6E8A" w:rsidRPr="00C947EE" w:rsidRDefault="001C6E8A" w:rsidP="00981BD0">
            <w:pPr>
              <w:spacing w:before="120" w:after="120"/>
              <w:rPr>
                <w:rFonts w:ascii="Verdana" w:hAnsi="Verdana"/>
              </w:rPr>
            </w:pPr>
            <w:r w:rsidRPr="00C947EE">
              <w:rPr>
                <w:rFonts w:ascii="Verdana" w:hAnsi="Verdana"/>
              </w:rPr>
              <w:t xml:space="preserve">Refer the plan </w:t>
            </w:r>
            <w:r>
              <w:rPr>
                <w:rFonts w:ascii="Verdana" w:hAnsi="Verdana"/>
              </w:rPr>
              <w:t>member</w:t>
            </w:r>
            <w:r w:rsidRPr="00C947EE">
              <w:rPr>
                <w:rFonts w:ascii="Verdana" w:hAnsi="Verdana"/>
              </w:rPr>
              <w:t xml:space="preserve"> back to their Benefits Office to have the</w:t>
            </w:r>
            <w:r w:rsidR="00981BD0">
              <w:rPr>
                <w:rFonts w:ascii="Verdana" w:hAnsi="Verdana"/>
              </w:rPr>
              <w:t xml:space="preserve"> </w:t>
            </w:r>
            <w:r w:rsidRPr="00C947EE">
              <w:rPr>
                <w:rFonts w:ascii="Verdana" w:hAnsi="Verdana"/>
              </w:rPr>
              <w:t xml:space="preserve">PBO updated. </w:t>
            </w:r>
          </w:p>
        </w:tc>
      </w:tr>
      <w:tr w:rsidR="001C6E8A" w:rsidRPr="00E157BC" w14:paraId="584236ED" w14:textId="77777777" w:rsidTr="00981BD0">
        <w:trPr>
          <w:trHeight w:val="539"/>
        </w:trPr>
        <w:tc>
          <w:tcPr>
            <w:tcW w:w="369" w:type="pct"/>
            <w:vMerge/>
            <w:tcBorders>
              <w:bottom w:val="single" w:sz="4" w:space="0" w:color="auto"/>
            </w:tcBorders>
          </w:tcPr>
          <w:p w14:paraId="76DDDE3D" w14:textId="77777777" w:rsidR="001C6E8A" w:rsidRDefault="001C6E8A" w:rsidP="00C947E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0" w:type="pct"/>
            <w:tcBorders>
              <w:bottom w:val="single" w:sz="4" w:space="0" w:color="auto"/>
            </w:tcBorders>
          </w:tcPr>
          <w:p w14:paraId="38A3BF33" w14:textId="77777777" w:rsidR="001C6E8A" w:rsidRPr="00C947EE" w:rsidRDefault="001C6E8A" w:rsidP="007F56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4281" w:type="pct"/>
            <w:gridSpan w:val="3"/>
            <w:tcBorders>
              <w:bottom w:val="single" w:sz="4" w:space="0" w:color="auto"/>
            </w:tcBorders>
          </w:tcPr>
          <w:p w14:paraId="7CEAD6DF" w14:textId="77777777" w:rsidR="001C6E8A" w:rsidRPr="00C947EE" w:rsidRDefault="001C6E8A" w:rsidP="007F5608">
            <w:pPr>
              <w:spacing w:before="120" w:after="120"/>
              <w:rPr>
                <w:rFonts w:ascii="Verdana" w:hAnsi="Verdana"/>
              </w:rPr>
            </w:pPr>
            <w:r w:rsidRPr="00C947EE">
              <w:rPr>
                <w:rFonts w:ascii="Verdana" w:hAnsi="Verdana"/>
              </w:rPr>
              <w:t xml:space="preserve">Advise the plan </w:t>
            </w:r>
            <w:r>
              <w:rPr>
                <w:rFonts w:ascii="Verdana" w:hAnsi="Verdana"/>
              </w:rPr>
              <w:t>member</w:t>
            </w:r>
            <w:r w:rsidRPr="00C947EE">
              <w:rPr>
                <w:rFonts w:ascii="Verdana" w:hAnsi="Verdana"/>
              </w:rPr>
              <w:t xml:space="preserve"> to </w:t>
            </w:r>
            <w:r w:rsidRPr="001C6E8A">
              <w:rPr>
                <w:rFonts w:ascii="Verdana" w:hAnsi="Verdana"/>
                <w:color w:val="000000"/>
              </w:rPr>
              <w:t xml:space="preserve">have their Pharmacy contact the </w:t>
            </w:r>
            <w:r w:rsidRPr="00480E2E">
              <w:rPr>
                <w:rFonts w:ascii="Verdana" w:hAnsi="Verdana"/>
                <w:bCs/>
                <w:color w:val="000000"/>
              </w:rPr>
              <w:t>Pharmacy Help Desk</w:t>
            </w:r>
            <w:r w:rsidRPr="001C6E8A">
              <w:rPr>
                <w:rFonts w:ascii="Verdana" w:hAnsi="Verdana"/>
                <w:color w:val="000000"/>
              </w:rPr>
              <w:t xml:space="preserve"> at </w:t>
            </w:r>
            <w:r w:rsidR="00C31573">
              <w:rPr>
                <w:rFonts w:ascii="Verdana" w:hAnsi="Verdana"/>
                <w:b/>
                <w:color w:val="000000"/>
              </w:rPr>
              <w:t>1-800-364-6331</w:t>
            </w:r>
            <w:r w:rsidRPr="001C6E8A">
              <w:rPr>
                <w:rFonts w:ascii="Verdana" w:hAnsi="Verdana"/>
                <w:color w:val="000000"/>
              </w:rPr>
              <w:t xml:space="preserve"> for help in processing</w:t>
            </w:r>
            <w:r w:rsidRPr="00C947EE">
              <w:rPr>
                <w:rFonts w:ascii="Verdana" w:hAnsi="Verdana"/>
              </w:rPr>
              <w:t xml:space="preserve"> the claim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7F41FD22" w14:textId="77777777" w:rsidR="00C008BC" w:rsidRDefault="00C008BC" w:rsidP="00176400">
      <w:pPr>
        <w:rPr>
          <w:rFonts w:ascii="Verdana" w:hAnsi="Verdana"/>
        </w:rPr>
      </w:pPr>
      <w:bookmarkStart w:id="17" w:name="_Log_Activity"/>
      <w:bookmarkEnd w:id="17"/>
    </w:p>
    <w:p w14:paraId="2198F5CB" w14:textId="77777777" w:rsidR="00FB6B97" w:rsidRDefault="00FB6B97" w:rsidP="00FB6B97">
      <w:pPr>
        <w:jc w:val="right"/>
        <w:rPr>
          <w:rFonts w:ascii="Verdana" w:hAnsi="Verdana"/>
        </w:rPr>
      </w:pPr>
      <w:hyperlink w:anchor="_top" w:history="1">
        <w:r w:rsidRPr="00FB6B9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F040E" w:rsidRPr="00BF74E9" w14:paraId="7AE56A45" w14:textId="77777777" w:rsidTr="00981BD0">
        <w:tc>
          <w:tcPr>
            <w:tcW w:w="5000" w:type="pct"/>
            <w:shd w:val="clear" w:color="auto" w:fill="C0C0C0"/>
          </w:tcPr>
          <w:p w14:paraId="041A2AB7" w14:textId="10FF2218" w:rsidR="00FF040E" w:rsidRPr="00C947EE" w:rsidRDefault="00FF040E" w:rsidP="00981BD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Toc10298773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</w:p>
        </w:tc>
      </w:tr>
    </w:tbl>
    <w:p w14:paraId="4E2AD752" w14:textId="78C8C14A" w:rsidR="00290BF7" w:rsidRDefault="0017748A" w:rsidP="00981BD0">
      <w:pPr>
        <w:spacing w:before="120" w:after="120"/>
        <w:rPr>
          <w:rStyle w:val="Hyperlink"/>
          <w:rFonts w:ascii="Verdana" w:hAnsi="Verdana"/>
        </w:rPr>
      </w:pPr>
      <w:hyperlink r:id="rId8" w:anchor="!/view?docid=bdac0c67-5fee-47ba-a3aa-aab84900cf78" w:history="1">
        <w:r>
          <w:rPr>
            <w:rStyle w:val="Hyperlink"/>
            <w:rFonts w:ascii="Verdana" w:hAnsi="Verdana"/>
          </w:rPr>
          <w:t>Log Activity/Capture Activity Codes (005164)</w:t>
        </w:r>
      </w:hyperlink>
      <w:r w:rsidR="0031456F">
        <w:rPr>
          <w:rStyle w:val="Hyperlink"/>
          <w:rFonts w:ascii="Verdana" w:hAnsi="Verdana"/>
        </w:rPr>
        <w:t xml:space="preserve"> </w:t>
      </w:r>
      <w:r w:rsidR="00480E2E">
        <w:rPr>
          <w:rStyle w:val="Hyperlink"/>
          <w:rFonts w:ascii="Verdana" w:hAnsi="Verdana"/>
        </w:rPr>
        <w:t xml:space="preserve"> </w:t>
      </w:r>
    </w:p>
    <w:p w14:paraId="5C93412D" w14:textId="105829A2" w:rsidR="00CE5FC5" w:rsidRDefault="007F1C55" w:rsidP="00981BD0">
      <w:pPr>
        <w:spacing w:before="120" w:after="120"/>
        <w:rPr>
          <w:rFonts w:ascii="Verdana" w:hAnsi="Verdana"/>
        </w:rPr>
      </w:pPr>
      <w:hyperlink r:id="rId9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</w:t>
        </w:r>
        <w:r w:rsidR="008853C2">
          <w:rPr>
            <w:rStyle w:val="Hyperlink"/>
            <w:rFonts w:ascii="Verdana" w:hAnsi="Verdana"/>
          </w:rPr>
          <w:t>,</w:t>
        </w:r>
        <w:r>
          <w:rPr>
            <w:rStyle w:val="Hyperlink"/>
            <w:rFonts w:ascii="Verdana" w:hAnsi="Verdana"/>
          </w:rPr>
          <w:t xml:space="preserve"> and Terms Index (017428)</w:t>
        </w:r>
      </w:hyperlink>
    </w:p>
    <w:p w14:paraId="183833C4" w14:textId="77777777" w:rsidR="00CE5FC5" w:rsidRDefault="00CE5FC5" w:rsidP="00981BD0">
      <w:pPr>
        <w:spacing w:before="120" w:after="120"/>
        <w:rPr>
          <w:rFonts w:ascii="Verdana" w:hAnsi="Verdana"/>
        </w:rPr>
      </w:pPr>
      <w:r w:rsidRPr="00002AF0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10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F26A691" w14:textId="77777777" w:rsidR="004A09DE" w:rsidRPr="00C247CB" w:rsidRDefault="00FF040E" w:rsidP="00981BD0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FF040E">
          <w:rPr>
            <w:rStyle w:val="Hyperlink"/>
            <w:rFonts w:ascii="Verdana" w:hAnsi="Verdana"/>
          </w:rPr>
          <w:t>Top of the Document</w:t>
        </w:r>
      </w:hyperlink>
    </w:p>
    <w:p w14:paraId="48D0E3A3" w14:textId="77777777" w:rsidR="004A09DE" w:rsidRPr="00C247CB" w:rsidRDefault="004A09DE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25F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325F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325F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0B9D1B0" w14:textId="77777777" w:rsidR="004A09DE" w:rsidRPr="00C247CB" w:rsidRDefault="004A09DE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3AE0EE0" w14:textId="77777777" w:rsidR="004A09DE" w:rsidRPr="00C247CB" w:rsidRDefault="004A09DE" w:rsidP="00C247CB">
      <w:pPr>
        <w:jc w:val="center"/>
        <w:rPr>
          <w:rFonts w:ascii="Verdana" w:hAnsi="Verdana"/>
          <w:sz w:val="16"/>
          <w:szCs w:val="16"/>
        </w:rPr>
      </w:pPr>
    </w:p>
    <w:sectPr w:rsidR="004A09DE" w:rsidRPr="00C247CB" w:rsidSect="0068219B"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61C5F" w14:textId="77777777" w:rsidR="00EB7B65" w:rsidRDefault="00EB7B65">
      <w:r>
        <w:separator/>
      </w:r>
    </w:p>
  </w:endnote>
  <w:endnote w:type="continuationSeparator" w:id="0">
    <w:p w14:paraId="3CAB7C36" w14:textId="77777777" w:rsidR="00EB7B65" w:rsidRDefault="00EB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CE318" w14:textId="77777777" w:rsidR="00660F4D" w:rsidRDefault="00660F4D" w:rsidP="009C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0EEA7" w14:textId="77777777" w:rsidR="00660F4D" w:rsidRDefault="00660F4D" w:rsidP="00C95D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FA1B7" w14:textId="77777777" w:rsidR="00660F4D" w:rsidRDefault="00660F4D" w:rsidP="009C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5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6BD12E" w14:textId="77777777" w:rsidR="00660F4D" w:rsidRPr="00C95D04" w:rsidRDefault="00660F4D" w:rsidP="00C95D04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65FB" w14:textId="77777777" w:rsidR="00660F4D" w:rsidRPr="00CD2229" w:rsidRDefault="00660F4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E761F" w14:textId="77777777" w:rsidR="00EB7B65" w:rsidRDefault="00EB7B65">
      <w:r>
        <w:separator/>
      </w:r>
    </w:p>
  </w:footnote>
  <w:footnote w:type="continuationSeparator" w:id="0">
    <w:p w14:paraId="7ED300A2" w14:textId="77777777" w:rsidR="00EB7B65" w:rsidRDefault="00EB7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F807" w14:textId="77777777" w:rsidR="00660F4D" w:rsidRDefault="00660F4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098A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5B8C"/>
    <w:multiLevelType w:val="multilevel"/>
    <w:tmpl w:val="9034B0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8E12CA2"/>
    <w:multiLevelType w:val="hybridMultilevel"/>
    <w:tmpl w:val="68B09D7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AD1822DC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0444"/>
    <w:multiLevelType w:val="hybridMultilevel"/>
    <w:tmpl w:val="9034B004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956FC"/>
    <w:multiLevelType w:val="hybridMultilevel"/>
    <w:tmpl w:val="88105A42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CEE0103"/>
    <w:multiLevelType w:val="hybridMultilevel"/>
    <w:tmpl w:val="DF0444DE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EC947B0"/>
    <w:multiLevelType w:val="multilevel"/>
    <w:tmpl w:val="DF0444D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4B47380"/>
    <w:multiLevelType w:val="hybridMultilevel"/>
    <w:tmpl w:val="7988C9EC"/>
    <w:lvl w:ilvl="0" w:tplc="F1F022D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79513707">
    <w:abstractNumId w:val="3"/>
  </w:num>
  <w:num w:numId="2" w16cid:durableId="2005083451">
    <w:abstractNumId w:val="5"/>
  </w:num>
  <w:num w:numId="3" w16cid:durableId="1747923474">
    <w:abstractNumId w:val="9"/>
  </w:num>
  <w:num w:numId="4" w16cid:durableId="1022560058">
    <w:abstractNumId w:val="2"/>
  </w:num>
  <w:num w:numId="5" w16cid:durableId="1879587482">
    <w:abstractNumId w:val="7"/>
  </w:num>
  <w:num w:numId="6" w16cid:durableId="1430660892">
    <w:abstractNumId w:val="8"/>
  </w:num>
  <w:num w:numId="7" w16cid:durableId="10298354">
    <w:abstractNumId w:val="10"/>
  </w:num>
  <w:num w:numId="8" w16cid:durableId="1256135550">
    <w:abstractNumId w:val="4"/>
  </w:num>
  <w:num w:numId="9" w16cid:durableId="404181683">
    <w:abstractNumId w:val="1"/>
  </w:num>
  <w:num w:numId="10" w16cid:durableId="1149325573">
    <w:abstractNumId w:val="6"/>
  </w:num>
  <w:num w:numId="11" w16cid:durableId="60896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484"/>
    <w:rsid w:val="00015A2E"/>
    <w:rsid w:val="00033D2F"/>
    <w:rsid w:val="00035BED"/>
    <w:rsid w:val="00061AD2"/>
    <w:rsid w:val="00063AC1"/>
    <w:rsid w:val="000679A5"/>
    <w:rsid w:val="0008665F"/>
    <w:rsid w:val="00095AB5"/>
    <w:rsid w:val="000A4011"/>
    <w:rsid w:val="000A6B88"/>
    <w:rsid w:val="000A6FEC"/>
    <w:rsid w:val="000B3C4C"/>
    <w:rsid w:val="000B656F"/>
    <w:rsid w:val="000B72DF"/>
    <w:rsid w:val="000C1BB5"/>
    <w:rsid w:val="000C38EB"/>
    <w:rsid w:val="000C551E"/>
    <w:rsid w:val="000D1870"/>
    <w:rsid w:val="000D6714"/>
    <w:rsid w:val="000D736C"/>
    <w:rsid w:val="000E14A9"/>
    <w:rsid w:val="000E5907"/>
    <w:rsid w:val="000F0D1B"/>
    <w:rsid w:val="000F1EF5"/>
    <w:rsid w:val="000F6580"/>
    <w:rsid w:val="00115944"/>
    <w:rsid w:val="001215B6"/>
    <w:rsid w:val="0012373E"/>
    <w:rsid w:val="001360A5"/>
    <w:rsid w:val="00136181"/>
    <w:rsid w:val="00144DAE"/>
    <w:rsid w:val="00144EF7"/>
    <w:rsid w:val="001560C4"/>
    <w:rsid w:val="0016273A"/>
    <w:rsid w:val="001648B2"/>
    <w:rsid w:val="00164BF2"/>
    <w:rsid w:val="00176400"/>
    <w:rsid w:val="0017748A"/>
    <w:rsid w:val="001B3879"/>
    <w:rsid w:val="001C6E8A"/>
    <w:rsid w:val="001D3598"/>
    <w:rsid w:val="001E178D"/>
    <w:rsid w:val="001F1218"/>
    <w:rsid w:val="001F1F43"/>
    <w:rsid w:val="002016B4"/>
    <w:rsid w:val="002055CF"/>
    <w:rsid w:val="00212A8A"/>
    <w:rsid w:val="00237DB5"/>
    <w:rsid w:val="00243EBB"/>
    <w:rsid w:val="00255C6B"/>
    <w:rsid w:val="00264DD5"/>
    <w:rsid w:val="00265D86"/>
    <w:rsid w:val="0028215B"/>
    <w:rsid w:val="00290110"/>
    <w:rsid w:val="00290BF7"/>
    <w:rsid w:val="00291CE8"/>
    <w:rsid w:val="00296127"/>
    <w:rsid w:val="00296765"/>
    <w:rsid w:val="002A0761"/>
    <w:rsid w:val="002B593E"/>
    <w:rsid w:val="002B5E2C"/>
    <w:rsid w:val="002D6FB2"/>
    <w:rsid w:val="002F1F92"/>
    <w:rsid w:val="002F7E01"/>
    <w:rsid w:val="0031456F"/>
    <w:rsid w:val="00325F50"/>
    <w:rsid w:val="0033143E"/>
    <w:rsid w:val="00337312"/>
    <w:rsid w:val="0037041E"/>
    <w:rsid w:val="003725A1"/>
    <w:rsid w:val="00385DBC"/>
    <w:rsid w:val="003868A2"/>
    <w:rsid w:val="00392A5B"/>
    <w:rsid w:val="003A6D70"/>
    <w:rsid w:val="003B1F86"/>
    <w:rsid w:val="003B6F5F"/>
    <w:rsid w:val="003C4627"/>
    <w:rsid w:val="003C6222"/>
    <w:rsid w:val="003E6C1A"/>
    <w:rsid w:val="003F6B00"/>
    <w:rsid w:val="00401D86"/>
    <w:rsid w:val="0040640A"/>
    <w:rsid w:val="00406DB5"/>
    <w:rsid w:val="0041338A"/>
    <w:rsid w:val="00417A16"/>
    <w:rsid w:val="00420E3E"/>
    <w:rsid w:val="0042305D"/>
    <w:rsid w:val="0042336D"/>
    <w:rsid w:val="0042592C"/>
    <w:rsid w:val="00443F8C"/>
    <w:rsid w:val="004556B3"/>
    <w:rsid w:val="00457EAE"/>
    <w:rsid w:val="004768BE"/>
    <w:rsid w:val="00477F73"/>
    <w:rsid w:val="00480E2E"/>
    <w:rsid w:val="0048355A"/>
    <w:rsid w:val="004A09DE"/>
    <w:rsid w:val="004A3FAF"/>
    <w:rsid w:val="004A4A5A"/>
    <w:rsid w:val="004B2686"/>
    <w:rsid w:val="004D3C53"/>
    <w:rsid w:val="00503F56"/>
    <w:rsid w:val="00504B8D"/>
    <w:rsid w:val="00507598"/>
    <w:rsid w:val="00512486"/>
    <w:rsid w:val="0051327D"/>
    <w:rsid w:val="0052465B"/>
    <w:rsid w:val="00524CDD"/>
    <w:rsid w:val="00536BFB"/>
    <w:rsid w:val="00540158"/>
    <w:rsid w:val="005513C5"/>
    <w:rsid w:val="005620CE"/>
    <w:rsid w:val="00567E8F"/>
    <w:rsid w:val="00582317"/>
    <w:rsid w:val="00582E85"/>
    <w:rsid w:val="005910B5"/>
    <w:rsid w:val="005A6118"/>
    <w:rsid w:val="005A64DA"/>
    <w:rsid w:val="005B120A"/>
    <w:rsid w:val="005B6D49"/>
    <w:rsid w:val="005C1D83"/>
    <w:rsid w:val="005E3632"/>
    <w:rsid w:val="005E650E"/>
    <w:rsid w:val="00610829"/>
    <w:rsid w:val="00622D77"/>
    <w:rsid w:val="00627F34"/>
    <w:rsid w:val="00636B18"/>
    <w:rsid w:val="00637CA1"/>
    <w:rsid w:val="006466EA"/>
    <w:rsid w:val="00652A3E"/>
    <w:rsid w:val="00660002"/>
    <w:rsid w:val="00660F4D"/>
    <w:rsid w:val="00665DB5"/>
    <w:rsid w:val="00672395"/>
    <w:rsid w:val="00674A16"/>
    <w:rsid w:val="0068219B"/>
    <w:rsid w:val="00691E10"/>
    <w:rsid w:val="006A0481"/>
    <w:rsid w:val="006A33FF"/>
    <w:rsid w:val="006B3A32"/>
    <w:rsid w:val="006C653F"/>
    <w:rsid w:val="006F460B"/>
    <w:rsid w:val="006F7DFC"/>
    <w:rsid w:val="00704AF2"/>
    <w:rsid w:val="00706B22"/>
    <w:rsid w:val="00710E68"/>
    <w:rsid w:val="00714BA0"/>
    <w:rsid w:val="007224A6"/>
    <w:rsid w:val="007269B6"/>
    <w:rsid w:val="00726E7A"/>
    <w:rsid w:val="0073294A"/>
    <w:rsid w:val="00732E52"/>
    <w:rsid w:val="00737312"/>
    <w:rsid w:val="00747371"/>
    <w:rsid w:val="00752801"/>
    <w:rsid w:val="00770006"/>
    <w:rsid w:val="00785118"/>
    <w:rsid w:val="00786BEB"/>
    <w:rsid w:val="007A7640"/>
    <w:rsid w:val="007C77DD"/>
    <w:rsid w:val="007E0AC0"/>
    <w:rsid w:val="007E3EA6"/>
    <w:rsid w:val="007F1C55"/>
    <w:rsid w:val="007F55A2"/>
    <w:rsid w:val="007F5608"/>
    <w:rsid w:val="008042E1"/>
    <w:rsid w:val="00804D63"/>
    <w:rsid w:val="00806B9D"/>
    <w:rsid w:val="00812777"/>
    <w:rsid w:val="00825450"/>
    <w:rsid w:val="0084129E"/>
    <w:rsid w:val="00843390"/>
    <w:rsid w:val="00846373"/>
    <w:rsid w:val="00855CAA"/>
    <w:rsid w:val="008568AE"/>
    <w:rsid w:val="00857FA7"/>
    <w:rsid w:val="008603C1"/>
    <w:rsid w:val="00860590"/>
    <w:rsid w:val="008614E8"/>
    <w:rsid w:val="00867EDF"/>
    <w:rsid w:val="00875F0D"/>
    <w:rsid w:val="00877414"/>
    <w:rsid w:val="008853C2"/>
    <w:rsid w:val="008972CD"/>
    <w:rsid w:val="008A03B7"/>
    <w:rsid w:val="008A3B29"/>
    <w:rsid w:val="008B20B8"/>
    <w:rsid w:val="008C2197"/>
    <w:rsid w:val="008C3493"/>
    <w:rsid w:val="008C5B1E"/>
    <w:rsid w:val="008D11A6"/>
    <w:rsid w:val="008D1F7B"/>
    <w:rsid w:val="008D2D64"/>
    <w:rsid w:val="008E43F3"/>
    <w:rsid w:val="00902E07"/>
    <w:rsid w:val="00906AFC"/>
    <w:rsid w:val="00915690"/>
    <w:rsid w:val="00946D46"/>
    <w:rsid w:val="00947783"/>
    <w:rsid w:val="00954FE8"/>
    <w:rsid w:val="0097258C"/>
    <w:rsid w:val="009726E0"/>
    <w:rsid w:val="00975003"/>
    <w:rsid w:val="00981BD0"/>
    <w:rsid w:val="00985C14"/>
    <w:rsid w:val="00990822"/>
    <w:rsid w:val="009A52E8"/>
    <w:rsid w:val="009C4A31"/>
    <w:rsid w:val="009C5B65"/>
    <w:rsid w:val="009D0A41"/>
    <w:rsid w:val="009D1C6C"/>
    <w:rsid w:val="009E26AD"/>
    <w:rsid w:val="009F6FD2"/>
    <w:rsid w:val="009F78D3"/>
    <w:rsid w:val="00A3108F"/>
    <w:rsid w:val="00A339E4"/>
    <w:rsid w:val="00A4732A"/>
    <w:rsid w:val="00A7166B"/>
    <w:rsid w:val="00A83BA0"/>
    <w:rsid w:val="00A84F18"/>
    <w:rsid w:val="00A85045"/>
    <w:rsid w:val="00A86B86"/>
    <w:rsid w:val="00A937AA"/>
    <w:rsid w:val="00A95738"/>
    <w:rsid w:val="00A97B7D"/>
    <w:rsid w:val="00AA4825"/>
    <w:rsid w:val="00AB33E1"/>
    <w:rsid w:val="00AC011E"/>
    <w:rsid w:val="00AC0DA6"/>
    <w:rsid w:val="00AC0ED3"/>
    <w:rsid w:val="00AC0F63"/>
    <w:rsid w:val="00AD1646"/>
    <w:rsid w:val="00AE466F"/>
    <w:rsid w:val="00AF038B"/>
    <w:rsid w:val="00B26045"/>
    <w:rsid w:val="00B40C14"/>
    <w:rsid w:val="00B40FF3"/>
    <w:rsid w:val="00B414B0"/>
    <w:rsid w:val="00B44C55"/>
    <w:rsid w:val="00B46A95"/>
    <w:rsid w:val="00B544C2"/>
    <w:rsid w:val="00B5566F"/>
    <w:rsid w:val="00B66E30"/>
    <w:rsid w:val="00B70CC4"/>
    <w:rsid w:val="00B71E78"/>
    <w:rsid w:val="00B922C3"/>
    <w:rsid w:val="00BA43E8"/>
    <w:rsid w:val="00BB02DE"/>
    <w:rsid w:val="00BB371A"/>
    <w:rsid w:val="00BC0E53"/>
    <w:rsid w:val="00BD7B25"/>
    <w:rsid w:val="00BE1AFF"/>
    <w:rsid w:val="00BE32D8"/>
    <w:rsid w:val="00BF5263"/>
    <w:rsid w:val="00BF6905"/>
    <w:rsid w:val="00BF74E9"/>
    <w:rsid w:val="00C008BC"/>
    <w:rsid w:val="00C01D7B"/>
    <w:rsid w:val="00C03D0C"/>
    <w:rsid w:val="00C046E8"/>
    <w:rsid w:val="00C07E88"/>
    <w:rsid w:val="00C247CB"/>
    <w:rsid w:val="00C30C37"/>
    <w:rsid w:val="00C31573"/>
    <w:rsid w:val="00C360BD"/>
    <w:rsid w:val="00C476E1"/>
    <w:rsid w:val="00C52E77"/>
    <w:rsid w:val="00C566B3"/>
    <w:rsid w:val="00C65249"/>
    <w:rsid w:val="00C67B32"/>
    <w:rsid w:val="00C729E0"/>
    <w:rsid w:val="00C75C83"/>
    <w:rsid w:val="00C93DDB"/>
    <w:rsid w:val="00C947EE"/>
    <w:rsid w:val="00C95D04"/>
    <w:rsid w:val="00CA2FFC"/>
    <w:rsid w:val="00CB0C1D"/>
    <w:rsid w:val="00CC5AA2"/>
    <w:rsid w:val="00CC721A"/>
    <w:rsid w:val="00CD0963"/>
    <w:rsid w:val="00CD2229"/>
    <w:rsid w:val="00CD5463"/>
    <w:rsid w:val="00CE3D42"/>
    <w:rsid w:val="00CE53E6"/>
    <w:rsid w:val="00CE5FC5"/>
    <w:rsid w:val="00CF6131"/>
    <w:rsid w:val="00D06EAA"/>
    <w:rsid w:val="00D11E12"/>
    <w:rsid w:val="00D2170F"/>
    <w:rsid w:val="00D36733"/>
    <w:rsid w:val="00D400CA"/>
    <w:rsid w:val="00D45EDA"/>
    <w:rsid w:val="00D471B5"/>
    <w:rsid w:val="00D571DB"/>
    <w:rsid w:val="00D6774D"/>
    <w:rsid w:val="00D75191"/>
    <w:rsid w:val="00D80929"/>
    <w:rsid w:val="00D85254"/>
    <w:rsid w:val="00D86967"/>
    <w:rsid w:val="00DB2116"/>
    <w:rsid w:val="00DC4FFC"/>
    <w:rsid w:val="00DD0AA2"/>
    <w:rsid w:val="00DF6BE4"/>
    <w:rsid w:val="00E074C7"/>
    <w:rsid w:val="00E149DB"/>
    <w:rsid w:val="00E157BC"/>
    <w:rsid w:val="00E24DDF"/>
    <w:rsid w:val="00E34834"/>
    <w:rsid w:val="00E50E4A"/>
    <w:rsid w:val="00E718E7"/>
    <w:rsid w:val="00E855F6"/>
    <w:rsid w:val="00E91F5F"/>
    <w:rsid w:val="00EB12DD"/>
    <w:rsid w:val="00EB153E"/>
    <w:rsid w:val="00EB57EB"/>
    <w:rsid w:val="00EB7B65"/>
    <w:rsid w:val="00EC1A3B"/>
    <w:rsid w:val="00ED50CF"/>
    <w:rsid w:val="00EE1579"/>
    <w:rsid w:val="00F1152F"/>
    <w:rsid w:val="00F207B3"/>
    <w:rsid w:val="00F5486B"/>
    <w:rsid w:val="00F658E0"/>
    <w:rsid w:val="00F859B7"/>
    <w:rsid w:val="00FA302A"/>
    <w:rsid w:val="00FB6B97"/>
    <w:rsid w:val="00FC1C44"/>
    <w:rsid w:val="00FD1ED4"/>
    <w:rsid w:val="00FE5449"/>
    <w:rsid w:val="00FE6410"/>
    <w:rsid w:val="00FF040E"/>
    <w:rsid w:val="00F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592D6"/>
  <w15:chartTrackingRefBased/>
  <w15:docId w15:val="{9495BA4E-A89B-4719-9C6A-39D3611E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locked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rFonts w:cs="Times New Roman"/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rFonts w:cs="Times New Roman"/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BD7B25"/>
    <w:rPr>
      <w:rFonts w:ascii="Arial" w:hAnsi="Arial" w:cs="Arial"/>
      <w:color w:val="FF0000"/>
      <w:sz w:val="20"/>
      <w:szCs w:val="20"/>
    </w:rPr>
  </w:style>
  <w:style w:type="character" w:customStyle="1" w:styleId="BodyTextChar">
    <w:name w:val="Body Text Char"/>
    <w:link w:val="BodyText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14E8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Pr>
      <w:rFonts w:cs="Times New Roman"/>
      <w:sz w:val="24"/>
      <w:szCs w:val="24"/>
    </w:r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F0D1B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semiHidden/>
    <w:locked/>
    <w:rPr>
      <w:rFonts w:cs="Times New Roman"/>
      <w:sz w:val="24"/>
      <w:szCs w:val="24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link w:val="BalloonTextChar"/>
    <w:semiHidden/>
    <w:rsid w:val="00540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rsid w:val="00C95D04"/>
  </w:style>
  <w:style w:type="paragraph" w:styleId="TOC2">
    <w:name w:val="toc 2"/>
    <w:basedOn w:val="Normal"/>
    <w:next w:val="Normal"/>
    <w:autoRedefine/>
    <w:uiPriority w:val="39"/>
    <w:rsid w:val="005E3632"/>
    <w:pPr>
      <w:tabs>
        <w:tab w:val="right" w:leader="dot" w:pos="12950"/>
      </w:tabs>
    </w:pPr>
  </w:style>
  <w:style w:type="character" w:styleId="CommentReference">
    <w:name w:val="annotation reference"/>
    <w:rsid w:val="000A6F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FEC"/>
  </w:style>
  <w:style w:type="paragraph" w:styleId="CommentSubject">
    <w:name w:val="annotation subject"/>
    <w:basedOn w:val="CommentText"/>
    <w:next w:val="CommentText"/>
    <w:link w:val="CommentSubjectChar"/>
    <w:rsid w:val="000A6FEC"/>
    <w:rPr>
      <w:b/>
      <w:bCs/>
    </w:rPr>
  </w:style>
  <w:style w:type="character" w:customStyle="1" w:styleId="CommentSubjectChar">
    <w:name w:val="Comment Subject Char"/>
    <w:link w:val="CommentSubject"/>
    <w:rsid w:val="000A6FEC"/>
    <w:rPr>
      <w:b/>
      <w:bCs/>
    </w:rPr>
  </w:style>
  <w:style w:type="paragraph" w:styleId="ListBullet">
    <w:name w:val="List Bullet"/>
    <w:basedOn w:val="Normal"/>
    <w:rsid w:val="000A6FEC"/>
    <w:pPr>
      <w:numPr>
        <w:numId w:val="11"/>
      </w:numPr>
      <w:contextualSpacing/>
    </w:pPr>
  </w:style>
  <w:style w:type="paragraph" w:styleId="Revision">
    <w:name w:val="Revision"/>
    <w:hidden/>
    <w:uiPriority w:val="99"/>
    <w:semiHidden/>
    <w:rsid w:val="001648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559AF-37D5-4C85-90D7-C261E40B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3117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3539013</vt:i4>
      </vt:variant>
      <vt:variant>
        <vt:i4>27</vt:i4>
      </vt:variant>
      <vt:variant>
        <vt:i4>0</vt:i4>
      </vt:variant>
      <vt:variant>
        <vt:i4>5</vt:i4>
      </vt:variant>
      <vt:variant>
        <vt:lpwstr>file://C:\Users\C102191\AppData\Local\Microsoft\Windows\INetCache\Content.Outlook\AppData\Local\Microsoft\windows\INetCache\Content.Outlook\AppData\Local\Microsoft\Windows\INetCache\AppData\Local\Microsoft\Windows\Temporary Internet Files\Content.Outlook\VG41DY25\CMS-2-017428</vt:lpwstr>
      </vt:variant>
      <vt:variant>
        <vt:lpwstr/>
      </vt:variant>
      <vt:variant>
        <vt:i4>6029337</vt:i4>
      </vt:variant>
      <vt:variant>
        <vt:i4>24</vt:i4>
      </vt:variant>
      <vt:variant>
        <vt:i4>0</vt:i4>
      </vt:variant>
      <vt:variant>
        <vt:i4>5</vt:i4>
      </vt:variant>
      <vt:variant>
        <vt:lpwstr>C:\Users\C102191\AppData\Local\Microsoft\Windows\INetCache\DDavis6\Desktop\Subcommittee Review\Activity Code Project\CMS-2-005164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_Toc56594310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_Toc56594309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_Toc56594308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_Toc56594307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2008-12-10T17:50:00Z</cp:lastPrinted>
  <dcterms:created xsi:type="dcterms:W3CDTF">2025-09-08T16:42:00Z</dcterms:created>
  <dcterms:modified xsi:type="dcterms:W3CDTF">2025-09-08T16:42:00Z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184</vt:lpwstr>
  </property>
  <property fmtid="{D5CDD505-2E9C-101B-9397-08002B2CF9AE}" pid="3" name="ContentType">
    <vt:lpwstr>$Resources:CType_PWS_Document(1)</vt:lpwstr>
  </property>
  <property fmtid="{D5CDD505-2E9C-101B-9397-08002B2CF9AE}" pid="4" name="display_urn:schemas-microsoft-com:office:office#Owner">
    <vt:lpwstr>Dumitres, Barb</vt:lpwstr>
  </property>
  <property fmtid="{D5CDD505-2E9C-101B-9397-08002B2CF9AE}" pid="5" name="Status">
    <vt:lpwstr>Ready For Review</vt:lpwstr>
  </property>
  <property fmtid="{D5CDD505-2E9C-101B-9397-08002B2CF9AE}" pid="6" name="MSIP_Label_67599526-06ca-49cc-9fa9-5307800a949a_Enabled">
    <vt:lpwstr>true</vt:lpwstr>
  </property>
  <property fmtid="{D5CDD505-2E9C-101B-9397-08002B2CF9AE}" pid="7" name="MSIP_Label_67599526-06ca-49cc-9fa9-5307800a949a_SetDate">
    <vt:lpwstr>2022-04-04T13:44:49Z</vt:lpwstr>
  </property>
  <property fmtid="{D5CDD505-2E9C-101B-9397-08002B2CF9AE}" pid="8" name="MSIP_Label_67599526-06ca-49cc-9fa9-5307800a949a_Method">
    <vt:lpwstr>Standard</vt:lpwstr>
  </property>
  <property fmtid="{D5CDD505-2E9C-101B-9397-08002B2CF9AE}" pid="9" name="MSIP_Label_67599526-06ca-49cc-9fa9-5307800a949a_Name">
    <vt:lpwstr>67599526-06ca-49cc-9fa9-5307800a949a</vt:lpwstr>
  </property>
  <property fmtid="{D5CDD505-2E9C-101B-9397-08002B2CF9AE}" pid="10" name="MSIP_Label_67599526-06ca-49cc-9fa9-5307800a949a_SiteId">
    <vt:lpwstr>fabb61b8-3afe-4e75-b934-a47f782b8cd7</vt:lpwstr>
  </property>
  <property fmtid="{D5CDD505-2E9C-101B-9397-08002B2CF9AE}" pid="11" name="MSIP_Label_67599526-06ca-49cc-9fa9-5307800a949a_ActionId">
    <vt:lpwstr>77d4269c-bc48-4fa2-985e-b1f0558e3d89</vt:lpwstr>
  </property>
  <property fmtid="{D5CDD505-2E9C-101B-9397-08002B2CF9AE}" pid="12" name="MSIP_Label_67599526-06ca-49cc-9fa9-5307800a949a_ContentBits">
    <vt:lpwstr>0</vt:lpwstr>
  </property>
</Properties>
</file>