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B744" w14:textId="7A7D2BDE" w:rsidR="00524CDD" w:rsidRPr="00C311D3" w:rsidRDefault="007501D7" w:rsidP="00C311D3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8E2963">
        <w:rPr>
          <w:rFonts w:ascii="Verdana" w:hAnsi="Verdana"/>
          <w:color w:val="000000"/>
          <w:sz w:val="36"/>
          <w:szCs w:val="36"/>
        </w:rPr>
        <w:t>S</w:t>
      </w:r>
      <w:r w:rsidR="007420DD">
        <w:rPr>
          <w:rFonts w:ascii="Verdana" w:hAnsi="Verdana"/>
          <w:color w:val="000000"/>
          <w:sz w:val="36"/>
          <w:szCs w:val="36"/>
        </w:rPr>
        <w:t>ame</w:t>
      </w:r>
      <w:r w:rsidR="008E2963">
        <w:rPr>
          <w:rFonts w:ascii="Verdana" w:hAnsi="Verdana"/>
          <w:color w:val="000000"/>
          <w:sz w:val="36"/>
          <w:szCs w:val="36"/>
        </w:rPr>
        <w:t xml:space="preserve"> C</w:t>
      </w:r>
      <w:r w:rsidR="007420DD">
        <w:rPr>
          <w:rFonts w:ascii="Verdana" w:hAnsi="Verdana"/>
          <w:color w:val="000000"/>
          <w:sz w:val="36"/>
          <w:szCs w:val="36"/>
        </w:rPr>
        <w:t>lient</w:t>
      </w:r>
      <w:r w:rsidR="008E2963">
        <w:rPr>
          <w:rFonts w:ascii="Verdana" w:hAnsi="Verdana"/>
          <w:color w:val="000000"/>
          <w:sz w:val="36"/>
          <w:szCs w:val="36"/>
        </w:rPr>
        <w:t xml:space="preserve"> C</w:t>
      </w:r>
      <w:r w:rsidR="007420DD">
        <w:rPr>
          <w:rFonts w:ascii="Verdana" w:hAnsi="Verdana"/>
          <w:color w:val="000000"/>
          <w:sz w:val="36"/>
          <w:szCs w:val="36"/>
        </w:rPr>
        <w:t>ode</w:t>
      </w:r>
      <w:r w:rsidR="008E2963">
        <w:rPr>
          <w:rFonts w:ascii="Verdana" w:hAnsi="Verdana"/>
          <w:color w:val="000000"/>
          <w:sz w:val="36"/>
          <w:szCs w:val="36"/>
        </w:rPr>
        <w:t>/S</w:t>
      </w:r>
      <w:r w:rsidR="007420DD">
        <w:rPr>
          <w:rFonts w:ascii="Verdana" w:hAnsi="Verdana"/>
          <w:color w:val="000000"/>
          <w:sz w:val="36"/>
          <w:szCs w:val="36"/>
        </w:rPr>
        <w:t>ame</w:t>
      </w:r>
      <w:r w:rsidR="008E2963">
        <w:rPr>
          <w:rFonts w:ascii="Verdana" w:hAnsi="Verdana"/>
          <w:color w:val="000000"/>
          <w:sz w:val="36"/>
          <w:szCs w:val="36"/>
        </w:rPr>
        <w:t xml:space="preserve"> I</w:t>
      </w:r>
      <w:r w:rsidR="007420DD">
        <w:rPr>
          <w:rFonts w:ascii="Verdana" w:hAnsi="Verdana"/>
          <w:color w:val="000000"/>
          <w:sz w:val="36"/>
          <w:szCs w:val="36"/>
        </w:rPr>
        <w:t>d</w:t>
      </w:r>
      <w:r w:rsidR="008E2963">
        <w:rPr>
          <w:rFonts w:ascii="Verdana" w:hAnsi="Verdana"/>
          <w:color w:val="000000"/>
          <w:sz w:val="36"/>
          <w:szCs w:val="36"/>
        </w:rPr>
        <w:t># (M</w:t>
      </w:r>
      <w:r w:rsidR="007420DD">
        <w:rPr>
          <w:rFonts w:ascii="Verdana" w:hAnsi="Verdana"/>
          <w:color w:val="000000"/>
          <w:sz w:val="36"/>
          <w:szCs w:val="36"/>
        </w:rPr>
        <w:t>ultiple</w:t>
      </w:r>
      <w:r w:rsidR="008E2963">
        <w:rPr>
          <w:rFonts w:ascii="Verdana" w:hAnsi="Verdana"/>
          <w:color w:val="000000"/>
          <w:sz w:val="36"/>
          <w:szCs w:val="36"/>
        </w:rPr>
        <w:t xml:space="preserve"> C</w:t>
      </w:r>
      <w:r w:rsidR="007420DD">
        <w:rPr>
          <w:rFonts w:ascii="Verdana" w:hAnsi="Verdana"/>
          <w:color w:val="000000"/>
          <w:sz w:val="36"/>
          <w:szCs w:val="36"/>
        </w:rPr>
        <w:t>ardholders</w:t>
      </w:r>
      <w:r w:rsidR="008E2963">
        <w:rPr>
          <w:rFonts w:ascii="Verdana" w:hAnsi="Verdana"/>
          <w:color w:val="000000"/>
          <w:sz w:val="36"/>
          <w:szCs w:val="36"/>
        </w:rPr>
        <w:t>)</w:t>
      </w:r>
    </w:p>
    <w:p w14:paraId="60347CFD" w14:textId="77777777" w:rsidR="009D5470" w:rsidRDefault="009D5470">
      <w:pPr>
        <w:pStyle w:val="TOC2"/>
      </w:pPr>
    </w:p>
    <w:p w14:paraId="20C94ADE" w14:textId="257DA520" w:rsidR="009D5470" w:rsidRDefault="003D2FCC">
      <w:pPr>
        <w:pStyle w:val="TOC2"/>
        <w:rPr>
          <w:rFonts w:ascii="Calibri" w:hAnsi="Calibri"/>
          <w:noProof/>
          <w:sz w:val="22"/>
          <w:szCs w:val="22"/>
        </w:rPr>
      </w:pPr>
      <w:r w:rsidRPr="00D076AA">
        <w:fldChar w:fldCharType="begin"/>
      </w:r>
      <w:r w:rsidRPr="00D076AA">
        <w:instrText xml:space="preserve"> TOC \o "2-2" \n \p " " \h \z \u </w:instrText>
      </w:r>
      <w:r w:rsidRPr="00D076AA">
        <w:fldChar w:fldCharType="separate"/>
      </w:r>
      <w:hyperlink w:anchor="_Toc157408390" w:history="1">
        <w:r w:rsidR="009D5470" w:rsidRPr="00CA7783">
          <w:rPr>
            <w:rStyle w:val="Hyperlink"/>
            <w:rFonts w:ascii="Verdana" w:hAnsi="Verdana"/>
            <w:noProof/>
          </w:rPr>
          <w:t>Process</w:t>
        </w:r>
      </w:hyperlink>
    </w:p>
    <w:p w14:paraId="6549EFB4" w14:textId="6B332887" w:rsidR="009D5470" w:rsidRDefault="00A317DA">
      <w:pPr>
        <w:pStyle w:val="TOC2"/>
        <w:rPr>
          <w:rFonts w:ascii="Calibri" w:hAnsi="Calibri"/>
          <w:noProof/>
          <w:sz w:val="22"/>
          <w:szCs w:val="22"/>
        </w:rPr>
      </w:pPr>
      <w:hyperlink w:anchor="_Toc157408391" w:history="1">
        <w:r w:rsidR="009D5470" w:rsidRPr="00CA7783">
          <w:rPr>
            <w:rStyle w:val="Hyperlink"/>
            <w:rFonts w:ascii="Verdana" w:hAnsi="Verdana"/>
            <w:noProof/>
          </w:rPr>
          <w:t>Resolution Time</w:t>
        </w:r>
      </w:hyperlink>
    </w:p>
    <w:p w14:paraId="607DAA0D" w14:textId="277894DE" w:rsidR="009D5470" w:rsidRDefault="00A317DA">
      <w:pPr>
        <w:pStyle w:val="TOC2"/>
        <w:rPr>
          <w:rFonts w:ascii="Calibri" w:hAnsi="Calibri"/>
          <w:noProof/>
          <w:sz w:val="22"/>
          <w:szCs w:val="22"/>
        </w:rPr>
      </w:pPr>
      <w:hyperlink w:anchor="_Toc157408392" w:history="1">
        <w:r w:rsidR="009D5470" w:rsidRPr="00CA7783">
          <w:rPr>
            <w:rStyle w:val="Hyperlink"/>
            <w:rFonts w:ascii="Verdana" w:hAnsi="Verdana"/>
            <w:noProof/>
          </w:rPr>
          <w:t>Related Documents</w:t>
        </w:r>
      </w:hyperlink>
    </w:p>
    <w:p w14:paraId="3A447539" w14:textId="4FF19082" w:rsidR="00C32CFD" w:rsidRPr="00B46A95" w:rsidRDefault="003D2FCC" w:rsidP="009D1572">
      <w:pPr>
        <w:autoSpaceDE w:val="0"/>
        <w:autoSpaceDN w:val="0"/>
        <w:adjustRightInd w:val="0"/>
        <w:rPr>
          <w:rFonts w:ascii="Verdana" w:hAnsi="Verdana"/>
        </w:rPr>
      </w:pPr>
      <w:r w:rsidRPr="00D076AA">
        <w:rPr>
          <w:rFonts w:ascii="Verdana" w:hAnsi="Verdana"/>
        </w:rPr>
        <w:fldChar w:fldCharType="end"/>
      </w:r>
      <w:r w:rsidR="00C45526" w:rsidDel="00C45526">
        <w:rPr>
          <w:rFonts w:ascii="Verdana" w:hAnsi="Verdana" w:cs="Verdana"/>
          <w:color w:val="000000"/>
        </w:rPr>
        <w:t xml:space="preserve"> </w:t>
      </w:r>
    </w:p>
    <w:p w14:paraId="7664EE51" w14:textId="49999D91" w:rsidR="008D46DE" w:rsidRPr="005D3E00" w:rsidRDefault="00C45526" w:rsidP="009D1572">
      <w:pPr>
        <w:spacing w:before="120" w:after="240"/>
        <w:rPr>
          <w:rFonts w:ascii="Verdana" w:hAnsi="Verdana"/>
          <w:color w:val="000000"/>
        </w:rPr>
      </w:pPr>
      <w:bookmarkStart w:id="1" w:name="_Overview"/>
      <w:bookmarkEnd w:id="1"/>
      <w:r w:rsidRPr="009D1572">
        <w:rPr>
          <w:rFonts w:ascii="Verdana" w:hAnsi="Verdana"/>
          <w:b/>
          <w:bCs/>
        </w:rPr>
        <w:t xml:space="preserve">Description:  </w:t>
      </w:r>
      <w:r w:rsidR="009966E0">
        <w:rPr>
          <w:rFonts w:ascii="Verdana" w:hAnsi="Verdana"/>
        </w:rPr>
        <w:t>P</w:t>
      </w:r>
      <w:r w:rsidRPr="009D1572">
        <w:rPr>
          <w:rFonts w:ascii="Verdana" w:hAnsi="Verdana"/>
        </w:rPr>
        <w:t>rovide information for when a plan</w:t>
      </w:r>
      <w:r>
        <w:rPr>
          <w:rFonts w:ascii="Verdana" w:hAnsi="Verdana"/>
          <w:b/>
          <w:bCs/>
        </w:rPr>
        <w:t xml:space="preserve"> </w:t>
      </w:r>
      <w:r w:rsidR="001F1F65">
        <w:rPr>
          <w:rFonts w:ascii="Verdana" w:hAnsi="Verdana"/>
        </w:rPr>
        <w:t>member</w:t>
      </w:r>
      <w:r w:rsidR="009C4263" w:rsidRPr="00B908B8">
        <w:rPr>
          <w:rFonts w:ascii="Verdana" w:hAnsi="Verdana"/>
        </w:rPr>
        <w:t xml:space="preserve"> is unable to use R</w:t>
      </w:r>
      <w:r w:rsidR="00EC3591">
        <w:rPr>
          <w:rFonts w:ascii="Verdana" w:hAnsi="Verdana"/>
        </w:rPr>
        <w:t>x</w:t>
      </w:r>
      <w:r w:rsidR="009C4263" w:rsidRPr="00B908B8">
        <w:rPr>
          <w:rFonts w:ascii="Verdana" w:hAnsi="Verdana"/>
        </w:rPr>
        <w:t>Request</w:t>
      </w:r>
      <w:r w:rsidR="005D3E00">
        <w:rPr>
          <w:rFonts w:ascii="Verdana" w:hAnsi="Verdana"/>
          <w:color w:val="FF0000"/>
        </w:rPr>
        <w:t xml:space="preserve"> </w:t>
      </w:r>
      <w:r w:rsidR="005D3E00" w:rsidRPr="00166399">
        <w:rPr>
          <w:rFonts w:ascii="Verdana" w:hAnsi="Verdana"/>
          <w:color w:val="000000"/>
        </w:rPr>
        <w:t>(IVR)</w:t>
      </w:r>
      <w:r w:rsidR="009C4263" w:rsidRPr="00B908B8">
        <w:rPr>
          <w:rFonts w:ascii="Verdana" w:hAnsi="Verdana"/>
        </w:rPr>
        <w:t xml:space="preserve"> or </w:t>
      </w:r>
      <w:r w:rsidR="001A687B">
        <w:rPr>
          <w:rFonts w:ascii="Verdana" w:hAnsi="Verdana"/>
        </w:rPr>
        <w:t>the Member Web Portal</w:t>
      </w:r>
      <w:r w:rsidR="009C4263" w:rsidRPr="00B908B8">
        <w:rPr>
          <w:rFonts w:ascii="Verdana" w:hAnsi="Verdana"/>
        </w:rPr>
        <w:t xml:space="preserve"> due to multiple cardholders with the same client code</w:t>
      </w:r>
      <w:r w:rsidR="001F1F65" w:rsidRPr="005D3E00">
        <w:rPr>
          <w:rFonts w:ascii="Verdana" w:hAnsi="Verdana"/>
          <w:color w:val="000000"/>
        </w:rPr>
        <w:t>, or multiple lines of active eligibility</w:t>
      </w:r>
      <w:r w:rsidR="009C4263" w:rsidRPr="005D3E00">
        <w:rPr>
          <w:rFonts w:ascii="Verdana" w:hAnsi="Verdana"/>
          <w:color w:val="000000"/>
        </w:rPr>
        <w:t>.</w:t>
      </w:r>
    </w:p>
    <w:p w14:paraId="0C16364E" w14:textId="4EE25A80" w:rsidR="00806B9D" w:rsidRDefault="00806B9D" w:rsidP="00406DB5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B29C7" w:rsidRPr="00E13970" w14:paraId="41052358" w14:textId="77777777" w:rsidTr="00E13970">
        <w:tc>
          <w:tcPr>
            <w:tcW w:w="5000" w:type="pct"/>
            <w:shd w:val="clear" w:color="auto" w:fill="C0C0C0"/>
          </w:tcPr>
          <w:p w14:paraId="4B2E0F13" w14:textId="152B8462" w:rsidR="004B29C7" w:rsidRPr="00E13970" w:rsidRDefault="004B29C7" w:rsidP="009D157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Process_2"/>
            <w:bookmarkStart w:id="3" w:name="_Toc157408390"/>
            <w:bookmarkEnd w:id="2"/>
            <w:r w:rsidRPr="00E13970">
              <w:rPr>
                <w:rFonts w:ascii="Verdana" w:hAnsi="Verdana"/>
                <w:i w:val="0"/>
                <w:iCs w:val="0"/>
              </w:rPr>
              <w:t>Process</w:t>
            </w:r>
            <w:bookmarkEnd w:id="3"/>
          </w:p>
        </w:tc>
      </w:tr>
    </w:tbl>
    <w:p w14:paraId="07C25D02" w14:textId="77777777" w:rsidR="00DD46A0" w:rsidRDefault="00DD46A0" w:rsidP="009D1572">
      <w:pPr>
        <w:spacing w:before="120" w:after="120"/>
        <w:rPr>
          <w:rFonts w:ascii="Verdana" w:hAnsi="Verdana"/>
          <w:b/>
          <w:color w:val="000000"/>
        </w:rPr>
      </w:pPr>
    </w:p>
    <w:p w14:paraId="7D29BFD5" w14:textId="34E375D0" w:rsidR="00C45526" w:rsidRDefault="00C45526" w:rsidP="009D1572">
      <w:pPr>
        <w:spacing w:before="120" w:after="12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Reminders:</w:t>
      </w:r>
    </w:p>
    <w:p w14:paraId="45B1388D" w14:textId="77777777" w:rsidR="00C45526" w:rsidRDefault="00C45526" w:rsidP="009D1572">
      <w:pPr>
        <w:numPr>
          <w:ilvl w:val="0"/>
          <w:numId w:val="18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employer client code must be the same.  Two different client codes cannot be merged.</w:t>
      </w:r>
    </w:p>
    <w:p w14:paraId="3AD361E6" w14:textId="77777777" w:rsidR="00C45526" w:rsidRDefault="00C45526" w:rsidP="009D1572">
      <w:pPr>
        <w:numPr>
          <w:ilvl w:val="0"/>
          <w:numId w:val="18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Dependent to Cardholder can be merged; however, cardholder to dependent cannot be merged.</w:t>
      </w:r>
    </w:p>
    <w:p w14:paraId="5A5F84E0" w14:textId="77777777" w:rsidR="00C45526" w:rsidRDefault="00C45526" w:rsidP="009D1572">
      <w:pPr>
        <w:numPr>
          <w:ilvl w:val="0"/>
          <w:numId w:val="18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Member ID must be the same.  Two different Member IDs cannot be merged.</w:t>
      </w:r>
    </w:p>
    <w:p w14:paraId="1D797ACA" w14:textId="77777777" w:rsidR="00C45526" w:rsidRDefault="00C45526" w:rsidP="009D1572">
      <w:pPr>
        <w:numPr>
          <w:ilvl w:val="0"/>
          <w:numId w:val="18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Termed files cannot be merged.</w:t>
      </w:r>
    </w:p>
    <w:p w14:paraId="5868630F" w14:textId="77777777" w:rsidR="00C45526" w:rsidRDefault="00C45526" w:rsidP="009D1572">
      <w:pPr>
        <w:spacing w:before="120" w:after="120"/>
        <w:rPr>
          <w:rFonts w:ascii="Verdana" w:hAnsi="Verdana"/>
          <w:color w:val="000000"/>
        </w:rPr>
      </w:pPr>
    </w:p>
    <w:p w14:paraId="07F75A4C" w14:textId="77777777" w:rsidR="004B29C7" w:rsidRDefault="004B29C7" w:rsidP="009D1572">
      <w:pPr>
        <w:spacing w:before="120" w:after="120"/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If the plan </w:t>
      </w:r>
      <w:r w:rsidR="001F1F65">
        <w:rPr>
          <w:rFonts w:ascii="Verdana" w:hAnsi="Verdana"/>
          <w:color w:val="000000"/>
        </w:rPr>
        <w:t>member</w:t>
      </w:r>
      <w:r>
        <w:rPr>
          <w:rFonts w:ascii="Verdana" w:hAnsi="Verdana"/>
          <w:color w:val="000000"/>
        </w:rPr>
        <w:t xml:space="preserve"> is unable to use RxRequest or </w:t>
      </w:r>
      <w:r w:rsidR="001A687B">
        <w:rPr>
          <w:rFonts w:ascii="Verdana" w:hAnsi="Verdana"/>
          <w:color w:val="000000"/>
        </w:rPr>
        <w:t>the Member Web Portal</w:t>
      </w:r>
      <w:r>
        <w:rPr>
          <w:rFonts w:ascii="Verdana" w:hAnsi="Verdana"/>
          <w:color w:val="000000"/>
        </w:rPr>
        <w:t xml:space="preserve"> due to multiple cardholders with the same client code</w:t>
      </w:r>
      <w:r w:rsidRPr="005D3E00">
        <w:rPr>
          <w:rFonts w:ascii="Verdana" w:hAnsi="Verdana"/>
          <w:color w:val="000000"/>
        </w:rPr>
        <w:t xml:space="preserve">, </w:t>
      </w:r>
      <w:r w:rsidR="001F1F65" w:rsidRPr="005D3E00">
        <w:rPr>
          <w:rFonts w:ascii="Verdana" w:hAnsi="Verdana"/>
          <w:color w:val="000000"/>
        </w:rPr>
        <w:t>or multiple lines of active eligibility,</w:t>
      </w:r>
      <w:r w:rsidR="001F1F65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follow the steps below:  </w:t>
      </w:r>
    </w:p>
    <w:p w14:paraId="374FC364" w14:textId="77777777" w:rsidR="004B29C7" w:rsidRDefault="004B29C7" w:rsidP="00406DB5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D471B5" w:rsidRPr="00E13970" w14:paraId="0A4F89A0" w14:textId="77777777" w:rsidTr="00672E41">
        <w:tc>
          <w:tcPr>
            <w:tcW w:w="308" w:type="pct"/>
            <w:tcBorders>
              <w:top w:val="single" w:sz="4" w:space="0" w:color="auto"/>
            </w:tcBorders>
            <w:shd w:val="clear" w:color="auto" w:fill="E6E6E6"/>
          </w:tcPr>
          <w:p w14:paraId="0A07AC7F" w14:textId="77777777" w:rsidR="00D471B5" w:rsidRPr="00E13970" w:rsidRDefault="00EB52F0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4" w:name="_Various_Work_Instructions"/>
            <w:bookmarkStart w:id="5" w:name="_Process"/>
            <w:bookmarkStart w:id="6" w:name="_Various_Work_Instructions1"/>
            <w:bookmarkStart w:id="7" w:name="_Various_Work_Instructions_1"/>
            <w:bookmarkStart w:id="8" w:name="_Process_1"/>
            <w:bookmarkEnd w:id="4"/>
            <w:bookmarkEnd w:id="5"/>
            <w:bookmarkEnd w:id="6"/>
            <w:bookmarkEnd w:id="7"/>
            <w:bookmarkEnd w:id="8"/>
            <w:r w:rsidRPr="00E13970">
              <w:rPr>
                <w:rFonts w:ascii="Verdana" w:hAnsi="Verdana"/>
                <w:b/>
              </w:rPr>
              <w:t>Step</w:t>
            </w:r>
          </w:p>
        </w:tc>
        <w:tc>
          <w:tcPr>
            <w:tcW w:w="4692" w:type="pct"/>
            <w:tcBorders>
              <w:top w:val="single" w:sz="4" w:space="0" w:color="auto"/>
            </w:tcBorders>
            <w:shd w:val="clear" w:color="auto" w:fill="E6E6E6"/>
          </w:tcPr>
          <w:p w14:paraId="63713D74" w14:textId="77777777" w:rsidR="00D471B5" w:rsidRPr="00E13970" w:rsidRDefault="00EB52F0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13970">
              <w:rPr>
                <w:rFonts w:ascii="Verdana" w:hAnsi="Verdana"/>
                <w:b/>
              </w:rPr>
              <w:t>Action</w:t>
            </w:r>
          </w:p>
        </w:tc>
      </w:tr>
      <w:tr w:rsidR="00122B8F" w:rsidRPr="00E13970" w14:paraId="7783D8C9" w14:textId="77777777" w:rsidTr="00672E41">
        <w:tc>
          <w:tcPr>
            <w:tcW w:w="308" w:type="pct"/>
          </w:tcPr>
          <w:p w14:paraId="5FF7727F" w14:textId="00184E0A" w:rsidR="00122B8F" w:rsidRPr="00E13970" w:rsidRDefault="00C45526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92" w:type="pct"/>
          </w:tcPr>
          <w:p w14:paraId="475A8A99" w14:textId="529B38BB" w:rsidR="003D2FCC" w:rsidRPr="00E13970" w:rsidRDefault="00C45526" w:rsidP="00672E4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Access PeopleSafe and access</w:t>
            </w:r>
            <w:r w:rsidR="009C4263" w:rsidRPr="00E13970">
              <w:rPr>
                <w:rFonts w:ascii="Verdana" w:hAnsi="Verdana"/>
                <w:color w:val="000000"/>
              </w:rPr>
              <w:t xml:space="preserve"> the plan </w:t>
            </w:r>
            <w:r w:rsidR="001F1F65" w:rsidRPr="00E13970">
              <w:rPr>
                <w:rFonts w:ascii="Verdana" w:hAnsi="Verdana"/>
                <w:color w:val="000000"/>
              </w:rPr>
              <w:t>member</w:t>
            </w:r>
            <w:r w:rsidR="009C4263" w:rsidRPr="00E13970">
              <w:rPr>
                <w:rFonts w:ascii="Verdana" w:hAnsi="Verdana"/>
                <w:color w:val="000000"/>
              </w:rPr>
              <w:t>’s account using the appropriate ID number.</w:t>
            </w:r>
          </w:p>
        </w:tc>
      </w:tr>
      <w:tr w:rsidR="00122B8F" w:rsidRPr="00E13970" w14:paraId="09F58FF5" w14:textId="77777777" w:rsidTr="00672E41">
        <w:tc>
          <w:tcPr>
            <w:tcW w:w="308" w:type="pct"/>
          </w:tcPr>
          <w:p w14:paraId="1820829F" w14:textId="0148076D" w:rsidR="00122B8F" w:rsidRPr="00E13970" w:rsidRDefault="00C45526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92" w:type="pct"/>
          </w:tcPr>
          <w:p w14:paraId="51F39DB2" w14:textId="048EC7B2" w:rsidR="003D2FCC" w:rsidRPr="00E13970" w:rsidRDefault="009C4263" w:rsidP="00672E4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Highlight the correct </w:t>
            </w:r>
            <w:r w:rsidR="001F1F65" w:rsidRPr="00E13970">
              <w:rPr>
                <w:rFonts w:ascii="Verdana" w:hAnsi="Verdana"/>
                <w:color w:val="000000"/>
              </w:rPr>
              <w:t>line of eligibility.</w:t>
            </w:r>
          </w:p>
        </w:tc>
      </w:tr>
      <w:tr w:rsidR="00982BDC" w:rsidRPr="00E13970" w14:paraId="7AC00423" w14:textId="77777777" w:rsidTr="00672E41">
        <w:tc>
          <w:tcPr>
            <w:tcW w:w="308" w:type="pct"/>
          </w:tcPr>
          <w:p w14:paraId="2CA058C3" w14:textId="43518683" w:rsidR="00982BDC" w:rsidRPr="00E13970" w:rsidRDefault="00C45526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92" w:type="pct"/>
          </w:tcPr>
          <w:p w14:paraId="1E79F181" w14:textId="29A225FC" w:rsidR="00982BDC" w:rsidRPr="00E13970" w:rsidRDefault="00982BDC" w:rsidP="009D1572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Assist </w:t>
            </w:r>
            <w:r w:rsidR="00C45526">
              <w:rPr>
                <w:rFonts w:ascii="Verdana" w:hAnsi="Verdana"/>
                <w:color w:val="000000"/>
              </w:rPr>
              <w:t xml:space="preserve">the </w:t>
            </w:r>
            <w:r w:rsidRPr="00E13970">
              <w:rPr>
                <w:rFonts w:ascii="Verdana" w:hAnsi="Verdana"/>
                <w:color w:val="000000"/>
              </w:rPr>
              <w:t xml:space="preserve">plan </w:t>
            </w:r>
            <w:r w:rsidR="001F1F65" w:rsidRPr="00E13970">
              <w:rPr>
                <w:rFonts w:ascii="Verdana" w:hAnsi="Verdana"/>
                <w:color w:val="000000"/>
              </w:rPr>
              <w:t>member</w:t>
            </w:r>
            <w:r w:rsidRPr="00E13970">
              <w:rPr>
                <w:rFonts w:ascii="Verdana" w:hAnsi="Verdana"/>
                <w:color w:val="000000"/>
              </w:rPr>
              <w:t xml:space="preserve"> based on </w:t>
            </w:r>
            <w:r w:rsidR="00BE2111" w:rsidRPr="00E13970">
              <w:rPr>
                <w:rFonts w:ascii="Verdana" w:hAnsi="Verdana"/>
                <w:color w:val="000000"/>
              </w:rPr>
              <w:t>their</w:t>
            </w:r>
            <w:r w:rsidRPr="00E13970">
              <w:rPr>
                <w:rFonts w:ascii="Verdana" w:hAnsi="Verdana"/>
                <w:color w:val="000000"/>
              </w:rPr>
              <w:t xml:space="preserve"> request.</w:t>
            </w:r>
          </w:p>
          <w:p w14:paraId="4732B256" w14:textId="77777777" w:rsidR="00BE2111" w:rsidRPr="00E13970" w:rsidRDefault="00BE2111" w:rsidP="009D1572">
            <w:pPr>
              <w:numPr>
                <w:ilvl w:val="0"/>
                <w:numId w:val="16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If request is for a refill of a prescription found under the same client code/same ID, create </w:t>
            </w:r>
            <w:r w:rsidR="00C45526">
              <w:rPr>
                <w:rFonts w:ascii="Verdana" w:hAnsi="Verdana"/>
                <w:color w:val="000000"/>
              </w:rPr>
              <w:t xml:space="preserve">an </w:t>
            </w:r>
            <w:r w:rsidRPr="00E13970">
              <w:rPr>
                <w:rFonts w:ascii="Verdana" w:hAnsi="Verdana"/>
                <w:color w:val="000000"/>
              </w:rPr>
              <w:t>RM task:</w:t>
            </w:r>
          </w:p>
          <w:p w14:paraId="7EF06A3A" w14:textId="77777777" w:rsidR="00BE2111" w:rsidRPr="00E13970" w:rsidRDefault="00BE211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>Task Category:  Order Placement</w:t>
            </w:r>
          </w:p>
          <w:p w14:paraId="68281CDE" w14:textId="77777777" w:rsidR="00BE2111" w:rsidRPr="00E13970" w:rsidRDefault="00BE211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Task Type: </w:t>
            </w:r>
            <w:r w:rsidR="00C45526">
              <w:rPr>
                <w:rFonts w:ascii="Verdana" w:hAnsi="Verdana"/>
                <w:color w:val="000000"/>
              </w:rPr>
              <w:t xml:space="preserve"> </w:t>
            </w:r>
            <w:r w:rsidRPr="00E13970">
              <w:rPr>
                <w:rFonts w:ascii="Verdana" w:hAnsi="Verdana"/>
                <w:color w:val="000000"/>
              </w:rPr>
              <w:t>Refill Request – Manual</w:t>
            </w:r>
          </w:p>
          <w:p w14:paraId="65E85CC5" w14:textId="77777777" w:rsidR="00BE2111" w:rsidRPr="00E13970" w:rsidRDefault="00BE211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>Queue:  Dispensing Pharmacy</w:t>
            </w:r>
          </w:p>
          <w:p w14:paraId="1E3BCF87" w14:textId="77777777" w:rsidR="00BE2111" w:rsidRPr="00E13970" w:rsidRDefault="00BE211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>Place the following comments in the Notes box:  “</w:t>
            </w:r>
            <w:r w:rsidR="003D2FCC">
              <w:rPr>
                <w:rFonts w:ascii="Verdana" w:hAnsi="Verdana"/>
                <w:color w:val="000000"/>
              </w:rPr>
              <w:t>P</w:t>
            </w:r>
            <w:r w:rsidRPr="00E13970">
              <w:rPr>
                <w:rFonts w:ascii="Verdana" w:hAnsi="Verdana"/>
                <w:color w:val="000000"/>
              </w:rPr>
              <w:t xml:space="preserve">lan </w:t>
            </w:r>
            <w:r w:rsidR="001F1F65" w:rsidRPr="00E13970">
              <w:rPr>
                <w:rFonts w:ascii="Verdana" w:hAnsi="Verdana"/>
                <w:color w:val="000000"/>
              </w:rPr>
              <w:t>member</w:t>
            </w:r>
            <w:r w:rsidRPr="00E13970">
              <w:rPr>
                <w:rFonts w:ascii="Verdana" w:hAnsi="Verdana"/>
                <w:color w:val="000000"/>
              </w:rPr>
              <w:t xml:space="preserve"> unable to use RxRequest or </w:t>
            </w:r>
            <w:r w:rsidR="001A687B">
              <w:rPr>
                <w:rFonts w:ascii="Verdana" w:hAnsi="Verdana"/>
                <w:color w:val="000000"/>
              </w:rPr>
              <w:t xml:space="preserve">Member Web Portal </w:t>
            </w:r>
            <w:r w:rsidRPr="00E13970">
              <w:rPr>
                <w:rFonts w:ascii="Verdana" w:hAnsi="Verdana"/>
                <w:color w:val="000000"/>
              </w:rPr>
              <w:t>due to mul</w:t>
            </w:r>
            <w:r w:rsidR="001F1F65" w:rsidRPr="00E13970">
              <w:rPr>
                <w:rFonts w:ascii="Verdana" w:hAnsi="Verdana"/>
                <w:color w:val="000000"/>
              </w:rPr>
              <w:t>tiple lines of eligibility</w:t>
            </w:r>
            <w:r w:rsidRPr="00E13970">
              <w:rPr>
                <w:rFonts w:ascii="Verdana" w:hAnsi="Verdana"/>
                <w:color w:val="000000"/>
              </w:rPr>
              <w:t>.”</w:t>
            </w:r>
          </w:p>
          <w:p w14:paraId="77953F56" w14:textId="6A784B17" w:rsidR="00BE2111" w:rsidRPr="00E13970" w:rsidRDefault="00BE211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Method of </w:t>
            </w:r>
            <w:hyperlink r:id="rId11" w:anchor="!/view?docid=47bdca4c-e5e7-4887-856d-ff34db37dfc2" w:history="1">
              <w:r w:rsidR="00733A84">
                <w:rPr>
                  <w:rStyle w:val="Hyperlink"/>
                  <w:rFonts w:ascii="Verdana" w:hAnsi="Verdana"/>
                </w:rPr>
                <w:t>payment (025593)</w:t>
              </w:r>
            </w:hyperlink>
            <w:r w:rsidRPr="00E13970">
              <w:rPr>
                <w:rFonts w:ascii="Verdana" w:hAnsi="Verdana"/>
                <w:color w:val="000000"/>
              </w:rPr>
              <w:t xml:space="preserve"> (if applicable)</w:t>
            </w:r>
          </w:p>
          <w:p w14:paraId="33ABC985" w14:textId="77777777" w:rsidR="00BE2111" w:rsidRPr="00E13970" w:rsidRDefault="00BE211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>Address Verified (Must be verified and noted in comments for processing)</w:t>
            </w:r>
          </w:p>
          <w:p w14:paraId="605EAFC8" w14:textId="77777777" w:rsidR="00BE2111" w:rsidRPr="00E13970" w:rsidRDefault="00BE2111" w:rsidP="009D1572">
            <w:pPr>
              <w:numPr>
                <w:ilvl w:val="1"/>
                <w:numId w:val="14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>Alternate shipping address (if applicable)</w:t>
            </w:r>
          </w:p>
          <w:p w14:paraId="2B8A7BE7" w14:textId="77777777" w:rsidR="00BE2111" w:rsidRPr="00E13970" w:rsidRDefault="00BE2111" w:rsidP="009D1572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</w:tc>
      </w:tr>
      <w:tr w:rsidR="00D471B5" w:rsidRPr="00E13970" w14:paraId="636E89B3" w14:textId="77777777" w:rsidTr="00672E41">
        <w:tc>
          <w:tcPr>
            <w:tcW w:w="308" w:type="pct"/>
          </w:tcPr>
          <w:p w14:paraId="336BADE6" w14:textId="58D89FA0" w:rsidR="00D471B5" w:rsidRPr="00E13970" w:rsidRDefault="00C45526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92" w:type="pct"/>
          </w:tcPr>
          <w:p w14:paraId="44FB1BB5" w14:textId="77777777" w:rsidR="00122B8F" w:rsidRPr="00E13970" w:rsidRDefault="00982BDC" w:rsidP="009D1572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Create RM task to </w:t>
            </w:r>
            <w:r w:rsidR="001F1F65" w:rsidRPr="00E13970">
              <w:rPr>
                <w:rFonts w:ascii="Verdana" w:hAnsi="Verdana"/>
                <w:color w:val="000000"/>
              </w:rPr>
              <w:t>merge the two lines of eligibility:</w:t>
            </w:r>
          </w:p>
          <w:p w14:paraId="7062CFB5" w14:textId="77777777" w:rsidR="00982BDC" w:rsidRPr="00E13970" w:rsidRDefault="00982BDC" w:rsidP="009D1572">
            <w:pPr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Task Category:  </w:t>
            </w:r>
            <w:r w:rsidRPr="00D076AA">
              <w:rPr>
                <w:rFonts w:ascii="Verdana" w:hAnsi="Verdana"/>
                <w:b/>
                <w:color w:val="000000"/>
              </w:rPr>
              <w:t>Eligibility</w:t>
            </w:r>
          </w:p>
          <w:p w14:paraId="0F058FE9" w14:textId="639415E2" w:rsidR="001E013D" w:rsidRPr="00E13970" w:rsidRDefault="00982BDC" w:rsidP="009D1572">
            <w:pPr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Task Type:  </w:t>
            </w:r>
            <w:r w:rsidRPr="00D076AA">
              <w:rPr>
                <w:rFonts w:ascii="Verdana" w:hAnsi="Verdana"/>
                <w:b/>
                <w:color w:val="000000"/>
              </w:rPr>
              <w:t>Multiple Cardholders Same Client Code/Same ID#</w:t>
            </w:r>
          </w:p>
        </w:tc>
      </w:tr>
      <w:tr w:rsidR="00122B8F" w:rsidRPr="00E13970" w14:paraId="203AC690" w14:textId="77777777" w:rsidTr="00672E41">
        <w:tc>
          <w:tcPr>
            <w:tcW w:w="308" w:type="pct"/>
          </w:tcPr>
          <w:p w14:paraId="22A590BD" w14:textId="0970A98D" w:rsidR="00122B8F" w:rsidRPr="00E13970" w:rsidRDefault="00C45526" w:rsidP="009D15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692" w:type="pct"/>
          </w:tcPr>
          <w:p w14:paraId="44AE6E0A" w14:textId="77777777" w:rsidR="00BE2111" w:rsidRPr="00E13970" w:rsidRDefault="00982BDC" w:rsidP="009D1572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Offer the </w:t>
            </w:r>
            <w:r w:rsidR="001F1F65" w:rsidRPr="00E13970">
              <w:rPr>
                <w:rFonts w:ascii="Verdana" w:hAnsi="Verdana"/>
                <w:color w:val="000000"/>
              </w:rPr>
              <w:t>member</w:t>
            </w:r>
            <w:r w:rsidRPr="00E13970">
              <w:rPr>
                <w:rFonts w:ascii="Verdana" w:hAnsi="Verdana"/>
                <w:color w:val="000000"/>
              </w:rPr>
              <w:t xml:space="preserve"> a callback once the request has been processed.  </w:t>
            </w:r>
          </w:p>
          <w:p w14:paraId="72C04521" w14:textId="6BA829C4" w:rsidR="00BE2111" w:rsidRPr="00E13970" w:rsidRDefault="00982BDC" w:rsidP="009D1572">
            <w:pPr>
              <w:numPr>
                <w:ilvl w:val="0"/>
                <w:numId w:val="16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If </w:t>
            </w:r>
            <w:r w:rsidR="001F1F65" w:rsidRPr="00E13970">
              <w:rPr>
                <w:rFonts w:ascii="Verdana" w:hAnsi="Verdana"/>
                <w:color w:val="000000"/>
              </w:rPr>
              <w:t>member</w:t>
            </w:r>
            <w:r w:rsidRPr="00E13970">
              <w:rPr>
                <w:rFonts w:ascii="Verdana" w:hAnsi="Verdana"/>
                <w:color w:val="000000"/>
              </w:rPr>
              <w:t xml:space="preserve"> </w:t>
            </w:r>
            <w:r w:rsidR="00D076AA">
              <w:rPr>
                <w:rFonts w:ascii="Verdana" w:hAnsi="Verdana"/>
                <w:color w:val="000000"/>
              </w:rPr>
              <w:t>agrees</w:t>
            </w:r>
            <w:r w:rsidRPr="00E13970">
              <w:rPr>
                <w:rFonts w:ascii="Verdana" w:hAnsi="Verdana"/>
                <w:color w:val="000000"/>
              </w:rPr>
              <w:t xml:space="preserve">, follow the procedure for </w:t>
            </w:r>
            <w:hyperlink r:id="rId12" w:anchor="!/view?docid=1deb6339-c28a-4591-bb3c-c244a0c0fcdf" w:history="1">
              <w:r w:rsidR="00D80A5B" w:rsidRPr="00D80A5B">
                <w:rPr>
                  <w:rStyle w:val="Hyperlink"/>
                  <w:rFonts w:ascii="Verdana" w:hAnsi="Verdana"/>
                </w:rPr>
                <w:t>Participant (Member) Callback Request (010590).</w:t>
              </w:r>
            </w:hyperlink>
            <w:r w:rsidRPr="00E13970">
              <w:rPr>
                <w:rFonts w:ascii="Verdana" w:hAnsi="Verdana"/>
                <w:color w:val="000000"/>
              </w:rPr>
              <w:t xml:space="preserve">  </w:t>
            </w:r>
          </w:p>
          <w:p w14:paraId="5528F87A" w14:textId="3F67EC78" w:rsidR="009C4263" w:rsidRDefault="00982BDC" w:rsidP="009D1572">
            <w:pPr>
              <w:numPr>
                <w:ilvl w:val="0"/>
                <w:numId w:val="16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E13970">
              <w:rPr>
                <w:rFonts w:ascii="Verdana" w:hAnsi="Verdana"/>
                <w:color w:val="000000"/>
              </w:rPr>
              <w:t xml:space="preserve">If </w:t>
            </w:r>
            <w:r w:rsidR="001F1F65" w:rsidRPr="00E13970">
              <w:rPr>
                <w:rFonts w:ascii="Verdana" w:hAnsi="Verdana"/>
                <w:color w:val="000000"/>
              </w:rPr>
              <w:t>member</w:t>
            </w:r>
            <w:r w:rsidRPr="00E13970">
              <w:rPr>
                <w:rFonts w:ascii="Verdana" w:hAnsi="Verdana"/>
                <w:color w:val="000000"/>
              </w:rPr>
              <w:t xml:space="preserve"> declines the callback, </w:t>
            </w:r>
            <w:r w:rsidR="001A687B">
              <w:rPr>
                <w:rFonts w:ascii="Verdana" w:hAnsi="Verdana"/>
                <w:color w:val="000000"/>
              </w:rPr>
              <w:t xml:space="preserve">advise them that they can call </w:t>
            </w:r>
            <w:r w:rsidR="00C45526">
              <w:rPr>
                <w:rFonts w:ascii="Verdana" w:hAnsi="Verdana"/>
                <w:color w:val="000000"/>
              </w:rPr>
              <w:t>Customer Care</w:t>
            </w:r>
            <w:r w:rsidR="00C45526" w:rsidRPr="00E13970">
              <w:rPr>
                <w:rFonts w:ascii="Verdana" w:hAnsi="Verdana"/>
                <w:color w:val="000000"/>
              </w:rPr>
              <w:t xml:space="preserve"> </w:t>
            </w:r>
            <w:r w:rsidRPr="00E13970">
              <w:rPr>
                <w:rFonts w:ascii="Verdana" w:hAnsi="Verdana"/>
                <w:color w:val="000000"/>
              </w:rPr>
              <w:t>24 hours a day, 7 days a week to check the status.</w:t>
            </w:r>
          </w:p>
          <w:p w14:paraId="379D14FC" w14:textId="41825295" w:rsidR="003D2FCC" w:rsidRPr="00E13970" w:rsidRDefault="0017483B" w:rsidP="009D1572">
            <w:pPr>
              <w:spacing w:before="120" w:after="120"/>
              <w:ind w:left="36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</w:t>
            </w:r>
            <w:r w:rsidR="009D1572">
              <w:rPr>
                <w:rFonts w:ascii="Verdana" w:hAnsi="Verdana"/>
                <w:b/>
                <w:bCs/>
                <w:color w:val="000000"/>
              </w:rPr>
              <w:t>ote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 xml:space="preserve">Member should be encouraged to only callback after the </w:t>
            </w:r>
            <w:r w:rsidR="009D1572">
              <w:rPr>
                <w:rFonts w:ascii="Verdana" w:hAnsi="Verdana"/>
                <w:color w:val="000000"/>
              </w:rPr>
              <w:t>5-business</w:t>
            </w:r>
            <w:r>
              <w:rPr>
                <w:rFonts w:ascii="Verdana" w:hAnsi="Verdana"/>
                <w:color w:val="000000"/>
              </w:rPr>
              <w:t xml:space="preserve"> day TAT.</w:t>
            </w:r>
          </w:p>
        </w:tc>
      </w:tr>
    </w:tbl>
    <w:p w14:paraId="09E052F0" w14:textId="77777777" w:rsidR="002467D2" w:rsidRDefault="002467D2" w:rsidP="008D46DE">
      <w:pPr>
        <w:rPr>
          <w:rFonts w:ascii="Verdana" w:hAnsi="Verdana"/>
        </w:rPr>
      </w:pPr>
      <w:bookmarkStart w:id="9" w:name="_Available_Task_Types"/>
      <w:bookmarkStart w:id="10" w:name="_Various_Work_Instructions_2"/>
      <w:bookmarkStart w:id="11" w:name="_Working_“Immediate_Need”"/>
      <w:bookmarkEnd w:id="9"/>
      <w:bookmarkEnd w:id="10"/>
      <w:bookmarkEnd w:id="11"/>
    </w:p>
    <w:bookmarkStart w:id="12" w:name="_Log_Activity:"/>
    <w:bookmarkEnd w:id="12"/>
    <w:p w14:paraId="62AA9766" w14:textId="77777777" w:rsidR="000F5716" w:rsidRDefault="007655C8" w:rsidP="000F5716">
      <w:pPr>
        <w:jc w:val="right"/>
        <w:rPr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0F5716" w:rsidRPr="000F5716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6918" w:rsidRPr="00E13970" w14:paraId="38737B16" w14:textId="77777777" w:rsidTr="001A687B">
        <w:tc>
          <w:tcPr>
            <w:tcW w:w="5000" w:type="pct"/>
            <w:shd w:val="clear" w:color="auto" w:fill="C0C0C0"/>
          </w:tcPr>
          <w:p w14:paraId="457F1C74" w14:textId="77777777" w:rsidR="00F86918" w:rsidRPr="00E13970" w:rsidRDefault="00F86918" w:rsidP="009D157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Resolution_Time:"/>
            <w:bookmarkStart w:id="14" w:name="_Toc157408391"/>
            <w:bookmarkEnd w:id="13"/>
            <w:r w:rsidRPr="00E13970">
              <w:rPr>
                <w:rFonts w:ascii="Verdana" w:hAnsi="Verdana"/>
                <w:i w:val="0"/>
                <w:iCs w:val="0"/>
              </w:rPr>
              <w:t>Resolution Time</w:t>
            </w:r>
            <w:bookmarkEnd w:id="14"/>
          </w:p>
        </w:tc>
      </w:tr>
    </w:tbl>
    <w:p w14:paraId="4145D8E1" w14:textId="25703D8D" w:rsidR="00D226FE" w:rsidRDefault="00C45526" w:rsidP="009D157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Up to f</w:t>
      </w:r>
      <w:r w:rsidR="00B908B8" w:rsidRPr="00B908B8">
        <w:rPr>
          <w:rFonts w:ascii="Verdana" w:hAnsi="Verdana"/>
        </w:rPr>
        <w:t xml:space="preserve">ive </w:t>
      </w:r>
      <w:r>
        <w:rPr>
          <w:rFonts w:ascii="Verdana" w:hAnsi="Verdana"/>
        </w:rPr>
        <w:t>b</w:t>
      </w:r>
      <w:r w:rsidR="00B908B8" w:rsidRPr="00B908B8">
        <w:rPr>
          <w:rFonts w:ascii="Verdana" w:hAnsi="Verdana"/>
        </w:rPr>
        <w:t xml:space="preserve">usiness </w:t>
      </w:r>
      <w:r>
        <w:rPr>
          <w:rFonts w:ascii="Verdana" w:hAnsi="Verdana"/>
        </w:rPr>
        <w:t>d</w:t>
      </w:r>
      <w:r w:rsidR="00B908B8" w:rsidRPr="00B908B8">
        <w:rPr>
          <w:rFonts w:ascii="Verdana" w:hAnsi="Verdana"/>
        </w:rPr>
        <w:t>ays.</w:t>
      </w:r>
    </w:p>
    <w:bookmarkStart w:id="15" w:name="_Parent_SOP"/>
    <w:bookmarkEnd w:id="15"/>
    <w:p w14:paraId="2F9DFA12" w14:textId="77777777" w:rsidR="00D076AA" w:rsidRDefault="00D076AA" w:rsidP="00D076A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0F5716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076AA" w:rsidRPr="00E13970" w14:paraId="4478B6B6" w14:textId="77777777" w:rsidTr="00F2141D">
        <w:trPr>
          <w:trHeight w:val="557"/>
        </w:trPr>
        <w:tc>
          <w:tcPr>
            <w:tcW w:w="5000" w:type="pct"/>
            <w:shd w:val="clear" w:color="auto" w:fill="C0C0C0"/>
          </w:tcPr>
          <w:p w14:paraId="5A8F3F35" w14:textId="3FA6F3B3" w:rsidR="00D076AA" w:rsidRPr="00E13970" w:rsidRDefault="00D076AA" w:rsidP="009D157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15740839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</w:p>
        </w:tc>
      </w:tr>
    </w:tbl>
    <w:p w14:paraId="66063184" w14:textId="2F0204F7" w:rsidR="00C45526" w:rsidRPr="009D1572" w:rsidRDefault="00A317DA" w:rsidP="009D1572">
      <w:pPr>
        <w:autoSpaceDE w:val="0"/>
        <w:autoSpaceDN w:val="0"/>
        <w:adjustRightInd w:val="0"/>
        <w:spacing w:before="120" w:after="120" w:line="240" w:lineRule="atLeast"/>
        <w:rPr>
          <w:rFonts w:ascii="Verdana" w:hAnsi="Verdana" w:cs="Segoe UI"/>
          <w:color w:val="333333"/>
        </w:rPr>
      </w:pPr>
      <w:hyperlink r:id="rId13" w:anchor="!/view?docid=c1f1028b-e42c-4b4f-a4cf-cc0b42c91606" w:history="1">
        <w:r w:rsidR="00672E41">
          <w:rPr>
            <w:rStyle w:val="Hyperlink"/>
            <w:rFonts w:ascii="Verdana" w:hAnsi="Verdana" w:cs="Segoe UI"/>
          </w:rPr>
          <w:t>Customer Care Abbreviations, Definitions and Terms Index (017428)</w:t>
        </w:r>
      </w:hyperlink>
    </w:p>
    <w:p w14:paraId="16A68726" w14:textId="37B3CEE9" w:rsidR="00C45526" w:rsidRPr="00C45526" w:rsidRDefault="00A317DA" w:rsidP="009D1572">
      <w:pPr>
        <w:spacing w:before="120" w:after="120"/>
        <w:rPr>
          <w:rFonts w:ascii="Verdana" w:hAnsi="Verdana" w:cs="Verdana"/>
        </w:rPr>
      </w:pPr>
      <w:hyperlink r:id="rId14" w:anchor="!/view?docid=bdac0c67-5fee-47ba-a3aa-aab84900cf78" w:history="1">
        <w:r w:rsidR="00672E41">
          <w:rPr>
            <w:rStyle w:val="Hyperlink"/>
            <w:rFonts w:ascii="Verdana" w:hAnsi="Verdana"/>
          </w:rPr>
          <w:t>Log Activity/Capture Activity Codes (005164)</w:t>
        </w:r>
      </w:hyperlink>
      <w:r w:rsidR="00C45526" w:rsidRPr="009D1572">
        <w:rPr>
          <w:rFonts w:ascii="Verdana" w:hAnsi="Verdana"/>
        </w:rPr>
        <w:t xml:space="preserve"> </w:t>
      </w:r>
    </w:p>
    <w:p w14:paraId="194077C7" w14:textId="19B66F48" w:rsidR="007501D7" w:rsidRDefault="00A317DA" w:rsidP="00A317DA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noProof/>
        </w:rPr>
        <w:drawing>
          <wp:inline distT="0" distB="0" distL="0" distR="0" wp14:anchorId="06D7EAC9" wp14:editId="1FF23588">
            <wp:extent cx="304762" cy="304762"/>
            <wp:effectExtent l="0" t="0" r="635" b="635"/>
            <wp:docPr id="7915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138" name="Picture 791521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anchor="!/view?docid=bcb8da72-5501-4631-b9fd-fe675bc4a1fd" w:history="1">
        <w:r w:rsidR="007501D7">
          <w:rPr>
            <w:rStyle w:val="Hyperlink"/>
            <w:rFonts w:ascii="Verdana" w:hAnsi="Verdana"/>
          </w:rPr>
          <w:t>Universal Care - Caller Authentication (</w:t>
        </w:r>
        <w:r w:rsidR="007501D7">
          <w:rPr>
            <w:rStyle w:val="Hyperlink"/>
            <w:rFonts w:ascii="Verdana" w:hAnsi="Verdana"/>
            <w:shd w:val="clear" w:color="auto" w:fill="FFFFFF"/>
          </w:rPr>
          <w:t>004568)</w:t>
        </w:r>
      </w:hyperlink>
    </w:p>
    <w:p w14:paraId="7F1F3757" w14:textId="182360FE" w:rsidR="00F2141D" w:rsidRDefault="00A9030D" w:rsidP="009D1572">
      <w:pPr>
        <w:spacing w:before="120" w:after="120"/>
      </w:pPr>
      <w:r w:rsidRPr="00A9030D">
        <w:rPr>
          <w:rFonts w:ascii="Verdana" w:hAnsi="Verdana"/>
          <w:b/>
          <w:bCs/>
        </w:rPr>
        <w:t>Parent Documents:</w:t>
      </w:r>
      <w:r>
        <w:t xml:space="preserve">  </w:t>
      </w:r>
    </w:p>
    <w:p w14:paraId="532ECF77" w14:textId="59CF41E1" w:rsidR="00C45526" w:rsidRPr="009D1572" w:rsidRDefault="00A317DA" w:rsidP="009D1572">
      <w:pPr>
        <w:spacing w:before="120" w:after="120"/>
        <w:rPr>
          <w:rFonts w:ascii="Verdana" w:hAnsi="Verdana"/>
        </w:rPr>
      </w:pPr>
      <w:hyperlink r:id="rId17" w:tgtFrame="_blank" w:history="1">
        <w:r w:rsidR="00C45526" w:rsidRPr="00C45526">
          <w:rPr>
            <w:rStyle w:val="Hyperlink"/>
            <w:rFonts w:ascii="Verdana" w:hAnsi="Verdana"/>
          </w:rPr>
          <w:t>CALL 0049 Customer Care Internal and External Call Handling</w:t>
        </w:r>
      </w:hyperlink>
    </w:p>
    <w:p w14:paraId="452E7111" w14:textId="1785F5C6" w:rsidR="00D076AA" w:rsidRDefault="00A317DA" w:rsidP="009D1572">
      <w:pPr>
        <w:spacing w:before="120" w:after="120"/>
        <w:rPr>
          <w:rFonts w:ascii="Verdana" w:hAnsi="Verdana"/>
        </w:rPr>
      </w:pPr>
      <w:hyperlink r:id="rId18" w:history="1">
        <w:r w:rsidR="00C45526" w:rsidRPr="00C45526">
          <w:rPr>
            <w:rStyle w:val="Hyperlink"/>
            <w:rFonts w:ascii="Verdana" w:hAnsi="Verdana"/>
          </w:rPr>
          <w:t>CALL 0011 Authenticating Caller</w:t>
        </w:r>
      </w:hyperlink>
    </w:p>
    <w:p w14:paraId="00932280" w14:textId="77777777" w:rsidR="00D076AA" w:rsidRDefault="00D076AA" w:rsidP="000F5716">
      <w:pPr>
        <w:jc w:val="right"/>
        <w:rPr>
          <w:rFonts w:ascii="Verdana" w:hAnsi="Verdana"/>
        </w:rPr>
      </w:pPr>
    </w:p>
    <w:p w14:paraId="224AEA59" w14:textId="062BE6FF" w:rsidR="00BE2111" w:rsidRPr="00C247CB" w:rsidRDefault="00A317DA" w:rsidP="009D1572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="000F5716" w:rsidRPr="000F5716">
          <w:rPr>
            <w:rStyle w:val="Hyperlink"/>
            <w:rFonts w:ascii="Verdana" w:hAnsi="Verdana"/>
          </w:rPr>
          <w:t>Top of the Document</w:t>
        </w:r>
      </w:hyperlink>
      <w:r w:rsidR="00BE2111">
        <w:rPr>
          <w:rFonts w:ascii="Verdana" w:hAnsi="Verdana"/>
          <w:color w:val="000000"/>
          <w:sz w:val="16"/>
          <w:szCs w:val="16"/>
        </w:rPr>
        <w:t xml:space="preserve"> </w:t>
      </w:r>
    </w:p>
    <w:p w14:paraId="2F0D0B2C" w14:textId="77777777" w:rsidR="00BE2111" w:rsidRPr="00C247CB" w:rsidRDefault="00BE2111" w:rsidP="00BE2111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D076AA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D076AA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D076AA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227266F9" w14:textId="77777777" w:rsidR="00BE2111" w:rsidRPr="00C247CB" w:rsidRDefault="00BE2111" w:rsidP="00BE2111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19E52155" w14:textId="77777777" w:rsidR="003267A4" w:rsidRPr="00902E07" w:rsidRDefault="003267A4" w:rsidP="003267A4">
      <w:pPr>
        <w:pStyle w:val="Footer"/>
        <w:pBdr>
          <w:top w:val="single" w:sz="12" w:space="0" w:color="auto"/>
        </w:pBdr>
        <w:tabs>
          <w:tab w:val="left" w:pos="6480"/>
        </w:tabs>
        <w:jc w:val="center"/>
        <w:rPr>
          <w:rFonts w:ascii="Verdana" w:hAnsi="Verdana"/>
          <w:color w:val="000000"/>
          <w:sz w:val="16"/>
          <w:szCs w:val="16"/>
        </w:rPr>
      </w:pPr>
    </w:p>
    <w:p w14:paraId="063C84EC" w14:textId="77777777" w:rsidR="00FC1C44" w:rsidRPr="00902E07" w:rsidRDefault="00FC1C44" w:rsidP="003267A4">
      <w:pPr>
        <w:jc w:val="center"/>
      </w:pPr>
    </w:p>
    <w:sectPr w:rsidR="00FC1C44" w:rsidRPr="00902E07" w:rsidSect="00C914E9">
      <w:footerReference w:type="even" r:id="rId19"/>
      <w:footerReference w:type="defaul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4DF60" w14:textId="77777777" w:rsidR="00A029A0" w:rsidRDefault="00A029A0">
      <w:r>
        <w:separator/>
      </w:r>
    </w:p>
  </w:endnote>
  <w:endnote w:type="continuationSeparator" w:id="0">
    <w:p w14:paraId="33A670E0" w14:textId="77777777" w:rsidR="00A029A0" w:rsidRDefault="00A0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3158D" w14:textId="77777777" w:rsidR="00F67EB1" w:rsidRDefault="00F67EB1" w:rsidP="0031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4E8822" w14:textId="77777777" w:rsidR="00F67EB1" w:rsidRDefault="00F67EB1" w:rsidP="004E28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ADE85" w14:textId="77777777" w:rsidR="00F67EB1" w:rsidRDefault="00F67EB1" w:rsidP="0031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76AA">
      <w:rPr>
        <w:rStyle w:val="PageNumber"/>
        <w:noProof/>
      </w:rPr>
      <w:t>2</w:t>
    </w:r>
    <w:r>
      <w:rPr>
        <w:rStyle w:val="PageNumber"/>
      </w:rPr>
      <w:fldChar w:fldCharType="end"/>
    </w:r>
  </w:p>
  <w:p w14:paraId="4E8771FA" w14:textId="77777777" w:rsidR="00F67EB1" w:rsidRDefault="00F67EB1" w:rsidP="004E28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FB2B" w14:textId="77777777" w:rsidR="00A029A0" w:rsidRDefault="00A029A0">
      <w:r>
        <w:separator/>
      </w:r>
    </w:p>
  </w:footnote>
  <w:footnote w:type="continuationSeparator" w:id="0">
    <w:p w14:paraId="71B8DBCB" w14:textId="77777777" w:rsidR="00A029A0" w:rsidRDefault="00A02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B92"/>
    <w:multiLevelType w:val="hybridMultilevel"/>
    <w:tmpl w:val="B31CB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40159"/>
    <w:multiLevelType w:val="multilevel"/>
    <w:tmpl w:val="8B3C0F9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B70DC6"/>
    <w:multiLevelType w:val="hybridMultilevel"/>
    <w:tmpl w:val="4DE84CEA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A40E9"/>
    <w:multiLevelType w:val="hybridMultilevel"/>
    <w:tmpl w:val="FA368A8E"/>
    <w:lvl w:ilvl="0" w:tplc="3B7A2EF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482362"/>
    <w:multiLevelType w:val="hybridMultilevel"/>
    <w:tmpl w:val="4E22D1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E14FE1"/>
    <w:multiLevelType w:val="hybridMultilevel"/>
    <w:tmpl w:val="739CBDF8"/>
    <w:lvl w:ilvl="0" w:tplc="5AACF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B01623"/>
    <w:multiLevelType w:val="hybridMultilevel"/>
    <w:tmpl w:val="8B3C0F9A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802298">
    <w:abstractNumId w:val="8"/>
  </w:num>
  <w:num w:numId="2" w16cid:durableId="1788890314">
    <w:abstractNumId w:val="7"/>
  </w:num>
  <w:num w:numId="3" w16cid:durableId="1804152657">
    <w:abstractNumId w:val="9"/>
  </w:num>
  <w:num w:numId="4" w16cid:durableId="1801608359">
    <w:abstractNumId w:val="0"/>
  </w:num>
  <w:num w:numId="5" w16cid:durableId="16662438">
    <w:abstractNumId w:val="2"/>
  </w:num>
  <w:num w:numId="6" w16cid:durableId="2065836490">
    <w:abstractNumId w:val="11"/>
  </w:num>
  <w:num w:numId="7" w16cid:durableId="36780174">
    <w:abstractNumId w:val="14"/>
  </w:num>
  <w:num w:numId="8" w16cid:durableId="21057536">
    <w:abstractNumId w:val="1"/>
  </w:num>
  <w:num w:numId="9" w16cid:durableId="603805703">
    <w:abstractNumId w:val="15"/>
  </w:num>
  <w:num w:numId="10" w16cid:durableId="183907858">
    <w:abstractNumId w:val="5"/>
  </w:num>
  <w:num w:numId="11" w16cid:durableId="1247307925">
    <w:abstractNumId w:val="3"/>
  </w:num>
  <w:num w:numId="12" w16cid:durableId="87164724">
    <w:abstractNumId w:val="12"/>
  </w:num>
  <w:num w:numId="13" w16cid:durableId="644744102">
    <w:abstractNumId w:val="10"/>
  </w:num>
  <w:num w:numId="14" w16cid:durableId="1262371781">
    <w:abstractNumId w:val="16"/>
  </w:num>
  <w:num w:numId="15" w16cid:durableId="1026174425">
    <w:abstractNumId w:val="4"/>
  </w:num>
  <w:num w:numId="16" w16cid:durableId="1903756275">
    <w:abstractNumId w:val="13"/>
  </w:num>
  <w:num w:numId="17" w16cid:durableId="261959203">
    <w:abstractNumId w:val="6"/>
  </w:num>
  <w:num w:numId="18" w16cid:durableId="919830225">
    <w:abstractNumId w:val="6"/>
  </w:num>
  <w:num w:numId="19" w16cid:durableId="10531886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46F99"/>
    <w:rsid w:val="00065A17"/>
    <w:rsid w:val="00080056"/>
    <w:rsid w:val="000825E5"/>
    <w:rsid w:val="0008665F"/>
    <w:rsid w:val="000B1C44"/>
    <w:rsid w:val="000B3C4C"/>
    <w:rsid w:val="000C311D"/>
    <w:rsid w:val="000D061C"/>
    <w:rsid w:val="000D6714"/>
    <w:rsid w:val="000E1559"/>
    <w:rsid w:val="000F5716"/>
    <w:rsid w:val="001060B5"/>
    <w:rsid w:val="00107F0D"/>
    <w:rsid w:val="00122B8F"/>
    <w:rsid w:val="0016273A"/>
    <w:rsid w:val="00165F6A"/>
    <w:rsid w:val="00166399"/>
    <w:rsid w:val="0017483B"/>
    <w:rsid w:val="0019353A"/>
    <w:rsid w:val="001A687B"/>
    <w:rsid w:val="001C06E1"/>
    <w:rsid w:val="001E013D"/>
    <w:rsid w:val="001F1F65"/>
    <w:rsid w:val="002016B4"/>
    <w:rsid w:val="00215763"/>
    <w:rsid w:val="00221A61"/>
    <w:rsid w:val="00230DB7"/>
    <w:rsid w:val="00236CB7"/>
    <w:rsid w:val="002467D2"/>
    <w:rsid w:val="002609A1"/>
    <w:rsid w:val="00281E2C"/>
    <w:rsid w:val="002B0A21"/>
    <w:rsid w:val="002B1B51"/>
    <w:rsid w:val="002B593E"/>
    <w:rsid w:val="00303F88"/>
    <w:rsid w:val="00305E96"/>
    <w:rsid w:val="00314C36"/>
    <w:rsid w:val="003267A4"/>
    <w:rsid w:val="0034545E"/>
    <w:rsid w:val="003B079F"/>
    <w:rsid w:val="003B0DF0"/>
    <w:rsid w:val="003C0F54"/>
    <w:rsid w:val="003D2FCC"/>
    <w:rsid w:val="003E3D95"/>
    <w:rsid w:val="003F7150"/>
    <w:rsid w:val="00400C0B"/>
    <w:rsid w:val="00406DB5"/>
    <w:rsid w:val="00411DA1"/>
    <w:rsid w:val="00413BA5"/>
    <w:rsid w:val="00436666"/>
    <w:rsid w:val="00457EAE"/>
    <w:rsid w:val="00460203"/>
    <w:rsid w:val="00463E99"/>
    <w:rsid w:val="00472930"/>
    <w:rsid w:val="00476405"/>
    <w:rsid w:val="00485A27"/>
    <w:rsid w:val="004B29C7"/>
    <w:rsid w:val="004B3A01"/>
    <w:rsid w:val="004B467C"/>
    <w:rsid w:val="004D7DB2"/>
    <w:rsid w:val="004E28D7"/>
    <w:rsid w:val="00517C44"/>
    <w:rsid w:val="00524CDD"/>
    <w:rsid w:val="00530E27"/>
    <w:rsid w:val="005910B5"/>
    <w:rsid w:val="005D0178"/>
    <w:rsid w:val="005D3E00"/>
    <w:rsid w:val="005D6D20"/>
    <w:rsid w:val="005E3960"/>
    <w:rsid w:val="00622D77"/>
    <w:rsid w:val="00636B18"/>
    <w:rsid w:val="00637CA1"/>
    <w:rsid w:val="00652F46"/>
    <w:rsid w:val="006577DE"/>
    <w:rsid w:val="00672E41"/>
    <w:rsid w:val="006A0481"/>
    <w:rsid w:val="006B49B9"/>
    <w:rsid w:val="006B6E4F"/>
    <w:rsid w:val="006C286A"/>
    <w:rsid w:val="006C3B30"/>
    <w:rsid w:val="006E6B36"/>
    <w:rsid w:val="006F581F"/>
    <w:rsid w:val="00704AF2"/>
    <w:rsid w:val="007104C8"/>
    <w:rsid w:val="0073294A"/>
    <w:rsid w:val="00733A84"/>
    <w:rsid w:val="007420DD"/>
    <w:rsid w:val="007501D7"/>
    <w:rsid w:val="00752801"/>
    <w:rsid w:val="007655C8"/>
    <w:rsid w:val="007752BC"/>
    <w:rsid w:val="00776A23"/>
    <w:rsid w:val="00786BEB"/>
    <w:rsid w:val="00797157"/>
    <w:rsid w:val="007C6160"/>
    <w:rsid w:val="007D5E31"/>
    <w:rsid w:val="007D64AF"/>
    <w:rsid w:val="007F520C"/>
    <w:rsid w:val="00806B9D"/>
    <w:rsid w:val="00831F18"/>
    <w:rsid w:val="00851442"/>
    <w:rsid w:val="008739E5"/>
    <w:rsid w:val="00877414"/>
    <w:rsid w:val="00883E4D"/>
    <w:rsid w:val="00883FD1"/>
    <w:rsid w:val="00886E76"/>
    <w:rsid w:val="00896C42"/>
    <w:rsid w:val="008B0378"/>
    <w:rsid w:val="008C2197"/>
    <w:rsid w:val="008C3493"/>
    <w:rsid w:val="008D0F15"/>
    <w:rsid w:val="008D11A6"/>
    <w:rsid w:val="008D2D64"/>
    <w:rsid w:val="008D46DE"/>
    <w:rsid w:val="008E2963"/>
    <w:rsid w:val="008E5D28"/>
    <w:rsid w:val="008F32F4"/>
    <w:rsid w:val="008F63D7"/>
    <w:rsid w:val="00902E07"/>
    <w:rsid w:val="00915798"/>
    <w:rsid w:val="00934DD7"/>
    <w:rsid w:val="009457D1"/>
    <w:rsid w:val="0097492F"/>
    <w:rsid w:val="00982BDC"/>
    <w:rsid w:val="009966E0"/>
    <w:rsid w:val="009B4D41"/>
    <w:rsid w:val="009C3684"/>
    <w:rsid w:val="009C4263"/>
    <w:rsid w:val="009C55E4"/>
    <w:rsid w:val="009C7FB5"/>
    <w:rsid w:val="009D1572"/>
    <w:rsid w:val="009D5470"/>
    <w:rsid w:val="009F3AEB"/>
    <w:rsid w:val="009F6FA2"/>
    <w:rsid w:val="00A029A0"/>
    <w:rsid w:val="00A141FD"/>
    <w:rsid w:val="00A17B54"/>
    <w:rsid w:val="00A317DA"/>
    <w:rsid w:val="00A322F5"/>
    <w:rsid w:val="00A40E31"/>
    <w:rsid w:val="00A44145"/>
    <w:rsid w:val="00A7166B"/>
    <w:rsid w:val="00A85045"/>
    <w:rsid w:val="00A9030D"/>
    <w:rsid w:val="00A97B7D"/>
    <w:rsid w:val="00AB33E1"/>
    <w:rsid w:val="00AB4BB3"/>
    <w:rsid w:val="00AC2A58"/>
    <w:rsid w:val="00AD1646"/>
    <w:rsid w:val="00B14282"/>
    <w:rsid w:val="00B26045"/>
    <w:rsid w:val="00B46A95"/>
    <w:rsid w:val="00B521AE"/>
    <w:rsid w:val="00B548B1"/>
    <w:rsid w:val="00B54C9B"/>
    <w:rsid w:val="00B75626"/>
    <w:rsid w:val="00B80143"/>
    <w:rsid w:val="00B908B8"/>
    <w:rsid w:val="00B96DA6"/>
    <w:rsid w:val="00BA6C41"/>
    <w:rsid w:val="00BB371A"/>
    <w:rsid w:val="00BC4AFA"/>
    <w:rsid w:val="00BD75B3"/>
    <w:rsid w:val="00BD78D8"/>
    <w:rsid w:val="00BE2111"/>
    <w:rsid w:val="00BF49E9"/>
    <w:rsid w:val="00BF74E9"/>
    <w:rsid w:val="00C03C70"/>
    <w:rsid w:val="00C311D3"/>
    <w:rsid w:val="00C32CFD"/>
    <w:rsid w:val="00C45526"/>
    <w:rsid w:val="00C566B3"/>
    <w:rsid w:val="00C601F9"/>
    <w:rsid w:val="00C67B32"/>
    <w:rsid w:val="00C914E9"/>
    <w:rsid w:val="00CB0C1D"/>
    <w:rsid w:val="00CE20A5"/>
    <w:rsid w:val="00D05010"/>
    <w:rsid w:val="00D076AA"/>
    <w:rsid w:val="00D226FE"/>
    <w:rsid w:val="00D36733"/>
    <w:rsid w:val="00D471B5"/>
    <w:rsid w:val="00D571DB"/>
    <w:rsid w:val="00D61075"/>
    <w:rsid w:val="00D67B75"/>
    <w:rsid w:val="00D74426"/>
    <w:rsid w:val="00D80A5B"/>
    <w:rsid w:val="00D85254"/>
    <w:rsid w:val="00D92B56"/>
    <w:rsid w:val="00DC5934"/>
    <w:rsid w:val="00DD2E17"/>
    <w:rsid w:val="00DD46A0"/>
    <w:rsid w:val="00DF2957"/>
    <w:rsid w:val="00E0415A"/>
    <w:rsid w:val="00E041FD"/>
    <w:rsid w:val="00E10F7E"/>
    <w:rsid w:val="00E13970"/>
    <w:rsid w:val="00E41531"/>
    <w:rsid w:val="00EB52F0"/>
    <w:rsid w:val="00EB57EB"/>
    <w:rsid w:val="00EC3591"/>
    <w:rsid w:val="00EC415E"/>
    <w:rsid w:val="00EE3919"/>
    <w:rsid w:val="00F2141D"/>
    <w:rsid w:val="00F22BA2"/>
    <w:rsid w:val="00F35F51"/>
    <w:rsid w:val="00F43122"/>
    <w:rsid w:val="00F51150"/>
    <w:rsid w:val="00F64D2F"/>
    <w:rsid w:val="00F67BD0"/>
    <w:rsid w:val="00F67EB1"/>
    <w:rsid w:val="00F747A9"/>
    <w:rsid w:val="00F859B7"/>
    <w:rsid w:val="00F86918"/>
    <w:rsid w:val="00F95998"/>
    <w:rsid w:val="00FC1C44"/>
    <w:rsid w:val="00FC49D1"/>
    <w:rsid w:val="34AF550D"/>
    <w:rsid w:val="39DCB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423D2D"/>
  <w15:chartTrackingRefBased/>
  <w15:docId w15:val="{031C4488-ABD2-4B48-852E-1DF1D142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  <w:rsid w:val="00915798"/>
  </w:style>
  <w:style w:type="paragraph" w:styleId="BalloonText">
    <w:name w:val="Balloon Text"/>
    <w:basedOn w:val="Normal"/>
    <w:link w:val="BalloonTextChar"/>
    <w:rsid w:val="003D2F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D2FCC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3D2FCC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C4552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B46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1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6F5C0-1A90-4945-9103-6121D56F7A55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fad01eb7-d870-475a-9d28-789bb88fcc6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e718eae-16bc-49f1-9e0a-85226ba39ba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17022EE-8886-4373-8D57-9F99FA77B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4D93D-9BD6-40D0-BFCC-07BC5FB250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D30688-8EF5-434F-A49A-4FD991714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406</Words>
  <Characters>3184</Characters>
  <Application>Microsoft Office Word</Application>
  <DocSecurity>2</DocSecurity>
  <Lines>26</Lines>
  <Paragraphs>7</Paragraphs>
  <ScaleCrop>false</ScaleCrop>
  <Company>Caremark RX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5</cp:revision>
  <dcterms:created xsi:type="dcterms:W3CDTF">2024-06-19T15:58:00Z</dcterms:created>
  <dcterms:modified xsi:type="dcterms:W3CDTF">2024-06-19T16:45:00Z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2022-04-11T11:27:13Z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794283bf-4bcd-4884-bb29-b9cbb5a540f6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</Properties>
</file>