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4E4AE" w14:textId="2808D7DA" w:rsidR="00255C6B" w:rsidRPr="00812777" w:rsidRDefault="00C65749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 w:themeColor="text1"/>
          <w:sz w:val="36"/>
          <w:szCs w:val="36"/>
        </w:rPr>
        <w:t xml:space="preserve">PeopleSafe - </w:t>
      </w:r>
      <w:r w:rsidR="00630FDF" w:rsidRPr="27A9CCAC">
        <w:rPr>
          <w:rFonts w:ascii="Verdana" w:hAnsi="Verdana"/>
          <w:color w:val="000000" w:themeColor="text1"/>
          <w:sz w:val="36"/>
          <w:szCs w:val="36"/>
        </w:rPr>
        <w:t>Twins Rx Adjudication</w:t>
      </w:r>
      <w:r w:rsidR="00E8095C" w:rsidRPr="27A9CCAC">
        <w:rPr>
          <w:rFonts w:ascii="Verdana" w:hAnsi="Verdana"/>
          <w:color w:val="000000" w:themeColor="text1"/>
          <w:sz w:val="36"/>
          <w:szCs w:val="36"/>
        </w:rPr>
        <w:t xml:space="preserve"> (Multiple Births)</w:t>
      </w:r>
    </w:p>
    <w:p w14:paraId="0EBD1F0F" w14:textId="77777777" w:rsidR="002B6CD7" w:rsidRDefault="002B6CD7">
      <w:pPr>
        <w:pStyle w:val="TOC2"/>
        <w:rPr>
          <w:rFonts w:ascii="Verdana" w:hAnsi="Verdana"/>
        </w:rPr>
      </w:pPr>
    </w:p>
    <w:p w14:paraId="6F545B5E" w14:textId="3EB344B1" w:rsidR="00953EA0" w:rsidRDefault="008800E8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\o "2-2" \n \p " " \h \z \u </w:instrText>
      </w:r>
      <w:r>
        <w:rPr>
          <w:rFonts w:ascii="Verdana" w:hAnsi="Verdana"/>
        </w:rPr>
        <w:fldChar w:fldCharType="separate"/>
      </w:r>
      <w:hyperlink w:anchor="_Toc188450055" w:history="1">
        <w:r w:rsidR="00953EA0" w:rsidRPr="00552633">
          <w:rPr>
            <w:rStyle w:val="Hyperlink"/>
            <w:rFonts w:ascii="Verdana" w:hAnsi="Verdana"/>
            <w:noProof/>
          </w:rPr>
          <w:t>Process</w:t>
        </w:r>
      </w:hyperlink>
    </w:p>
    <w:p w14:paraId="124218B1" w14:textId="2254E694" w:rsidR="00953EA0" w:rsidRDefault="00953EA0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8450056" w:history="1">
        <w:r w:rsidRPr="00552633">
          <w:rPr>
            <w:rStyle w:val="Hyperlink"/>
            <w:rFonts w:ascii="Verdana" w:hAnsi="Verdana"/>
            <w:noProof/>
          </w:rPr>
          <w:t>Related Documents</w:t>
        </w:r>
      </w:hyperlink>
    </w:p>
    <w:p w14:paraId="4ACAFB7D" w14:textId="0CB9F560" w:rsidR="00CD1724" w:rsidRPr="00CC0399" w:rsidRDefault="008800E8" w:rsidP="00AD7AB4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2300F6D8" w14:textId="77777777" w:rsidR="008F6388" w:rsidRDefault="008F6388" w:rsidP="0031295B">
      <w:pPr>
        <w:rPr>
          <w:rFonts w:ascii="Verdana" w:hAnsi="Verdana"/>
          <w:b/>
          <w:bCs/>
        </w:rPr>
      </w:pPr>
      <w:bookmarkStart w:id="1" w:name="_Overview"/>
      <w:bookmarkEnd w:id="1"/>
    </w:p>
    <w:p w14:paraId="681ED555" w14:textId="4DF0C91B" w:rsidR="00F81783" w:rsidRDefault="00F514B3" w:rsidP="0031295B">
      <w:pPr>
        <w:rPr>
          <w:rFonts w:ascii="Verdana" w:hAnsi="Verdana"/>
        </w:rPr>
      </w:pPr>
      <w:r w:rsidRPr="59F2C629">
        <w:rPr>
          <w:rFonts w:ascii="Verdana" w:hAnsi="Verdana"/>
          <w:b/>
          <w:bCs/>
        </w:rPr>
        <w:t>Description:</w:t>
      </w:r>
      <w:r w:rsidR="003E7959">
        <w:rPr>
          <w:rFonts w:ascii="Verdana" w:hAnsi="Verdana"/>
          <w:b/>
          <w:bCs/>
        </w:rPr>
        <w:t xml:space="preserve"> </w:t>
      </w:r>
      <w:r w:rsidR="00CF3EF0">
        <w:rPr>
          <w:rFonts w:ascii="Verdana" w:hAnsi="Verdana"/>
          <w:b/>
          <w:bCs/>
        </w:rPr>
        <w:t xml:space="preserve"> </w:t>
      </w:r>
      <w:r w:rsidR="00D572B3">
        <w:rPr>
          <w:rFonts w:ascii="Verdana" w:hAnsi="Verdana"/>
        </w:rPr>
        <w:t>P</w:t>
      </w:r>
      <w:r w:rsidR="00630FDF" w:rsidRPr="59F2C629">
        <w:rPr>
          <w:rFonts w:ascii="Verdana" w:hAnsi="Verdana"/>
        </w:rPr>
        <w:t>rocedures f</w:t>
      </w:r>
      <w:r w:rsidR="008A77A9" w:rsidRPr="59F2C629">
        <w:rPr>
          <w:rFonts w:ascii="Verdana" w:hAnsi="Verdana"/>
        </w:rPr>
        <w:t>or</w:t>
      </w:r>
      <w:r w:rsidRPr="59F2C629">
        <w:rPr>
          <w:rFonts w:ascii="Verdana" w:hAnsi="Verdana"/>
        </w:rPr>
        <w:t xml:space="preserve"> processing</w:t>
      </w:r>
      <w:r w:rsidR="008A77A9" w:rsidRPr="59F2C629">
        <w:rPr>
          <w:rFonts w:ascii="Verdana" w:hAnsi="Verdana"/>
        </w:rPr>
        <w:t xml:space="preserve"> </w:t>
      </w:r>
      <w:r w:rsidR="0031295B" w:rsidRPr="59F2C629">
        <w:rPr>
          <w:rFonts w:ascii="Verdana" w:hAnsi="Verdana"/>
        </w:rPr>
        <w:t>twin’s</w:t>
      </w:r>
      <w:r w:rsidR="008A77A9" w:rsidRPr="59F2C629">
        <w:rPr>
          <w:rFonts w:ascii="Verdana" w:hAnsi="Verdana"/>
        </w:rPr>
        <w:t xml:space="preserve"> Rx adjudication</w:t>
      </w:r>
      <w:r w:rsidR="00630FDF" w:rsidRPr="59F2C629">
        <w:rPr>
          <w:rFonts w:ascii="Verdana" w:hAnsi="Verdana"/>
        </w:rPr>
        <w:t>.</w:t>
      </w:r>
    </w:p>
    <w:p w14:paraId="069A4843" w14:textId="77777777" w:rsidR="002B3C3D" w:rsidRDefault="002B3C3D" w:rsidP="0031295B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BF74E9" w14:paraId="32C8AA7E" w14:textId="77777777" w:rsidTr="001674BD">
        <w:trPr>
          <w:trHeight w:val="620"/>
        </w:trPr>
        <w:tc>
          <w:tcPr>
            <w:tcW w:w="5000" w:type="pct"/>
            <w:shd w:val="clear" w:color="auto" w:fill="C0C0C0"/>
          </w:tcPr>
          <w:p w14:paraId="01EB1671" w14:textId="67B127ED" w:rsidR="00F81783" w:rsidRPr="00D32D37" w:rsidRDefault="00F81783" w:rsidP="004F7F34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2" w:name="_Process"/>
            <w:bookmarkStart w:id="3" w:name="_Toc535925540"/>
            <w:bookmarkStart w:id="4" w:name="_Toc188450055"/>
            <w:bookmarkEnd w:id="2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3"/>
            <w:bookmarkEnd w:id="4"/>
          </w:p>
        </w:tc>
      </w:tr>
    </w:tbl>
    <w:p w14:paraId="57417B84" w14:textId="6D95A6D8" w:rsidR="00F514B3" w:rsidRPr="005E7C69" w:rsidRDefault="00154C77" w:rsidP="0031295B">
      <w:pPr>
        <w:spacing w:before="120" w:after="120"/>
        <w:rPr>
          <w:rFonts w:ascii="Verdana" w:hAnsi="Verdana"/>
          <w:color w:val="000000"/>
        </w:rPr>
      </w:pPr>
      <w:r>
        <w:rPr>
          <w:noProof/>
        </w:rPr>
        <w:drawing>
          <wp:inline distT="0" distB="0" distL="0" distR="0" wp14:anchorId="12730379" wp14:editId="14C891FF">
            <wp:extent cx="238125" cy="209550"/>
            <wp:effectExtent l="0" t="0" r="0" b="0"/>
            <wp:docPr id="1" name="Picture 922823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82356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241D">
        <w:rPr>
          <w:rFonts w:ascii="Verdana" w:hAnsi="Verdana"/>
          <w:b/>
          <w:bCs/>
          <w:color w:val="000000"/>
        </w:rPr>
        <w:t xml:space="preserve"> </w:t>
      </w:r>
      <w:r w:rsidR="00F514B3">
        <w:rPr>
          <w:rFonts w:ascii="Verdana" w:hAnsi="Verdana"/>
          <w:color w:val="000000"/>
        </w:rPr>
        <w:t>Access the Eligibility screen to determine if there are alternate IDs already assigned to the twins before making the request.  If there is a self-generated, individual SSN</w:t>
      </w:r>
      <w:r w:rsidR="00CF3EF0">
        <w:rPr>
          <w:rFonts w:ascii="Verdana" w:hAnsi="Verdana"/>
          <w:color w:val="000000"/>
        </w:rPr>
        <w:t xml:space="preserve"> (Social Security Number)</w:t>
      </w:r>
      <w:r w:rsidR="00F514B3">
        <w:rPr>
          <w:rFonts w:ascii="Verdana" w:hAnsi="Verdana"/>
          <w:color w:val="000000"/>
        </w:rPr>
        <w:t xml:space="preserve"> or certificate number then the twins have alternate ID numbers established.  </w:t>
      </w:r>
    </w:p>
    <w:p w14:paraId="31C4EB05" w14:textId="55B576F5" w:rsidR="59F2C629" w:rsidRDefault="59F2C629" w:rsidP="59F2C629">
      <w:pPr>
        <w:spacing w:before="120" w:after="120"/>
        <w:rPr>
          <w:rFonts w:ascii="Verdana" w:hAnsi="Verdana"/>
          <w:color w:val="000000"/>
        </w:rPr>
      </w:pPr>
    </w:p>
    <w:p w14:paraId="2C0FAB5D" w14:textId="0411BB67" w:rsidR="4CC286E6" w:rsidRDefault="001918CB" w:rsidP="59F2C629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Accessing the</w:t>
      </w:r>
      <w:r w:rsidR="00B921B7">
        <w:rPr>
          <w:rFonts w:ascii="Verdana" w:hAnsi="Verdana"/>
        </w:rPr>
        <w:t xml:space="preserve"> </w:t>
      </w:r>
      <w:r w:rsidR="00404E20">
        <w:rPr>
          <w:rFonts w:ascii="Verdana" w:hAnsi="Verdana"/>
        </w:rPr>
        <w:t>Claims Processing information</w:t>
      </w:r>
      <w:r w:rsidR="5E6BFA28" w:rsidRPr="59F2C629">
        <w:rPr>
          <w:rFonts w:ascii="Verdana" w:hAnsi="Verdana"/>
        </w:rPr>
        <w:t>:</w:t>
      </w:r>
    </w:p>
    <w:p w14:paraId="711DD8EF" w14:textId="299B2C31" w:rsidR="59F2C629" w:rsidRDefault="00154C77" w:rsidP="00B921B7">
      <w:pPr>
        <w:spacing w:before="120" w:after="120"/>
        <w:jc w:val="center"/>
      </w:pPr>
      <w:r>
        <w:rPr>
          <w:noProof/>
        </w:rPr>
        <w:drawing>
          <wp:inline distT="0" distB="0" distL="0" distR="0" wp14:anchorId="7A3993B5" wp14:editId="3C4F6FAF">
            <wp:extent cx="6819900" cy="40957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3152" w14:textId="7647DDDE" w:rsidR="7E268CC3" w:rsidRDefault="00154C77" w:rsidP="00B921B7">
      <w:pPr>
        <w:spacing w:before="120" w:after="120"/>
        <w:jc w:val="center"/>
      </w:pPr>
      <w:r>
        <w:rPr>
          <w:noProof/>
        </w:rPr>
        <w:drawing>
          <wp:inline distT="0" distB="0" distL="0" distR="0" wp14:anchorId="734A47D2" wp14:editId="3833BAED">
            <wp:extent cx="6629400" cy="3286125"/>
            <wp:effectExtent l="0" t="0" r="0" b="0"/>
            <wp:docPr id="6" name="Picture 436232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23275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C5C56" w14:textId="60C426B3" w:rsidR="00F514B3" w:rsidRDefault="00F514B3" w:rsidP="0031295B">
      <w:pPr>
        <w:spacing w:before="120" w:after="120"/>
        <w:rPr>
          <w:rFonts w:ascii="Verdana" w:hAnsi="Verdana"/>
        </w:rPr>
      </w:pPr>
    </w:p>
    <w:p w14:paraId="6EDEF980" w14:textId="77777777" w:rsidR="00F81783" w:rsidRDefault="00630FDF" w:rsidP="0031295B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</w:t>
      </w:r>
      <w:r w:rsidR="00F514B3"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2665"/>
        <w:gridCol w:w="9461"/>
      </w:tblGrid>
      <w:tr w:rsidR="00630FDF" w:rsidRPr="0017759F" w14:paraId="02A86034" w14:textId="77777777" w:rsidTr="2EF28DF4">
        <w:tc>
          <w:tcPr>
            <w:tcW w:w="292" w:type="pct"/>
            <w:shd w:val="clear" w:color="auto" w:fill="E6E6E6"/>
          </w:tcPr>
          <w:p w14:paraId="7B168E6B" w14:textId="77777777" w:rsidR="00630FDF" w:rsidRPr="0017759F" w:rsidRDefault="00630FDF" w:rsidP="0031295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7759F">
              <w:rPr>
                <w:rFonts w:ascii="Verdana" w:hAnsi="Verdana"/>
                <w:b/>
              </w:rPr>
              <w:t>Step</w:t>
            </w:r>
          </w:p>
        </w:tc>
        <w:tc>
          <w:tcPr>
            <w:tcW w:w="4708" w:type="pct"/>
            <w:gridSpan w:val="2"/>
            <w:shd w:val="clear" w:color="auto" w:fill="E6E6E6"/>
          </w:tcPr>
          <w:p w14:paraId="2B62A6DE" w14:textId="77777777" w:rsidR="00630FDF" w:rsidRPr="0017759F" w:rsidRDefault="00630FDF" w:rsidP="0031295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7759F">
              <w:rPr>
                <w:rFonts w:ascii="Verdana" w:hAnsi="Verdana"/>
                <w:b/>
              </w:rPr>
              <w:t>Action</w:t>
            </w:r>
          </w:p>
        </w:tc>
      </w:tr>
      <w:tr w:rsidR="00630FDF" w:rsidRPr="0017759F" w14:paraId="225CB7CB" w14:textId="77777777" w:rsidTr="2EF28DF4">
        <w:trPr>
          <w:trHeight w:val="270"/>
        </w:trPr>
        <w:tc>
          <w:tcPr>
            <w:tcW w:w="292" w:type="pct"/>
            <w:vMerge w:val="restart"/>
          </w:tcPr>
          <w:p w14:paraId="107F5E4B" w14:textId="77777777" w:rsidR="00630FDF" w:rsidRPr="0017759F" w:rsidRDefault="00630FDF" w:rsidP="0031295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7759F">
              <w:rPr>
                <w:rFonts w:ascii="Verdana" w:hAnsi="Verdana"/>
                <w:b/>
              </w:rPr>
              <w:t>1</w:t>
            </w:r>
          </w:p>
        </w:tc>
        <w:tc>
          <w:tcPr>
            <w:tcW w:w="4708" w:type="pct"/>
            <w:gridSpan w:val="2"/>
            <w:tcBorders>
              <w:bottom w:val="single" w:sz="4" w:space="0" w:color="auto"/>
            </w:tcBorders>
          </w:tcPr>
          <w:p w14:paraId="01512DF5" w14:textId="095C239D" w:rsidR="00630FDF" w:rsidRPr="0017759F" w:rsidRDefault="00630FDF" w:rsidP="0031295B">
            <w:pPr>
              <w:spacing w:before="120" w:after="120"/>
              <w:rPr>
                <w:rFonts w:ascii="Verdana" w:hAnsi="Verdana"/>
              </w:rPr>
            </w:pPr>
            <w:r w:rsidRPr="0017759F">
              <w:rPr>
                <w:rFonts w:ascii="Verdana" w:hAnsi="Verdana"/>
              </w:rPr>
              <w:t xml:space="preserve">Review the </w:t>
            </w:r>
            <w:r w:rsidR="00CF3EF0">
              <w:rPr>
                <w:rFonts w:ascii="Verdana" w:hAnsi="Verdana"/>
              </w:rPr>
              <w:t>P</w:t>
            </w:r>
            <w:r w:rsidRPr="0017759F">
              <w:rPr>
                <w:rFonts w:ascii="Verdana" w:hAnsi="Verdana"/>
              </w:rPr>
              <w:t>lan</w:t>
            </w:r>
            <w:r w:rsidR="008A56F1">
              <w:rPr>
                <w:rFonts w:ascii="Verdana" w:hAnsi="Verdana"/>
              </w:rPr>
              <w:t xml:space="preserve"> </w:t>
            </w:r>
            <w:r w:rsidR="00CF3EF0">
              <w:rPr>
                <w:rFonts w:ascii="Verdana" w:hAnsi="Verdana"/>
              </w:rPr>
              <w:t>B</w:t>
            </w:r>
            <w:r w:rsidR="008A56F1">
              <w:rPr>
                <w:rFonts w:ascii="Verdana" w:hAnsi="Verdana"/>
              </w:rPr>
              <w:t xml:space="preserve">enefit </w:t>
            </w:r>
            <w:r w:rsidR="00CF3EF0">
              <w:rPr>
                <w:rFonts w:ascii="Verdana" w:hAnsi="Verdana"/>
              </w:rPr>
              <w:t>O</w:t>
            </w:r>
            <w:r w:rsidR="008A56F1">
              <w:rPr>
                <w:rFonts w:ascii="Verdana" w:hAnsi="Verdana"/>
              </w:rPr>
              <w:t>verrides in the</w:t>
            </w:r>
            <w:r w:rsidRPr="0017759F">
              <w:rPr>
                <w:rFonts w:ascii="Verdana" w:hAnsi="Verdana"/>
              </w:rPr>
              <w:t xml:space="preserve"> CIF on </w:t>
            </w:r>
            <w:r w:rsidR="008A56F1">
              <w:rPr>
                <w:rFonts w:ascii="Verdana" w:hAnsi="Verdana"/>
              </w:rPr>
              <w:t>the</w:t>
            </w:r>
            <w:r w:rsidRPr="0017759F">
              <w:rPr>
                <w:rFonts w:ascii="Verdana" w:hAnsi="Verdana"/>
              </w:rPr>
              <w:t>Source to determine if an override is allowed for the rejected</w:t>
            </w:r>
            <w:r w:rsidR="00D5281F" w:rsidRPr="0017759F">
              <w:rPr>
                <w:rFonts w:ascii="Verdana" w:hAnsi="Verdana"/>
              </w:rPr>
              <w:t xml:space="preserve"> claim</w:t>
            </w:r>
            <w:r w:rsidR="008A56F1">
              <w:rPr>
                <w:rFonts w:ascii="Verdana" w:hAnsi="Verdana"/>
              </w:rPr>
              <w:t>, (the override type would be Multiple Births)</w:t>
            </w:r>
            <w:r w:rsidRPr="0017759F">
              <w:rPr>
                <w:rFonts w:ascii="Verdana" w:hAnsi="Verdana"/>
              </w:rPr>
              <w:t>:</w:t>
            </w:r>
          </w:p>
        </w:tc>
      </w:tr>
      <w:tr w:rsidR="00630FDF" w:rsidRPr="0017759F" w14:paraId="4ACD13B4" w14:textId="77777777" w:rsidTr="2EF28DF4">
        <w:trPr>
          <w:trHeight w:val="270"/>
        </w:trPr>
        <w:tc>
          <w:tcPr>
            <w:tcW w:w="292" w:type="pct"/>
            <w:vMerge/>
          </w:tcPr>
          <w:p w14:paraId="5A03AB88" w14:textId="77777777" w:rsidR="00630FDF" w:rsidRPr="0017759F" w:rsidRDefault="00630FDF" w:rsidP="0031295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42" w:type="pct"/>
            <w:shd w:val="clear" w:color="auto" w:fill="E6E6E6"/>
          </w:tcPr>
          <w:p w14:paraId="59D85C01" w14:textId="77777777" w:rsidR="00630FDF" w:rsidRPr="0017759F" w:rsidRDefault="00630FDF" w:rsidP="0031295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7759F">
              <w:rPr>
                <w:rFonts w:ascii="Verdana" w:hAnsi="Verdana"/>
                <w:b/>
              </w:rPr>
              <w:t>If the CIF states…</w:t>
            </w:r>
          </w:p>
        </w:tc>
        <w:tc>
          <w:tcPr>
            <w:tcW w:w="3666" w:type="pct"/>
            <w:shd w:val="clear" w:color="auto" w:fill="E6E6E6"/>
          </w:tcPr>
          <w:p w14:paraId="5C4E818E" w14:textId="77777777" w:rsidR="00630FDF" w:rsidRPr="0017759F" w:rsidRDefault="00630FDF" w:rsidP="0031295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7759F">
              <w:rPr>
                <w:rFonts w:ascii="Verdana" w:hAnsi="Verdana"/>
                <w:b/>
              </w:rPr>
              <w:t>Then….</w:t>
            </w:r>
          </w:p>
        </w:tc>
      </w:tr>
      <w:tr w:rsidR="00630FDF" w:rsidRPr="0017759F" w14:paraId="3F2DF649" w14:textId="77777777" w:rsidTr="2EF28DF4">
        <w:trPr>
          <w:trHeight w:val="270"/>
        </w:trPr>
        <w:tc>
          <w:tcPr>
            <w:tcW w:w="292" w:type="pct"/>
            <w:vMerge/>
          </w:tcPr>
          <w:p w14:paraId="3879C88B" w14:textId="77777777" w:rsidR="00630FDF" w:rsidRPr="0017759F" w:rsidRDefault="00630FDF" w:rsidP="0031295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42" w:type="pct"/>
          </w:tcPr>
          <w:p w14:paraId="330F4268" w14:textId="2962FD89" w:rsidR="00630FDF" w:rsidRPr="0017759F" w:rsidRDefault="00630FDF" w:rsidP="0031295B">
            <w:pPr>
              <w:spacing w:before="120" w:after="120"/>
              <w:rPr>
                <w:rFonts w:ascii="Verdana" w:hAnsi="Verdana"/>
              </w:rPr>
            </w:pPr>
            <w:r w:rsidRPr="0017759F">
              <w:rPr>
                <w:rFonts w:ascii="Verdana" w:hAnsi="Verdana"/>
              </w:rPr>
              <w:t>AM</w:t>
            </w:r>
            <w:r w:rsidR="00D42BFC">
              <w:rPr>
                <w:rFonts w:ascii="Verdana" w:hAnsi="Verdana"/>
              </w:rPr>
              <w:t xml:space="preserve"> (Account Manager)</w:t>
            </w:r>
            <w:r w:rsidRPr="0017759F">
              <w:rPr>
                <w:rFonts w:ascii="Verdana" w:hAnsi="Verdana"/>
              </w:rPr>
              <w:t xml:space="preserve"> Contact Client</w:t>
            </w:r>
          </w:p>
        </w:tc>
        <w:tc>
          <w:tcPr>
            <w:tcW w:w="3666" w:type="pct"/>
          </w:tcPr>
          <w:p w14:paraId="20E2FDC3" w14:textId="2E1E783C" w:rsidR="00906D94" w:rsidRPr="0017759F" w:rsidRDefault="009F66DB" w:rsidP="0031295B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FF0000"/>
              </w:rPr>
            </w:pPr>
            <w:r>
              <w:rPr>
                <w:rFonts w:ascii="Verdana" w:hAnsi="Verdana"/>
              </w:rPr>
              <w:t xml:space="preserve">Procedural Transfer to Senior Team. </w:t>
            </w:r>
            <w:r>
              <w:rPr>
                <w:rFonts w:ascii="Verdana" w:hAnsi="Verdana" w:cs="Verdana"/>
                <w:color w:val="000000"/>
              </w:rPr>
              <w:t xml:space="preserve">Refer to </w:t>
            </w:r>
            <w:hyperlink r:id="rId14" w:anchor="!/view?docid=9eef064d-c7d7-42f7-9026-1497496b4d51" w:history="1">
              <w:r>
                <w:rPr>
                  <w:rFonts w:ascii="Verdana" w:hAnsi="Verdana" w:cs="Verdana"/>
                  <w:color w:val="0000FF"/>
                  <w:u w:val="single"/>
                </w:rPr>
                <w:t>When to Transfer Calls to the Senior Team</w:t>
              </w:r>
            </w:hyperlink>
            <w:r w:rsidR="00B410F0">
              <w:rPr>
                <w:rFonts w:ascii="Verdana" w:hAnsi="Verdana" w:cs="Verdana"/>
                <w:color w:val="0000FF"/>
                <w:u w:val="single"/>
              </w:rPr>
              <w:t xml:space="preserve"> (</w:t>
            </w:r>
            <w:r w:rsidR="00953EA0">
              <w:rPr>
                <w:rFonts w:ascii="Verdana" w:hAnsi="Verdana" w:cs="Verdana"/>
                <w:color w:val="0000FF"/>
                <w:u w:val="single"/>
              </w:rPr>
              <w:t>0</w:t>
            </w:r>
            <w:r w:rsidR="00B410F0">
              <w:rPr>
                <w:rFonts w:ascii="Verdana" w:hAnsi="Verdana" w:cs="Verdana"/>
                <w:color w:val="0000FF"/>
                <w:u w:val="single"/>
              </w:rPr>
              <w:t>16311)</w:t>
            </w:r>
            <w:r w:rsidR="005F2A71">
              <w:rPr>
                <w:rFonts w:ascii="Verdana" w:hAnsi="Verdana" w:cs="Verdana"/>
                <w:color w:val="000000"/>
              </w:rPr>
              <w:t>.</w:t>
            </w:r>
            <w:r w:rsidR="00DC14BE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630FDF" w:rsidRPr="0017759F" w14:paraId="74A5372F" w14:textId="77777777" w:rsidTr="2EF28DF4">
        <w:trPr>
          <w:trHeight w:val="270"/>
        </w:trPr>
        <w:tc>
          <w:tcPr>
            <w:tcW w:w="292" w:type="pct"/>
            <w:vMerge/>
          </w:tcPr>
          <w:p w14:paraId="614E1D31" w14:textId="77777777" w:rsidR="00630FDF" w:rsidRPr="0017759F" w:rsidRDefault="00630FDF" w:rsidP="0031295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42" w:type="pct"/>
          </w:tcPr>
          <w:p w14:paraId="0CC2D65E" w14:textId="77777777" w:rsidR="00630FDF" w:rsidRPr="0017759F" w:rsidRDefault="00630FDF" w:rsidP="0031295B">
            <w:pPr>
              <w:spacing w:before="120" w:after="120"/>
              <w:rPr>
                <w:rFonts w:ascii="Verdana" w:hAnsi="Verdana"/>
              </w:rPr>
            </w:pPr>
            <w:r w:rsidRPr="0017759F">
              <w:rPr>
                <w:rFonts w:ascii="Verdana" w:hAnsi="Verdana"/>
              </w:rPr>
              <w:t>Yes, and there is a reject in the system</w:t>
            </w:r>
          </w:p>
        </w:tc>
        <w:tc>
          <w:tcPr>
            <w:tcW w:w="3666" w:type="pct"/>
          </w:tcPr>
          <w:p w14:paraId="29A68767" w14:textId="61F75FAD" w:rsidR="00630FDF" w:rsidRPr="0017759F" w:rsidRDefault="00DC14BE" w:rsidP="0031295B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 w:cs="Verdana"/>
                <w:color w:val="000000"/>
              </w:rPr>
              <w:t xml:space="preserve">Refer to </w:t>
            </w:r>
            <w:hyperlink r:id="rId15" w:anchor="!/view?docid=9eef064d-c7d7-42f7-9026-1497496b4d51" w:history="1">
              <w:r w:rsidR="00C1241D">
                <w:rPr>
                  <w:rFonts w:ascii="Verdana" w:hAnsi="Verdana" w:cs="Verdana"/>
                  <w:color w:val="0000FF"/>
                  <w:u w:val="single"/>
                </w:rPr>
                <w:t>When to Transfer Calls to the Senior Team</w:t>
              </w:r>
            </w:hyperlink>
            <w:r w:rsidR="00B410F0">
              <w:rPr>
                <w:rFonts w:ascii="Verdana" w:hAnsi="Verdana" w:cs="Verdana"/>
                <w:color w:val="0000FF"/>
                <w:u w:val="single"/>
              </w:rPr>
              <w:t xml:space="preserve"> (</w:t>
            </w:r>
            <w:r w:rsidR="00953EA0">
              <w:rPr>
                <w:rFonts w:ascii="Verdana" w:hAnsi="Verdana" w:cs="Verdana"/>
                <w:color w:val="0000FF"/>
                <w:u w:val="single"/>
              </w:rPr>
              <w:t>0</w:t>
            </w:r>
            <w:r w:rsidR="00B410F0">
              <w:rPr>
                <w:rFonts w:ascii="Verdana" w:hAnsi="Verdana" w:cs="Verdana"/>
                <w:color w:val="0000FF"/>
                <w:u w:val="single"/>
              </w:rPr>
              <w:t>16311)</w:t>
            </w:r>
            <w:r w:rsidR="0031295B">
              <w:rPr>
                <w:rFonts w:ascii="Verdana" w:hAnsi="Verdana" w:cs="Verdana"/>
                <w:color w:val="000000"/>
              </w:rPr>
              <w:t>.</w:t>
            </w:r>
          </w:p>
        </w:tc>
      </w:tr>
      <w:tr w:rsidR="00630FDF" w:rsidRPr="0017759F" w14:paraId="6C7323B1" w14:textId="77777777" w:rsidTr="2EF28DF4">
        <w:trPr>
          <w:trHeight w:val="270"/>
        </w:trPr>
        <w:tc>
          <w:tcPr>
            <w:tcW w:w="292" w:type="pct"/>
            <w:vMerge/>
          </w:tcPr>
          <w:p w14:paraId="0142EBD5" w14:textId="77777777" w:rsidR="00630FDF" w:rsidRPr="0017759F" w:rsidRDefault="00630FDF" w:rsidP="0031295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42" w:type="pct"/>
          </w:tcPr>
          <w:p w14:paraId="7F5DF143" w14:textId="77777777" w:rsidR="00630FDF" w:rsidRPr="0017759F" w:rsidRDefault="00630FDF" w:rsidP="0031295B">
            <w:pPr>
              <w:spacing w:before="120" w:after="120"/>
              <w:rPr>
                <w:rFonts w:ascii="Verdana" w:hAnsi="Verdana"/>
              </w:rPr>
            </w:pPr>
            <w:r w:rsidRPr="0017759F">
              <w:rPr>
                <w:rFonts w:ascii="Verdana" w:hAnsi="Verdana"/>
              </w:rPr>
              <w:t>No</w:t>
            </w:r>
          </w:p>
        </w:tc>
        <w:tc>
          <w:tcPr>
            <w:tcW w:w="3666" w:type="pct"/>
          </w:tcPr>
          <w:p w14:paraId="51FDA1F5" w14:textId="77777777" w:rsidR="005D2158" w:rsidRPr="0017759F" w:rsidRDefault="008A56F1" w:rsidP="0031295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Advise</w:t>
            </w:r>
            <w:r w:rsidRPr="0017759F">
              <w:rPr>
                <w:rFonts w:ascii="Verdana" w:hAnsi="Verdana"/>
              </w:rPr>
              <w:t xml:space="preserve"> </w:t>
            </w:r>
            <w:r w:rsidR="005D2158" w:rsidRPr="0017759F">
              <w:rPr>
                <w:rFonts w:ascii="Verdana" w:hAnsi="Verdana"/>
                <w:color w:val="000000"/>
              </w:rPr>
              <w:t xml:space="preserve">the </w:t>
            </w:r>
            <w:r w:rsidR="005E7C69" w:rsidRPr="0017759F">
              <w:rPr>
                <w:rFonts w:ascii="Verdana" w:hAnsi="Verdana"/>
                <w:color w:val="000000"/>
              </w:rPr>
              <w:t>member</w:t>
            </w:r>
            <w:r w:rsidR="005D2158" w:rsidRPr="0017759F">
              <w:rPr>
                <w:rFonts w:ascii="Verdana" w:hAnsi="Verdana"/>
              </w:rPr>
              <w:t xml:space="preserve"> the following:</w:t>
            </w:r>
          </w:p>
          <w:p w14:paraId="0A3B1ABC" w14:textId="67705EC2" w:rsidR="00630FDF" w:rsidRPr="006C2DE5" w:rsidRDefault="00154C77" w:rsidP="0031295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4106EAEA" wp14:editId="464DD7DD">
                  <wp:extent cx="238125" cy="209550"/>
                  <wp:effectExtent l="0" t="0" r="0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514B3">
              <w:rPr>
                <w:rFonts w:ascii="Verdana" w:hAnsi="Verdana"/>
              </w:rPr>
              <w:t xml:space="preserve"> </w:t>
            </w:r>
            <w:r w:rsidR="005D2158" w:rsidRPr="0017759F">
              <w:rPr>
                <w:rFonts w:ascii="Verdana" w:hAnsi="Verdana"/>
              </w:rPr>
              <w:t xml:space="preserve">I will submit a </w:t>
            </w:r>
            <w:r w:rsidR="00B24E49">
              <w:rPr>
                <w:rFonts w:ascii="Verdana" w:hAnsi="Verdana"/>
              </w:rPr>
              <w:t>request</w:t>
            </w:r>
            <w:r w:rsidR="00CE04FA">
              <w:rPr>
                <w:rFonts w:ascii="Verdana" w:hAnsi="Verdana"/>
              </w:rPr>
              <w:t xml:space="preserve"> </w:t>
            </w:r>
            <w:r w:rsidR="00B24E49">
              <w:rPr>
                <w:rFonts w:ascii="Verdana" w:hAnsi="Verdana"/>
              </w:rPr>
              <w:t>to</w:t>
            </w:r>
            <w:r w:rsidR="00CE04FA">
              <w:rPr>
                <w:rFonts w:ascii="Verdana" w:hAnsi="Verdana"/>
              </w:rPr>
              <w:t xml:space="preserve"> have the twins</w:t>
            </w:r>
            <w:r w:rsidR="00B24E49">
              <w:rPr>
                <w:rFonts w:ascii="Verdana" w:hAnsi="Verdana"/>
              </w:rPr>
              <w:t>’</w:t>
            </w:r>
            <w:r w:rsidR="00CE04FA">
              <w:rPr>
                <w:rFonts w:ascii="Verdana" w:hAnsi="Verdana"/>
              </w:rPr>
              <w:t xml:space="preserve"> ID</w:t>
            </w:r>
            <w:r w:rsidR="00F514B3">
              <w:rPr>
                <w:rFonts w:ascii="Verdana" w:hAnsi="Verdana"/>
              </w:rPr>
              <w:t>’</w:t>
            </w:r>
            <w:r w:rsidR="005D2158" w:rsidRPr="0017759F">
              <w:rPr>
                <w:rFonts w:ascii="Verdana" w:hAnsi="Verdana"/>
              </w:rPr>
              <w:t xml:space="preserve">s input into the system.  This will occur within </w:t>
            </w:r>
            <w:r w:rsidR="00D455C0">
              <w:rPr>
                <w:rFonts w:ascii="Verdana" w:hAnsi="Verdana"/>
                <w:color w:val="000000"/>
              </w:rPr>
              <w:t>5</w:t>
            </w:r>
            <w:r w:rsidR="002B3C3D" w:rsidRPr="0017759F">
              <w:rPr>
                <w:rFonts w:ascii="Verdana" w:hAnsi="Verdana"/>
                <w:color w:val="000000"/>
              </w:rPr>
              <w:t xml:space="preserve"> </w:t>
            </w:r>
            <w:r w:rsidR="00CB4F40" w:rsidRPr="0017759F">
              <w:rPr>
                <w:rFonts w:ascii="Verdana" w:hAnsi="Verdana"/>
                <w:color w:val="000000"/>
              </w:rPr>
              <w:t>business days</w:t>
            </w:r>
            <w:r w:rsidR="005D2158" w:rsidRPr="0017759F">
              <w:rPr>
                <w:rFonts w:ascii="Verdana" w:hAnsi="Verdana"/>
                <w:color w:val="000000"/>
              </w:rPr>
              <w:t>.</w:t>
            </w:r>
            <w:r w:rsidR="005D2158" w:rsidRPr="0017759F">
              <w:rPr>
                <w:rFonts w:ascii="Verdana" w:hAnsi="Verdana"/>
              </w:rPr>
              <w:t xml:space="preserve">  If you </w:t>
            </w:r>
            <w:r w:rsidR="00D455C0" w:rsidRPr="0017759F">
              <w:rPr>
                <w:rFonts w:ascii="Verdana" w:hAnsi="Verdana"/>
              </w:rPr>
              <w:t>need</w:t>
            </w:r>
            <w:r w:rsidR="00D455C0">
              <w:rPr>
                <w:rFonts w:ascii="Verdana" w:hAnsi="Verdana"/>
              </w:rPr>
              <w:t xml:space="preserve"> to </w:t>
            </w:r>
            <w:r w:rsidR="005D2158" w:rsidRPr="0017759F">
              <w:rPr>
                <w:rFonts w:ascii="Verdana" w:hAnsi="Verdana"/>
              </w:rPr>
              <w:t>obtain the prescription immediatel</w:t>
            </w:r>
            <w:r w:rsidR="00B24E49">
              <w:rPr>
                <w:rFonts w:ascii="Verdana" w:hAnsi="Verdana"/>
              </w:rPr>
              <w:t xml:space="preserve">y, </w:t>
            </w:r>
            <w:r w:rsidR="005D2158" w:rsidRPr="0017759F">
              <w:rPr>
                <w:rFonts w:ascii="Verdana" w:hAnsi="Verdana"/>
              </w:rPr>
              <w:t>you</w:t>
            </w:r>
            <w:r w:rsidR="006E3E4B" w:rsidRPr="0017759F">
              <w:rPr>
                <w:rFonts w:ascii="Verdana" w:hAnsi="Verdana"/>
              </w:rPr>
              <w:t xml:space="preserve"> </w:t>
            </w:r>
            <w:r w:rsidR="00FF694E" w:rsidRPr="0017759F">
              <w:rPr>
                <w:rFonts w:ascii="Verdana" w:hAnsi="Verdana"/>
              </w:rPr>
              <w:t>will</w:t>
            </w:r>
            <w:r w:rsidR="006E3E4B" w:rsidRPr="0017759F">
              <w:rPr>
                <w:rFonts w:ascii="Verdana" w:hAnsi="Verdana"/>
              </w:rPr>
              <w:t xml:space="preserve"> need to pay for the Rx out of pocket </w:t>
            </w:r>
            <w:r w:rsidR="005D2158" w:rsidRPr="006C2DE5">
              <w:rPr>
                <w:rFonts w:ascii="Verdana" w:hAnsi="Verdana"/>
              </w:rPr>
              <w:t>and subsequently be reimbursed</w:t>
            </w:r>
            <w:r w:rsidR="008A56F1">
              <w:rPr>
                <w:rFonts w:ascii="Verdana" w:hAnsi="Verdana"/>
              </w:rPr>
              <w:t xml:space="preserve"> by the pharmacy</w:t>
            </w:r>
            <w:r w:rsidR="005D2158" w:rsidRPr="006C2DE5">
              <w:rPr>
                <w:rFonts w:ascii="Verdana" w:hAnsi="Verdana"/>
              </w:rPr>
              <w:t xml:space="preserve"> after the change takes </w:t>
            </w:r>
            <w:r w:rsidR="00A507B1" w:rsidRPr="006C2DE5">
              <w:rPr>
                <w:rFonts w:ascii="Verdana" w:hAnsi="Verdana"/>
              </w:rPr>
              <w:t>effect</w:t>
            </w:r>
            <w:r w:rsidR="00CE04FA" w:rsidRPr="006C2DE5">
              <w:rPr>
                <w:rFonts w:ascii="Verdana" w:hAnsi="Verdana"/>
              </w:rPr>
              <w:t xml:space="preserve"> by having the retail pharmacy reprocess the prescription</w:t>
            </w:r>
            <w:r w:rsidR="005D2158" w:rsidRPr="006C2DE5">
              <w:rPr>
                <w:rFonts w:ascii="Verdana" w:hAnsi="Verdana"/>
              </w:rPr>
              <w:t>.</w:t>
            </w:r>
          </w:p>
          <w:p w14:paraId="187D52E6" w14:textId="77777777" w:rsidR="00CE04FA" w:rsidRPr="006C2DE5" w:rsidRDefault="00CE04FA" w:rsidP="0031295B">
            <w:pPr>
              <w:spacing w:before="120" w:after="120"/>
              <w:rPr>
                <w:rFonts w:ascii="Verdana" w:hAnsi="Verdana"/>
              </w:rPr>
            </w:pPr>
          </w:p>
          <w:p w14:paraId="1AE208AA" w14:textId="77777777" w:rsidR="00423DB9" w:rsidRPr="0017759F" w:rsidRDefault="00CE04FA" w:rsidP="0031295B">
            <w:pPr>
              <w:spacing w:before="120" w:after="120"/>
              <w:rPr>
                <w:rFonts w:ascii="Verdana" w:hAnsi="Verdana"/>
              </w:rPr>
            </w:pPr>
            <w:r w:rsidRPr="006C2DE5">
              <w:rPr>
                <w:rFonts w:ascii="Verdana" w:hAnsi="Verdana"/>
              </w:rPr>
              <w:t xml:space="preserve">Proceed to the </w:t>
            </w:r>
            <w:r w:rsidR="00423DB9">
              <w:rPr>
                <w:rFonts w:ascii="Verdana" w:hAnsi="Verdana"/>
              </w:rPr>
              <w:t>next</w:t>
            </w:r>
            <w:r w:rsidRPr="006C2DE5">
              <w:rPr>
                <w:rFonts w:ascii="Verdana" w:hAnsi="Verdana"/>
              </w:rPr>
              <w:t xml:space="preserve"> step.</w:t>
            </w:r>
          </w:p>
        </w:tc>
      </w:tr>
      <w:tr w:rsidR="00630FDF" w:rsidRPr="0017759F" w14:paraId="5EA9B83A" w14:textId="77777777" w:rsidTr="2EF28DF4">
        <w:tc>
          <w:tcPr>
            <w:tcW w:w="292" w:type="pct"/>
          </w:tcPr>
          <w:p w14:paraId="182D3783" w14:textId="77777777" w:rsidR="00630FDF" w:rsidRDefault="00630FDF" w:rsidP="0031295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7759F">
              <w:rPr>
                <w:rFonts w:ascii="Verdana" w:hAnsi="Verdana"/>
                <w:b/>
              </w:rPr>
              <w:t>2</w:t>
            </w:r>
          </w:p>
          <w:p w14:paraId="19B759F5" w14:textId="77777777" w:rsidR="00423DB9" w:rsidRPr="0017759F" w:rsidRDefault="008800E8" w:rsidP="0031295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 </w:t>
            </w:r>
          </w:p>
        </w:tc>
        <w:tc>
          <w:tcPr>
            <w:tcW w:w="4708" w:type="pct"/>
            <w:gridSpan w:val="2"/>
          </w:tcPr>
          <w:p w14:paraId="2A02DCC7" w14:textId="77777777" w:rsidR="00630FDF" w:rsidRPr="0017759F" w:rsidRDefault="00630FDF" w:rsidP="0031295B">
            <w:pPr>
              <w:spacing w:before="120" w:after="120"/>
              <w:rPr>
                <w:rFonts w:ascii="Verdana" w:hAnsi="Verdana"/>
              </w:rPr>
            </w:pPr>
            <w:r w:rsidRPr="0017759F">
              <w:rPr>
                <w:rFonts w:ascii="Verdana" w:hAnsi="Verdana"/>
              </w:rPr>
              <w:t>Setup permanent ID by creating Eligib</w:t>
            </w:r>
            <w:r w:rsidR="00151B19" w:rsidRPr="0017759F">
              <w:rPr>
                <w:rFonts w:ascii="Verdana" w:hAnsi="Verdana"/>
              </w:rPr>
              <w:t>i</w:t>
            </w:r>
            <w:r w:rsidRPr="0017759F">
              <w:rPr>
                <w:rFonts w:ascii="Verdana" w:hAnsi="Verdana"/>
              </w:rPr>
              <w:t>lity task.</w:t>
            </w:r>
          </w:p>
          <w:p w14:paraId="4ADC90CA" w14:textId="77777777" w:rsidR="00423DB9" w:rsidRDefault="00423DB9" w:rsidP="0031295B">
            <w:pPr>
              <w:spacing w:before="120" w:after="120"/>
              <w:rPr>
                <w:rFonts w:ascii="Verdana" w:hAnsi="Verdana"/>
              </w:rPr>
            </w:pPr>
          </w:p>
          <w:p w14:paraId="0AAB6EB3" w14:textId="77777777" w:rsidR="00630FDF" w:rsidRPr="00423DB9" w:rsidRDefault="008A56F1" w:rsidP="0031295B">
            <w:pPr>
              <w:numPr>
                <w:ilvl w:val="0"/>
                <w:numId w:val="13"/>
              </w:numPr>
              <w:spacing w:before="120" w:after="120"/>
              <w:ind w:left="436"/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 xml:space="preserve">Task </w:t>
            </w:r>
            <w:r w:rsidR="00630FDF" w:rsidRPr="0017759F">
              <w:rPr>
                <w:rFonts w:ascii="Verdana" w:hAnsi="Verdana"/>
              </w:rPr>
              <w:t xml:space="preserve">Category:  </w:t>
            </w:r>
            <w:r w:rsidR="00630FDF" w:rsidRPr="00423DB9">
              <w:rPr>
                <w:rFonts w:ascii="Verdana" w:hAnsi="Verdana"/>
                <w:b/>
              </w:rPr>
              <w:t>Eligibility</w:t>
            </w:r>
          </w:p>
          <w:p w14:paraId="6DC29048" w14:textId="085D32DB" w:rsidR="00630FDF" w:rsidRPr="0017759F" w:rsidRDefault="008A56F1" w:rsidP="0031295B">
            <w:pPr>
              <w:numPr>
                <w:ilvl w:val="0"/>
                <w:numId w:val="13"/>
              </w:numPr>
              <w:spacing w:before="120" w:after="120"/>
              <w:ind w:left="43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Task </w:t>
            </w:r>
            <w:r w:rsidR="00630FDF" w:rsidRPr="0017759F">
              <w:rPr>
                <w:rFonts w:ascii="Verdana" w:hAnsi="Verdana"/>
              </w:rPr>
              <w:t xml:space="preserve">Type:  </w:t>
            </w:r>
            <w:r w:rsidR="00630FDF" w:rsidRPr="00423DB9">
              <w:rPr>
                <w:rFonts w:ascii="Verdana" w:hAnsi="Verdana"/>
                <w:b/>
              </w:rPr>
              <w:t>Ineligible Participan</w:t>
            </w:r>
            <w:r w:rsidR="002B6CD7">
              <w:rPr>
                <w:rFonts w:ascii="Verdana" w:hAnsi="Verdana"/>
                <w:b/>
              </w:rPr>
              <w:t>t</w:t>
            </w:r>
            <w:r w:rsidR="00630FDF" w:rsidRPr="00423DB9">
              <w:rPr>
                <w:rFonts w:ascii="Verdana" w:hAnsi="Verdana"/>
                <w:b/>
              </w:rPr>
              <w:t xml:space="preserve"> /</w:t>
            </w:r>
            <w:r w:rsidR="006B71F6" w:rsidRPr="00423DB9">
              <w:rPr>
                <w:rFonts w:ascii="Verdana" w:hAnsi="Verdana"/>
                <w:b/>
              </w:rPr>
              <w:t>Spouse/</w:t>
            </w:r>
            <w:r w:rsidR="00630FDF" w:rsidRPr="00423DB9">
              <w:rPr>
                <w:rFonts w:ascii="Verdana" w:hAnsi="Verdana"/>
                <w:b/>
              </w:rPr>
              <w:t xml:space="preserve"> Dependent</w:t>
            </w:r>
          </w:p>
          <w:p w14:paraId="5C261064" w14:textId="77777777" w:rsidR="00CB4F40" w:rsidRDefault="008A56F1" w:rsidP="0031295B">
            <w:pPr>
              <w:numPr>
                <w:ilvl w:val="0"/>
                <w:numId w:val="13"/>
              </w:numPr>
              <w:spacing w:before="120" w:after="120"/>
              <w:ind w:left="43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Queue: </w:t>
            </w:r>
            <w:r w:rsidRPr="00423DB9">
              <w:rPr>
                <w:rFonts w:ascii="Verdana" w:hAnsi="Verdana"/>
                <w:b/>
              </w:rPr>
              <w:t>Eligibility – San Antonio</w:t>
            </w:r>
            <w:r>
              <w:rPr>
                <w:rFonts w:ascii="Verdana" w:hAnsi="Verdana"/>
              </w:rPr>
              <w:t xml:space="preserve"> </w:t>
            </w:r>
          </w:p>
          <w:p w14:paraId="3B4FBE72" w14:textId="77777777" w:rsidR="008A56F1" w:rsidRPr="0017759F" w:rsidRDefault="008A56F1" w:rsidP="0031295B">
            <w:pPr>
              <w:spacing w:before="120" w:after="120"/>
              <w:rPr>
                <w:rFonts w:ascii="Verdana" w:hAnsi="Verdana"/>
              </w:rPr>
            </w:pPr>
          </w:p>
          <w:p w14:paraId="7D49E763" w14:textId="75DA0384" w:rsidR="00CB4F40" w:rsidRDefault="00CB4F40" w:rsidP="0031295B">
            <w:pPr>
              <w:spacing w:before="120" w:after="120"/>
              <w:rPr>
                <w:rFonts w:ascii="Verdana" w:hAnsi="Verdana" w:cs="Courier New"/>
              </w:rPr>
            </w:pPr>
            <w:r w:rsidRPr="0017759F">
              <w:rPr>
                <w:rFonts w:ascii="Verdana" w:hAnsi="Verdana"/>
                <w:b/>
                <w:color w:val="000000"/>
              </w:rPr>
              <w:t>N</w:t>
            </w:r>
            <w:r w:rsidR="00B54B6C" w:rsidRPr="0017759F">
              <w:rPr>
                <w:rFonts w:ascii="Verdana" w:hAnsi="Verdana"/>
                <w:b/>
                <w:color w:val="000000"/>
              </w:rPr>
              <w:t>ote</w:t>
            </w:r>
            <w:r w:rsidRPr="0017759F">
              <w:rPr>
                <w:rFonts w:ascii="Verdana" w:hAnsi="Verdana"/>
                <w:b/>
                <w:color w:val="000000"/>
              </w:rPr>
              <w:t>:</w:t>
            </w:r>
            <w:r w:rsidRPr="0017759F">
              <w:rPr>
                <w:rFonts w:ascii="Verdana" w:hAnsi="Verdana"/>
                <w:color w:val="000000"/>
              </w:rPr>
              <w:t xml:space="preserve">  </w:t>
            </w:r>
            <w:r w:rsidR="00B54B6C" w:rsidRPr="0017759F">
              <w:rPr>
                <w:rFonts w:ascii="Verdana" w:hAnsi="Verdana"/>
                <w:color w:val="000000"/>
              </w:rPr>
              <w:t>One t</w:t>
            </w:r>
            <w:r w:rsidR="00B54B6C" w:rsidRPr="0017759F">
              <w:rPr>
                <w:rFonts w:ascii="Verdana" w:hAnsi="Verdana" w:cs="Courier New"/>
              </w:rPr>
              <w:t xml:space="preserve">ask is created for twins with </w:t>
            </w:r>
            <w:r w:rsidR="00A507B1" w:rsidRPr="0017759F">
              <w:rPr>
                <w:rFonts w:ascii="Verdana" w:hAnsi="Verdana" w:cs="Courier New"/>
              </w:rPr>
              <w:t>the same</w:t>
            </w:r>
            <w:r w:rsidR="00B54B6C" w:rsidRPr="0017759F">
              <w:rPr>
                <w:rFonts w:ascii="Verdana" w:hAnsi="Verdana" w:cs="Courier New"/>
              </w:rPr>
              <w:t xml:space="preserve"> DOB under the member’s name</w:t>
            </w:r>
            <w:r w:rsidR="00CE04FA">
              <w:rPr>
                <w:rFonts w:ascii="Verdana" w:hAnsi="Verdana" w:cs="Courier New"/>
              </w:rPr>
              <w:t>.</w:t>
            </w:r>
            <w:r w:rsidR="00B54B6C" w:rsidRPr="0017759F">
              <w:rPr>
                <w:rFonts w:ascii="Verdana" w:hAnsi="Verdana" w:cs="Courier New"/>
              </w:rPr>
              <w:t xml:space="preserve">  </w:t>
            </w:r>
            <w:r w:rsidR="00133C6F">
              <w:rPr>
                <w:rFonts w:ascii="Verdana" w:hAnsi="Verdana" w:cs="Courier New"/>
              </w:rPr>
              <w:t>Only create a callback task w</w:t>
            </w:r>
            <w:r w:rsidR="00133C6F" w:rsidRPr="00133C6F">
              <w:rPr>
                <w:rFonts w:ascii="Verdana" w:hAnsi="Verdana" w:cs="Courier New"/>
              </w:rPr>
              <w:t>hen the member specifically asks for a callback. In this scenario, you must indicate in the callback task notes that the member requested the callback.</w:t>
            </w:r>
          </w:p>
          <w:p w14:paraId="173EC837" w14:textId="77777777" w:rsidR="00423DB9" w:rsidRDefault="00423DB9" w:rsidP="0031295B">
            <w:pPr>
              <w:spacing w:before="120" w:after="120"/>
              <w:rPr>
                <w:rFonts w:ascii="Verdana" w:hAnsi="Verdana" w:cs="Courier New"/>
              </w:rPr>
            </w:pPr>
          </w:p>
          <w:p w14:paraId="5E939436" w14:textId="3D2B81D9" w:rsidR="00423DB9" w:rsidRPr="006B408E" w:rsidRDefault="00F514B3" w:rsidP="0031295B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 w:cs="Courier New"/>
                <w:b/>
              </w:rPr>
              <w:t>Turnaround</w:t>
            </w:r>
            <w:r w:rsidR="006B408E">
              <w:rPr>
                <w:rFonts w:ascii="Verdana" w:hAnsi="Verdana" w:cs="Courier New"/>
                <w:b/>
              </w:rPr>
              <w:t xml:space="preserve">: </w:t>
            </w:r>
            <w:r>
              <w:rPr>
                <w:rFonts w:ascii="Verdana" w:hAnsi="Verdana" w:cs="Courier New"/>
                <w:b/>
              </w:rPr>
              <w:t xml:space="preserve"> </w:t>
            </w:r>
            <w:r w:rsidRPr="0031295B">
              <w:rPr>
                <w:rFonts w:ascii="Verdana" w:hAnsi="Verdana" w:cs="Courier New"/>
                <w:bCs/>
              </w:rPr>
              <w:t xml:space="preserve">Up to </w:t>
            </w:r>
            <w:r w:rsidR="008E41D5">
              <w:rPr>
                <w:rFonts w:ascii="Verdana" w:hAnsi="Verdana" w:cs="Courier New"/>
                <w:bCs/>
              </w:rPr>
              <w:t>5</w:t>
            </w:r>
            <w:r w:rsidR="002B3C3D" w:rsidRPr="0031295B">
              <w:rPr>
                <w:rFonts w:ascii="Verdana" w:hAnsi="Verdana" w:cs="Courier New"/>
                <w:bCs/>
              </w:rPr>
              <w:t xml:space="preserve"> </w:t>
            </w:r>
            <w:r w:rsidR="006B408E" w:rsidRPr="0031295B">
              <w:rPr>
                <w:rFonts w:ascii="Verdana" w:hAnsi="Verdana" w:cs="Courier New"/>
                <w:bCs/>
              </w:rPr>
              <w:t>business days</w:t>
            </w:r>
            <w:r w:rsidR="006B408E">
              <w:rPr>
                <w:rFonts w:ascii="Verdana" w:hAnsi="Verdana" w:cs="Courier New"/>
                <w:b/>
              </w:rPr>
              <w:t xml:space="preserve"> </w:t>
            </w:r>
          </w:p>
        </w:tc>
      </w:tr>
      <w:tr w:rsidR="00630FDF" w:rsidRPr="0017759F" w14:paraId="199D9664" w14:textId="77777777" w:rsidTr="2EF28DF4">
        <w:trPr>
          <w:trHeight w:val="1547"/>
        </w:trPr>
        <w:tc>
          <w:tcPr>
            <w:tcW w:w="292" w:type="pct"/>
          </w:tcPr>
          <w:p w14:paraId="300D7664" w14:textId="77777777" w:rsidR="00630FDF" w:rsidRPr="0017759F" w:rsidRDefault="00630FDF" w:rsidP="0031295B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7759F">
              <w:rPr>
                <w:rFonts w:ascii="Verdana" w:hAnsi="Verdana"/>
                <w:b/>
              </w:rPr>
              <w:t>3</w:t>
            </w:r>
          </w:p>
        </w:tc>
        <w:tc>
          <w:tcPr>
            <w:tcW w:w="4708" w:type="pct"/>
            <w:gridSpan w:val="2"/>
          </w:tcPr>
          <w:p w14:paraId="0F83B4B2" w14:textId="77777777" w:rsidR="00630FDF" w:rsidRDefault="00630FDF" w:rsidP="0031295B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7759F">
              <w:rPr>
                <w:rFonts w:ascii="Verdana" w:hAnsi="Verdana"/>
              </w:rPr>
              <w:t xml:space="preserve">Complete the Notes as follows:  </w:t>
            </w:r>
            <w:r w:rsidR="00311C4B" w:rsidRPr="0017759F">
              <w:rPr>
                <w:rFonts w:ascii="Verdana" w:hAnsi="Verdana"/>
                <w:color w:val="000000"/>
              </w:rPr>
              <w:t xml:space="preserve">Include the </w:t>
            </w:r>
            <w:r w:rsidRPr="0017759F">
              <w:rPr>
                <w:rFonts w:ascii="Verdana" w:hAnsi="Verdana"/>
                <w:color w:val="000000"/>
              </w:rPr>
              <w:t>Alternate ID followed by suffix code “01” or “02” for each twin.</w:t>
            </w:r>
            <w:r w:rsidR="005E7C69" w:rsidRPr="0017759F">
              <w:rPr>
                <w:rFonts w:ascii="Verdana" w:hAnsi="Verdana"/>
                <w:color w:val="000000"/>
              </w:rPr>
              <w:t xml:space="preserve">  Specify which twin receives each ID number.</w:t>
            </w:r>
            <w:r w:rsidRPr="0017759F">
              <w:rPr>
                <w:rFonts w:ascii="Verdana" w:hAnsi="Verdana"/>
                <w:color w:val="000000"/>
              </w:rPr>
              <w:t xml:space="preserve">  </w:t>
            </w:r>
          </w:p>
          <w:p w14:paraId="4AB7C663" w14:textId="77777777" w:rsidR="00423DB9" w:rsidRPr="0017759F" w:rsidRDefault="00423DB9" w:rsidP="0031295B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0742A6E0" w14:textId="77777777" w:rsidR="00630FDF" w:rsidRPr="0017759F" w:rsidRDefault="00630FDF" w:rsidP="0031295B">
            <w:pPr>
              <w:numPr>
                <w:ilvl w:val="0"/>
                <w:numId w:val="10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17759F">
              <w:rPr>
                <w:rFonts w:ascii="Verdana" w:hAnsi="Verdana"/>
                <w:color w:val="000000"/>
              </w:rPr>
              <w:t>If there is no alternate ID, then use the external ID followed by the suffix code of “01” or “02” for each twin.</w:t>
            </w:r>
          </w:p>
          <w:p w14:paraId="667FA069" w14:textId="3D7F2E53" w:rsidR="00423DB9" w:rsidRPr="0017759F" w:rsidRDefault="00311C4B" w:rsidP="0031295B">
            <w:pPr>
              <w:numPr>
                <w:ilvl w:val="0"/>
                <w:numId w:val="10"/>
              </w:numPr>
              <w:spacing w:before="120" w:after="120"/>
              <w:rPr>
                <w:rFonts w:ascii="Verdana" w:hAnsi="Verdana"/>
                <w:color w:val="FF0000"/>
              </w:rPr>
            </w:pPr>
            <w:r w:rsidRPr="2EF28DF4">
              <w:rPr>
                <w:rFonts w:ascii="Verdana" w:hAnsi="Verdana"/>
                <w:color w:val="000000" w:themeColor="text1"/>
              </w:rPr>
              <w:t>If using the alternate or external ID number, include the full ID number on your task.</w:t>
            </w:r>
          </w:p>
          <w:p w14:paraId="0AF3B6FB" w14:textId="29F0701E" w:rsidR="00423DB9" w:rsidRPr="00953EA0" w:rsidRDefault="75B78174" w:rsidP="00953EA0">
            <w:pPr>
              <w:ind w:left="330"/>
              <w:rPr>
                <w:rFonts w:ascii="Verdana" w:eastAsia="Helvetica" w:hAnsi="Verdana" w:cs="Helvetica"/>
              </w:rPr>
            </w:pPr>
            <w:r w:rsidRPr="2EF28DF4">
              <w:rPr>
                <w:rFonts w:ascii="Verdana" w:hAnsi="Verdana"/>
                <w:color w:val="000000" w:themeColor="text1"/>
              </w:rPr>
              <w:t>Refer to</w:t>
            </w:r>
            <w:r w:rsidR="006F4780">
              <w:rPr>
                <w:rFonts w:ascii="Verdana" w:hAnsi="Verdana"/>
                <w:color w:val="000000" w:themeColor="text1"/>
              </w:rPr>
              <w:t xml:space="preserve"> </w:t>
            </w:r>
            <w:hyperlink r:id="rId17" w:anchor="!/view?docid=3438a8ea-9ad1-4c4b-b710-57dab144493c" w:history="1">
              <w:r w:rsidRPr="00953EA0">
                <w:rPr>
                  <w:rStyle w:val="Hyperlink"/>
                  <w:rFonts w:ascii="Verdana" w:eastAsia="Helvetica" w:hAnsi="Verdana"/>
                </w:rPr>
                <w:t>Resolution Manager (RM) Task Types and Uses</w:t>
              </w:r>
              <w:r w:rsidR="006F4780" w:rsidRPr="00953EA0">
                <w:rPr>
                  <w:rStyle w:val="Hyperlink"/>
                  <w:rFonts w:ascii="Verdana" w:eastAsia="Helvetica" w:hAnsi="Verdana"/>
                </w:rPr>
                <w:t xml:space="preserve"> (029980)</w:t>
              </w:r>
            </w:hyperlink>
          </w:p>
          <w:p w14:paraId="230889DD" w14:textId="21B719D7" w:rsidR="00423DB9" w:rsidRPr="0017759F" w:rsidRDefault="00423DB9" w:rsidP="2EF28DF4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</w:p>
        </w:tc>
      </w:tr>
    </w:tbl>
    <w:p w14:paraId="4D9F2928" w14:textId="56310A5D" w:rsidR="00C1241D" w:rsidRDefault="00C1241D" w:rsidP="005F2A71">
      <w:pPr>
        <w:rPr>
          <w:rFonts w:ascii="Verdana" w:hAnsi="Verdana"/>
        </w:rPr>
      </w:pPr>
      <w:bookmarkStart w:id="5" w:name="_Turn_Around_Time"/>
      <w:bookmarkEnd w:id="5"/>
    </w:p>
    <w:p w14:paraId="6DFAD186" w14:textId="2B4A4C9D" w:rsidR="00423DB9" w:rsidRDefault="00FE749B" w:rsidP="00423DB9">
      <w:pPr>
        <w:jc w:val="right"/>
        <w:rPr>
          <w:rFonts w:ascii="Verdana" w:hAnsi="Verdana"/>
        </w:rPr>
      </w:pPr>
      <w:hyperlink w:anchor="_top" w:history="1">
        <w:r w:rsidRPr="00FE749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47"/>
      </w:tblGrid>
      <w:tr w:rsidR="00423DB9" w:rsidRPr="00BF74E9" w14:paraId="5260A420" w14:textId="77777777" w:rsidTr="005F2A71">
        <w:tc>
          <w:tcPr>
            <w:tcW w:w="5000" w:type="pct"/>
            <w:shd w:val="clear" w:color="auto" w:fill="C0C0C0"/>
          </w:tcPr>
          <w:p w14:paraId="4A44F465" w14:textId="77777777" w:rsidR="00423DB9" w:rsidRPr="00D32D37" w:rsidRDefault="008800E8" w:rsidP="0031295B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" w:name="_Toc535925542"/>
            <w:bookmarkStart w:id="7" w:name="_Toc188450056"/>
            <w:r>
              <w:rPr>
                <w:rFonts w:ascii="Verdana" w:hAnsi="Verdana"/>
                <w:i w:val="0"/>
                <w:iCs w:val="0"/>
              </w:rPr>
              <w:t xml:space="preserve">Related </w:t>
            </w:r>
            <w:r w:rsidR="00423DB9">
              <w:rPr>
                <w:rFonts w:ascii="Verdana" w:hAnsi="Verdana"/>
                <w:i w:val="0"/>
                <w:iCs w:val="0"/>
              </w:rPr>
              <w:t>Document</w:t>
            </w:r>
            <w:bookmarkEnd w:id="6"/>
            <w:r>
              <w:rPr>
                <w:rFonts w:ascii="Verdana" w:hAnsi="Verdana"/>
                <w:i w:val="0"/>
                <w:iCs w:val="0"/>
              </w:rPr>
              <w:t>s</w:t>
            </w:r>
            <w:bookmarkEnd w:id="7"/>
          </w:p>
        </w:tc>
      </w:tr>
    </w:tbl>
    <w:p w14:paraId="74E2DA67" w14:textId="0809ECA5" w:rsidR="005F2A71" w:rsidRPr="00953EA0" w:rsidRDefault="005F2A71" w:rsidP="005F2A71">
      <w:pPr>
        <w:pStyle w:val="ListParagraph"/>
        <w:ind w:left="0"/>
        <w:rPr>
          <w:rStyle w:val="Hyperlink"/>
          <w:rFonts w:ascii="Verdana" w:hAnsi="Verdana"/>
        </w:rPr>
      </w:pPr>
      <w:hyperlink r:id="rId18" w:anchor="!/view?docid=c1f1028b-e42c-4b4f-a4cf-cc0b42c91606" w:history="1">
        <w:r w:rsidRPr="00953EA0">
          <w:rPr>
            <w:rStyle w:val="Hyperlink"/>
            <w:rFonts w:ascii="Verdana" w:hAnsi="Verdana"/>
          </w:rPr>
          <w:t>Customer Care Abbreviations, Definitions, and Terms</w:t>
        </w:r>
      </w:hyperlink>
      <w:r w:rsidR="00B921B7" w:rsidRPr="00953EA0">
        <w:rPr>
          <w:rStyle w:val="Hyperlink"/>
          <w:rFonts w:ascii="Verdana" w:hAnsi="Verdana"/>
        </w:rPr>
        <w:t xml:space="preserve"> </w:t>
      </w:r>
      <w:r w:rsidR="00791F81" w:rsidRPr="00953EA0">
        <w:rPr>
          <w:rStyle w:val="Hyperlink"/>
          <w:rFonts w:ascii="Verdana" w:hAnsi="Verdana"/>
        </w:rPr>
        <w:t xml:space="preserve">Index </w:t>
      </w:r>
      <w:r w:rsidR="00B921B7" w:rsidRPr="00953EA0">
        <w:rPr>
          <w:rStyle w:val="Hyperlink"/>
          <w:rFonts w:ascii="Verdana" w:hAnsi="Verdana"/>
        </w:rPr>
        <w:t>(</w:t>
      </w:r>
      <w:r w:rsidR="00953EA0" w:rsidRPr="00953EA0">
        <w:rPr>
          <w:rStyle w:val="Hyperlink"/>
          <w:rFonts w:ascii="Verdana" w:hAnsi="Verdana"/>
        </w:rPr>
        <w:t>0</w:t>
      </w:r>
      <w:r w:rsidR="00B921B7" w:rsidRPr="00953EA0">
        <w:rPr>
          <w:rStyle w:val="Hyperlink"/>
          <w:rFonts w:ascii="Verdana" w:hAnsi="Verdana"/>
        </w:rPr>
        <w:t>17428)</w:t>
      </w:r>
    </w:p>
    <w:p w14:paraId="3DE1A7FD" w14:textId="22DDAF5A" w:rsidR="00F514B3" w:rsidRPr="00953EA0" w:rsidRDefault="00923B99" w:rsidP="0031295B">
      <w:pPr>
        <w:spacing w:before="120" w:after="120"/>
        <w:rPr>
          <w:rStyle w:val="Hyperlink"/>
          <w:rFonts w:ascii="Verdana" w:hAnsi="Verdana"/>
        </w:rPr>
      </w:pPr>
      <w:hyperlink r:id="rId19" w:anchor="!/view?docid=863acba1-4370-4da9-9f6b-4cadf8633fbf" w:history="1">
        <w:r w:rsidR="00F6794B">
          <w:rPr>
            <w:rStyle w:val="Hyperlink"/>
            <w:rFonts w:ascii="Verdana" w:hAnsi="Verdana"/>
          </w:rPr>
          <w:t xml:space="preserve">Compass and PeopleSafe </w:t>
        </w:r>
        <w:r w:rsidR="003A2AD3">
          <w:rPr>
            <w:rStyle w:val="Hyperlink"/>
            <w:rFonts w:ascii="Verdana" w:hAnsi="Verdana"/>
          </w:rPr>
          <w:t xml:space="preserve">- </w:t>
        </w:r>
        <w:r w:rsidR="00F6794B">
          <w:rPr>
            <w:rStyle w:val="Hyperlink"/>
            <w:rFonts w:ascii="Verdana" w:hAnsi="Verdana"/>
          </w:rPr>
          <w:t>G</w:t>
        </w:r>
        <w:r w:rsidRPr="00953EA0">
          <w:rPr>
            <w:rStyle w:val="Hyperlink"/>
            <w:rFonts w:ascii="Verdana" w:hAnsi="Verdana"/>
          </w:rPr>
          <w:t>eneral Resolution Times/Turn Around Times (TAT) and Related Documents</w:t>
        </w:r>
      </w:hyperlink>
      <w:r w:rsidR="00B921B7" w:rsidRPr="00953EA0">
        <w:rPr>
          <w:rStyle w:val="Hyperlink"/>
          <w:rFonts w:ascii="Verdana" w:hAnsi="Verdana"/>
        </w:rPr>
        <w:t xml:space="preserve"> (</w:t>
      </w:r>
      <w:r w:rsidR="00953EA0">
        <w:rPr>
          <w:rStyle w:val="Hyperlink"/>
          <w:rFonts w:ascii="Verdana" w:hAnsi="Verdana"/>
        </w:rPr>
        <w:t>0</w:t>
      </w:r>
      <w:r w:rsidR="00B921B7" w:rsidRPr="00953EA0">
        <w:rPr>
          <w:rStyle w:val="Hyperlink"/>
          <w:rFonts w:ascii="Verdana" w:hAnsi="Verdana"/>
        </w:rPr>
        <w:t>28775)</w:t>
      </w:r>
    </w:p>
    <w:p w14:paraId="61F69746" w14:textId="77777777" w:rsidR="00923B99" w:rsidRDefault="00923B99" w:rsidP="00923B99">
      <w:pPr>
        <w:autoSpaceDE w:val="0"/>
        <w:autoSpaceDN w:val="0"/>
        <w:adjustRightInd w:val="0"/>
        <w:spacing w:before="120" w:after="120"/>
        <w:rPr>
          <w:rFonts w:ascii="Verdana" w:hAnsi="Verdana" w:cs="Verdana"/>
        </w:rPr>
      </w:pPr>
      <w:r>
        <w:rPr>
          <w:rFonts w:ascii="Verdana" w:hAnsi="Verdana"/>
          <w:b/>
        </w:rPr>
        <w:t>Parent Document:</w:t>
      </w:r>
      <w:r>
        <w:rPr>
          <w:rFonts w:ascii="Verdana" w:hAnsi="Verdana"/>
        </w:rPr>
        <w:t xml:space="preserve">  </w:t>
      </w:r>
      <w:hyperlink r:id="rId20" w:tgtFrame="_blank" w:history="1">
        <w:r>
          <w:rPr>
            <w:rStyle w:val="Hyperlink"/>
            <w:rFonts w:ascii="Verdana" w:hAnsi="Verdana"/>
          </w:rPr>
          <w:t>CALL-0049 Customer Care Internal and External Call Handling</w:t>
        </w:r>
      </w:hyperlink>
      <w:r>
        <w:rPr>
          <w:rFonts w:ascii="Verdana" w:hAnsi="Verdana" w:cs="Verdana"/>
        </w:rPr>
        <w:t xml:space="preserve"> </w:t>
      </w:r>
    </w:p>
    <w:p w14:paraId="539D03D1" w14:textId="77777777" w:rsidR="00923B99" w:rsidRDefault="00923B99" w:rsidP="0031295B">
      <w:pPr>
        <w:spacing w:before="120" w:after="120"/>
        <w:rPr>
          <w:rFonts w:ascii="Verdana" w:hAnsi="Verdana"/>
        </w:rPr>
      </w:pPr>
    </w:p>
    <w:p w14:paraId="14F67772" w14:textId="06546872" w:rsidR="008800E8" w:rsidRDefault="00FE749B" w:rsidP="00FE749B">
      <w:pPr>
        <w:spacing w:before="120" w:after="120"/>
        <w:jc w:val="right"/>
        <w:rPr>
          <w:rFonts w:ascii="Verdana" w:hAnsi="Verdana"/>
        </w:rPr>
      </w:pPr>
      <w:hyperlink w:anchor="_top" w:history="1">
        <w:r w:rsidRPr="00FE749B">
          <w:rPr>
            <w:rStyle w:val="Hyperlink"/>
            <w:rFonts w:ascii="Verdana" w:hAnsi="Verdana"/>
          </w:rPr>
          <w:t>Top of the Document</w:t>
        </w:r>
      </w:hyperlink>
    </w:p>
    <w:p w14:paraId="4E50FE6B" w14:textId="31639334" w:rsidR="00710E68" w:rsidRDefault="00710E68" w:rsidP="0031295B">
      <w:pPr>
        <w:jc w:val="right"/>
        <w:rPr>
          <w:rFonts w:ascii="Verdana" w:hAnsi="Verdana"/>
          <w:sz w:val="16"/>
          <w:szCs w:val="16"/>
        </w:rPr>
      </w:pPr>
    </w:p>
    <w:p w14:paraId="143D3CF2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AE031F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AE031F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AE031F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1CF59041" w14:textId="393DFF80" w:rsidR="005A64DA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</w:t>
      </w:r>
      <w:r w:rsidR="005F2A71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PAPER COPY </w:t>
      </w:r>
      <w:r w:rsidR="005F2A71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C247CB" w:rsidSect="008825E7">
      <w:footerReference w:type="default" r:id="rId21"/>
      <w:headerReference w:type="first" r:id="rId22"/>
      <w:footerReference w:type="first" r:id="rId2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4DDD4" w14:textId="77777777" w:rsidR="00B82FF2" w:rsidRDefault="00B82FF2">
      <w:r>
        <w:separator/>
      </w:r>
    </w:p>
  </w:endnote>
  <w:endnote w:type="continuationSeparator" w:id="0">
    <w:p w14:paraId="16C27C97" w14:textId="77777777" w:rsidR="00B82FF2" w:rsidRDefault="00B82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AAD7D" w14:textId="77777777" w:rsidR="00C476E1" w:rsidRPr="00401D86" w:rsidRDefault="00647B84" w:rsidP="00647B84">
    <w:pPr>
      <w:pStyle w:val="Footer"/>
      <w:jc w:val="right"/>
      <w:rPr>
        <w:rFonts w:ascii="Arial" w:hAnsi="Arial"/>
        <w:sz w:val="18"/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800E8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4CA98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4D510D" w14:textId="77777777" w:rsidR="00B82FF2" w:rsidRDefault="00B82FF2">
      <w:r>
        <w:separator/>
      </w:r>
    </w:p>
  </w:footnote>
  <w:footnote w:type="continuationSeparator" w:id="0">
    <w:p w14:paraId="4A8B83A6" w14:textId="77777777" w:rsidR="00B82FF2" w:rsidRDefault="00B82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C593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B5F2B"/>
    <w:multiLevelType w:val="hybridMultilevel"/>
    <w:tmpl w:val="70D665B0"/>
    <w:lvl w:ilvl="0" w:tplc="50D6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B6B6E"/>
    <w:multiLevelType w:val="hybridMultilevel"/>
    <w:tmpl w:val="733A18D2"/>
    <w:lvl w:ilvl="0" w:tplc="74EAA5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314E4"/>
    <w:multiLevelType w:val="hybridMultilevel"/>
    <w:tmpl w:val="27F65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9E0388"/>
    <w:multiLevelType w:val="hybridMultilevel"/>
    <w:tmpl w:val="69D6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4651384"/>
    <w:multiLevelType w:val="hybridMultilevel"/>
    <w:tmpl w:val="FD52E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848506">
    <w:abstractNumId w:val="7"/>
  </w:num>
  <w:num w:numId="2" w16cid:durableId="95564284">
    <w:abstractNumId w:val="1"/>
  </w:num>
  <w:num w:numId="3" w16cid:durableId="1480611042">
    <w:abstractNumId w:val="8"/>
  </w:num>
  <w:num w:numId="4" w16cid:durableId="216358139">
    <w:abstractNumId w:val="9"/>
  </w:num>
  <w:num w:numId="5" w16cid:durableId="1977449629">
    <w:abstractNumId w:val="0"/>
  </w:num>
  <w:num w:numId="6" w16cid:durableId="1879051792">
    <w:abstractNumId w:val="11"/>
  </w:num>
  <w:num w:numId="7" w16cid:durableId="195893431">
    <w:abstractNumId w:val="6"/>
  </w:num>
  <w:num w:numId="8" w16cid:durableId="21199070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74022625">
    <w:abstractNumId w:val="2"/>
  </w:num>
  <w:num w:numId="10" w16cid:durableId="469714772">
    <w:abstractNumId w:val="4"/>
  </w:num>
  <w:num w:numId="11" w16cid:durableId="676347045">
    <w:abstractNumId w:val="3"/>
  </w:num>
  <w:num w:numId="12" w16cid:durableId="1205022963">
    <w:abstractNumId w:val="12"/>
  </w:num>
  <w:num w:numId="13" w16cid:durableId="761150376">
    <w:abstractNumId w:val="10"/>
  </w:num>
  <w:num w:numId="14" w16cid:durableId="269503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35BED"/>
    <w:rsid w:val="00061AD2"/>
    <w:rsid w:val="00061C9D"/>
    <w:rsid w:val="000826A6"/>
    <w:rsid w:val="00083952"/>
    <w:rsid w:val="000863D4"/>
    <w:rsid w:val="0008665F"/>
    <w:rsid w:val="00095AB5"/>
    <w:rsid w:val="000A6B88"/>
    <w:rsid w:val="000B3C4C"/>
    <w:rsid w:val="000B656F"/>
    <w:rsid w:val="000B6F82"/>
    <w:rsid w:val="000B72DF"/>
    <w:rsid w:val="000D1870"/>
    <w:rsid w:val="000D6714"/>
    <w:rsid w:val="000F0D1B"/>
    <w:rsid w:val="000F54AF"/>
    <w:rsid w:val="00104CDE"/>
    <w:rsid w:val="00115944"/>
    <w:rsid w:val="0012373E"/>
    <w:rsid w:val="00125180"/>
    <w:rsid w:val="00133C6F"/>
    <w:rsid w:val="001360A5"/>
    <w:rsid w:val="00151B19"/>
    <w:rsid w:val="00154C77"/>
    <w:rsid w:val="0016273A"/>
    <w:rsid w:val="001674BD"/>
    <w:rsid w:val="0017412F"/>
    <w:rsid w:val="0017759F"/>
    <w:rsid w:val="0019130B"/>
    <w:rsid w:val="001918CB"/>
    <w:rsid w:val="001A5256"/>
    <w:rsid w:val="001B3879"/>
    <w:rsid w:val="001C4978"/>
    <w:rsid w:val="001E7746"/>
    <w:rsid w:val="001F1218"/>
    <w:rsid w:val="002016B4"/>
    <w:rsid w:val="002055CF"/>
    <w:rsid w:val="00224F6C"/>
    <w:rsid w:val="00230967"/>
    <w:rsid w:val="00236778"/>
    <w:rsid w:val="00243EBB"/>
    <w:rsid w:val="00255C6B"/>
    <w:rsid w:val="00265D86"/>
    <w:rsid w:val="002750DC"/>
    <w:rsid w:val="00291CE8"/>
    <w:rsid w:val="00296127"/>
    <w:rsid w:val="00296765"/>
    <w:rsid w:val="002B3C3D"/>
    <w:rsid w:val="002B593E"/>
    <w:rsid w:val="002B6CD7"/>
    <w:rsid w:val="002D0A01"/>
    <w:rsid w:val="002F1F92"/>
    <w:rsid w:val="002F6F9E"/>
    <w:rsid w:val="00311C4B"/>
    <w:rsid w:val="0031295B"/>
    <w:rsid w:val="0033143E"/>
    <w:rsid w:val="00334C48"/>
    <w:rsid w:val="0034318F"/>
    <w:rsid w:val="0034552B"/>
    <w:rsid w:val="00346923"/>
    <w:rsid w:val="003725A1"/>
    <w:rsid w:val="003868A2"/>
    <w:rsid w:val="00392A5B"/>
    <w:rsid w:val="003A2AD3"/>
    <w:rsid w:val="003A6D70"/>
    <w:rsid w:val="003B1F86"/>
    <w:rsid w:val="003C393A"/>
    <w:rsid w:val="003C4627"/>
    <w:rsid w:val="003E6C1A"/>
    <w:rsid w:val="003E7959"/>
    <w:rsid w:val="003F778E"/>
    <w:rsid w:val="00404E20"/>
    <w:rsid w:val="0040640A"/>
    <w:rsid w:val="00406DB5"/>
    <w:rsid w:val="0042336D"/>
    <w:rsid w:val="00423DB9"/>
    <w:rsid w:val="0042534E"/>
    <w:rsid w:val="00457EAE"/>
    <w:rsid w:val="004768BE"/>
    <w:rsid w:val="00477F73"/>
    <w:rsid w:val="0048355A"/>
    <w:rsid w:val="0048671C"/>
    <w:rsid w:val="00490EC2"/>
    <w:rsid w:val="004D0AF2"/>
    <w:rsid w:val="004D27FF"/>
    <w:rsid w:val="004D3C53"/>
    <w:rsid w:val="004E2F3D"/>
    <w:rsid w:val="004F7F34"/>
    <w:rsid w:val="00512486"/>
    <w:rsid w:val="0052465B"/>
    <w:rsid w:val="00524CDD"/>
    <w:rsid w:val="005432AD"/>
    <w:rsid w:val="00547C68"/>
    <w:rsid w:val="00551C16"/>
    <w:rsid w:val="00553B0F"/>
    <w:rsid w:val="0056044E"/>
    <w:rsid w:val="00565A58"/>
    <w:rsid w:val="00566FC7"/>
    <w:rsid w:val="00576183"/>
    <w:rsid w:val="005768A5"/>
    <w:rsid w:val="00577909"/>
    <w:rsid w:val="00582E85"/>
    <w:rsid w:val="00584B97"/>
    <w:rsid w:val="005910B5"/>
    <w:rsid w:val="005A3133"/>
    <w:rsid w:val="005A6118"/>
    <w:rsid w:val="005A64DA"/>
    <w:rsid w:val="005B446E"/>
    <w:rsid w:val="005C1D83"/>
    <w:rsid w:val="005C4591"/>
    <w:rsid w:val="005D2158"/>
    <w:rsid w:val="005E4E46"/>
    <w:rsid w:val="005E650E"/>
    <w:rsid w:val="005E7C69"/>
    <w:rsid w:val="005E7FE7"/>
    <w:rsid w:val="005F2A71"/>
    <w:rsid w:val="005F7963"/>
    <w:rsid w:val="006059B4"/>
    <w:rsid w:val="00622D77"/>
    <w:rsid w:val="00627F34"/>
    <w:rsid w:val="00630FDF"/>
    <w:rsid w:val="00636B18"/>
    <w:rsid w:val="00637305"/>
    <w:rsid w:val="00637CA1"/>
    <w:rsid w:val="00647B84"/>
    <w:rsid w:val="00647CDD"/>
    <w:rsid w:val="00662334"/>
    <w:rsid w:val="00664522"/>
    <w:rsid w:val="0066617F"/>
    <w:rsid w:val="00666683"/>
    <w:rsid w:val="00673EDA"/>
    <w:rsid w:val="00674A16"/>
    <w:rsid w:val="00691E10"/>
    <w:rsid w:val="006A0481"/>
    <w:rsid w:val="006B408E"/>
    <w:rsid w:val="006B71F6"/>
    <w:rsid w:val="006C0EE8"/>
    <w:rsid w:val="006C2DE5"/>
    <w:rsid w:val="006C653F"/>
    <w:rsid w:val="006E3E4B"/>
    <w:rsid w:val="006F4780"/>
    <w:rsid w:val="006F7DFC"/>
    <w:rsid w:val="00704AF2"/>
    <w:rsid w:val="00707453"/>
    <w:rsid w:val="0070776C"/>
    <w:rsid w:val="00710E68"/>
    <w:rsid w:val="00714326"/>
    <w:rsid w:val="00714BA0"/>
    <w:rsid w:val="00715D2A"/>
    <w:rsid w:val="00725B82"/>
    <w:rsid w:val="007269B6"/>
    <w:rsid w:val="00726E7A"/>
    <w:rsid w:val="0073294A"/>
    <w:rsid w:val="00732E52"/>
    <w:rsid w:val="00742DA3"/>
    <w:rsid w:val="00745D7E"/>
    <w:rsid w:val="00750DF9"/>
    <w:rsid w:val="00752801"/>
    <w:rsid w:val="00765D4B"/>
    <w:rsid w:val="00785118"/>
    <w:rsid w:val="00785C47"/>
    <w:rsid w:val="00786BEB"/>
    <w:rsid w:val="00791F81"/>
    <w:rsid w:val="007A403E"/>
    <w:rsid w:val="007C77DD"/>
    <w:rsid w:val="007E3EA6"/>
    <w:rsid w:val="007F04AB"/>
    <w:rsid w:val="0080003E"/>
    <w:rsid w:val="008042E1"/>
    <w:rsid w:val="00804D63"/>
    <w:rsid w:val="00806B9D"/>
    <w:rsid w:val="00812777"/>
    <w:rsid w:val="0084129E"/>
    <w:rsid w:val="00843390"/>
    <w:rsid w:val="00846373"/>
    <w:rsid w:val="008568AE"/>
    <w:rsid w:val="00860590"/>
    <w:rsid w:val="008614E8"/>
    <w:rsid w:val="00867EDF"/>
    <w:rsid w:val="00875F0D"/>
    <w:rsid w:val="00877414"/>
    <w:rsid w:val="008800E8"/>
    <w:rsid w:val="008825E7"/>
    <w:rsid w:val="00896F6C"/>
    <w:rsid w:val="008A03B7"/>
    <w:rsid w:val="008A56F1"/>
    <w:rsid w:val="008A77A9"/>
    <w:rsid w:val="008B6991"/>
    <w:rsid w:val="008C2197"/>
    <w:rsid w:val="008C2FCB"/>
    <w:rsid w:val="008C3493"/>
    <w:rsid w:val="008D11A6"/>
    <w:rsid w:val="008D1F7B"/>
    <w:rsid w:val="008D2D64"/>
    <w:rsid w:val="008E21BE"/>
    <w:rsid w:val="008E41D5"/>
    <w:rsid w:val="008F6388"/>
    <w:rsid w:val="00902E07"/>
    <w:rsid w:val="00906D94"/>
    <w:rsid w:val="009122D0"/>
    <w:rsid w:val="00923B99"/>
    <w:rsid w:val="00935277"/>
    <w:rsid w:val="00947783"/>
    <w:rsid w:val="00947E4E"/>
    <w:rsid w:val="0095074B"/>
    <w:rsid w:val="00953933"/>
    <w:rsid w:val="00953EA0"/>
    <w:rsid w:val="00954FE8"/>
    <w:rsid w:val="0096524E"/>
    <w:rsid w:val="009726E0"/>
    <w:rsid w:val="00990822"/>
    <w:rsid w:val="009C4A31"/>
    <w:rsid w:val="009D0B68"/>
    <w:rsid w:val="009D2CAE"/>
    <w:rsid w:val="009D7C7A"/>
    <w:rsid w:val="009E00C2"/>
    <w:rsid w:val="009F66DB"/>
    <w:rsid w:val="009F6FD2"/>
    <w:rsid w:val="009F78D3"/>
    <w:rsid w:val="00A16E0B"/>
    <w:rsid w:val="00A3461F"/>
    <w:rsid w:val="00A4732A"/>
    <w:rsid w:val="00A507B1"/>
    <w:rsid w:val="00A57045"/>
    <w:rsid w:val="00A7166B"/>
    <w:rsid w:val="00A72DEB"/>
    <w:rsid w:val="00A771CA"/>
    <w:rsid w:val="00A816B8"/>
    <w:rsid w:val="00A83BA0"/>
    <w:rsid w:val="00A84F18"/>
    <w:rsid w:val="00A85045"/>
    <w:rsid w:val="00A95738"/>
    <w:rsid w:val="00A97B7D"/>
    <w:rsid w:val="00AA0D44"/>
    <w:rsid w:val="00AA4825"/>
    <w:rsid w:val="00AB33E1"/>
    <w:rsid w:val="00AC4214"/>
    <w:rsid w:val="00AC7277"/>
    <w:rsid w:val="00AD1646"/>
    <w:rsid w:val="00AD7AB4"/>
    <w:rsid w:val="00AE031F"/>
    <w:rsid w:val="00AF038B"/>
    <w:rsid w:val="00B078F6"/>
    <w:rsid w:val="00B24E49"/>
    <w:rsid w:val="00B26045"/>
    <w:rsid w:val="00B410F0"/>
    <w:rsid w:val="00B44C55"/>
    <w:rsid w:val="00B46A95"/>
    <w:rsid w:val="00B5114C"/>
    <w:rsid w:val="00B5123C"/>
    <w:rsid w:val="00B544C2"/>
    <w:rsid w:val="00B54B6C"/>
    <w:rsid w:val="00B5566F"/>
    <w:rsid w:val="00B627D8"/>
    <w:rsid w:val="00B70CC4"/>
    <w:rsid w:val="00B82FF2"/>
    <w:rsid w:val="00B921B7"/>
    <w:rsid w:val="00B9439D"/>
    <w:rsid w:val="00BB02DE"/>
    <w:rsid w:val="00BB371A"/>
    <w:rsid w:val="00BD784F"/>
    <w:rsid w:val="00BD7B25"/>
    <w:rsid w:val="00BE1AFF"/>
    <w:rsid w:val="00BE6F52"/>
    <w:rsid w:val="00BF74E9"/>
    <w:rsid w:val="00C1241D"/>
    <w:rsid w:val="00C247CB"/>
    <w:rsid w:val="00C360BD"/>
    <w:rsid w:val="00C476E1"/>
    <w:rsid w:val="00C52E77"/>
    <w:rsid w:val="00C566B3"/>
    <w:rsid w:val="00C65249"/>
    <w:rsid w:val="00C65749"/>
    <w:rsid w:val="00C67B32"/>
    <w:rsid w:val="00C75C83"/>
    <w:rsid w:val="00C86538"/>
    <w:rsid w:val="00CA3B23"/>
    <w:rsid w:val="00CA62F6"/>
    <w:rsid w:val="00CA7E9B"/>
    <w:rsid w:val="00CB0C1D"/>
    <w:rsid w:val="00CB4F40"/>
    <w:rsid w:val="00CC0399"/>
    <w:rsid w:val="00CC5AA2"/>
    <w:rsid w:val="00CC721A"/>
    <w:rsid w:val="00CD0963"/>
    <w:rsid w:val="00CD1724"/>
    <w:rsid w:val="00CD5C71"/>
    <w:rsid w:val="00CE04FA"/>
    <w:rsid w:val="00CE3BC0"/>
    <w:rsid w:val="00CE3D42"/>
    <w:rsid w:val="00CE53E6"/>
    <w:rsid w:val="00CE66B6"/>
    <w:rsid w:val="00CF3EF0"/>
    <w:rsid w:val="00CF6131"/>
    <w:rsid w:val="00D06EAA"/>
    <w:rsid w:val="00D2768F"/>
    <w:rsid w:val="00D36733"/>
    <w:rsid w:val="00D42BFC"/>
    <w:rsid w:val="00D455C0"/>
    <w:rsid w:val="00D471B5"/>
    <w:rsid w:val="00D5281F"/>
    <w:rsid w:val="00D53CC9"/>
    <w:rsid w:val="00D571DB"/>
    <w:rsid w:val="00D572B3"/>
    <w:rsid w:val="00D6774D"/>
    <w:rsid w:val="00D736A6"/>
    <w:rsid w:val="00D75191"/>
    <w:rsid w:val="00D80929"/>
    <w:rsid w:val="00D85254"/>
    <w:rsid w:val="00D92FCF"/>
    <w:rsid w:val="00DB5FF0"/>
    <w:rsid w:val="00DC14BE"/>
    <w:rsid w:val="00DC4FFC"/>
    <w:rsid w:val="00DE33EE"/>
    <w:rsid w:val="00DE79F7"/>
    <w:rsid w:val="00DF6BE4"/>
    <w:rsid w:val="00E157BC"/>
    <w:rsid w:val="00E479DD"/>
    <w:rsid w:val="00E50E4A"/>
    <w:rsid w:val="00E650D0"/>
    <w:rsid w:val="00E8095C"/>
    <w:rsid w:val="00E91F5F"/>
    <w:rsid w:val="00E94B70"/>
    <w:rsid w:val="00EB12DD"/>
    <w:rsid w:val="00EB153E"/>
    <w:rsid w:val="00EB57EB"/>
    <w:rsid w:val="00EC618E"/>
    <w:rsid w:val="00ED50CF"/>
    <w:rsid w:val="00F052F7"/>
    <w:rsid w:val="00F0768E"/>
    <w:rsid w:val="00F1070A"/>
    <w:rsid w:val="00F1152F"/>
    <w:rsid w:val="00F15FB3"/>
    <w:rsid w:val="00F207B3"/>
    <w:rsid w:val="00F514B3"/>
    <w:rsid w:val="00F5486B"/>
    <w:rsid w:val="00F63EAE"/>
    <w:rsid w:val="00F658E0"/>
    <w:rsid w:val="00F661D2"/>
    <w:rsid w:val="00F6794B"/>
    <w:rsid w:val="00F81783"/>
    <w:rsid w:val="00F859B7"/>
    <w:rsid w:val="00F877B4"/>
    <w:rsid w:val="00FB0924"/>
    <w:rsid w:val="00FB2783"/>
    <w:rsid w:val="00FB3DBC"/>
    <w:rsid w:val="00FB7314"/>
    <w:rsid w:val="00FC1C44"/>
    <w:rsid w:val="00FE749B"/>
    <w:rsid w:val="00FF2354"/>
    <w:rsid w:val="00FF636B"/>
    <w:rsid w:val="00FF6732"/>
    <w:rsid w:val="00FF694E"/>
    <w:rsid w:val="0FD2026A"/>
    <w:rsid w:val="116DD2CB"/>
    <w:rsid w:val="13B99E20"/>
    <w:rsid w:val="16E6C1A6"/>
    <w:rsid w:val="1A08387B"/>
    <w:rsid w:val="1F359B8A"/>
    <w:rsid w:val="27A9CCAC"/>
    <w:rsid w:val="2EF28DF4"/>
    <w:rsid w:val="4CC286E6"/>
    <w:rsid w:val="59F2C629"/>
    <w:rsid w:val="5A6BDDD7"/>
    <w:rsid w:val="5C3E917E"/>
    <w:rsid w:val="5E6BFA28"/>
    <w:rsid w:val="75B78174"/>
    <w:rsid w:val="7E268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B55DA9"/>
  <w15:chartTrackingRefBased/>
  <w15:docId w15:val="{1340C1F8-FAC0-4F09-9968-5B78B868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semiHidden/>
    <w:rsid w:val="00647B8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647B84"/>
  </w:style>
  <w:style w:type="paragraph" w:styleId="Revision">
    <w:name w:val="Revision"/>
    <w:hidden/>
    <w:uiPriority w:val="99"/>
    <w:semiHidden/>
    <w:rsid w:val="008A56F1"/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423DB9"/>
    <w:pPr>
      <w:tabs>
        <w:tab w:val="right" w:leader="dot" w:pos="12950"/>
      </w:tabs>
    </w:pPr>
  </w:style>
  <w:style w:type="character" w:styleId="UnresolvedMention">
    <w:name w:val="Unresolved Mention"/>
    <w:uiPriority w:val="99"/>
    <w:semiHidden/>
    <w:unhideWhenUsed/>
    <w:rsid w:val="00F514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295B"/>
    <w:pPr>
      <w:ind w:left="720"/>
      <w:contextualSpacing/>
    </w:pPr>
  </w:style>
  <w:style w:type="character" w:styleId="CommentReference">
    <w:name w:val="annotation reference"/>
    <w:basedOn w:val="DefaultParagraphFont"/>
    <w:rsid w:val="009D0B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9D0B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D0B68"/>
  </w:style>
  <w:style w:type="paragraph" w:styleId="CommentSubject">
    <w:name w:val="annotation subject"/>
    <w:basedOn w:val="CommentText"/>
    <w:next w:val="CommentText"/>
    <w:link w:val="CommentSubjectChar"/>
    <w:rsid w:val="009D0B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D0B68"/>
    <w:rPr>
      <w:b/>
      <w:bCs/>
    </w:rPr>
  </w:style>
  <w:style w:type="character" w:styleId="Mention">
    <w:name w:val="Mention"/>
    <w:basedOn w:val="DefaultParagraphFont"/>
    <w:uiPriority w:val="99"/>
    <w:unhideWhenUsed/>
    <w:rsid w:val="009D0B68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462E63-B45D-4EC3-B0F9-2E36B88773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2BC997-0F23-4AEF-9D53-4B06E26D0271}">
  <ds:schemaRefs>
    <ds:schemaRef ds:uri="http://schemas.microsoft.com/office/infopath/2007/PartnerControls"/>
    <ds:schemaRef ds:uri="http://schemas.microsoft.com/office/2006/metadata/properties"/>
    <ds:schemaRef ds:uri="http://purl.org/dc/terms/"/>
    <ds:schemaRef ds:uri="fad01eb7-d870-475a-9d28-789bb88fcc63"/>
    <ds:schemaRef ds:uri="http://schemas.microsoft.com/office/2006/documentManagement/types"/>
    <ds:schemaRef ds:uri="1e718eae-16bc-49f1-9e0a-85226ba39ba0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50A6A3D-501A-4EC0-A1DE-387272EA67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41C276-9AC4-4D3F-B17B-08BDE4264F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6</TotalTime>
  <Pages>1</Pages>
  <Words>427</Words>
  <Characters>3147</Characters>
  <Application>Microsoft Office Word</Application>
  <DocSecurity>2</DocSecurity>
  <Lines>26</Lines>
  <Paragraphs>7</Paragraphs>
  <ScaleCrop>false</ScaleCrop>
  <Company>Caremark RX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Davis, David P.</cp:lastModifiedBy>
  <cp:revision>9</cp:revision>
  <cp:lastPrinted>2007-01-03T16:56:00Z</cp:lastPrinted>
  <dcterms:created xsi:type="dcterms:W3CDTF">2025-01-22T20:40:00Z</dcterms:created>
  <dcterms:modified xsi:type="dcterms:W3CDTF">2025-01-22T20:56:00Z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2022-08-02T12:33:15Z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5a706a9c-6a97-461e-9876-69cc0c77d01a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