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0877" w14:textId="77777777" w:rsidR="00B339E0" w:rsidRDefault="00A34A1A" w:rsidP="00B339E0">
      <w:pPr>
        <w:spacing w:before="120" w:after="120"/>
        <w:outlineLvl w:val="0"/>
        <w:rPr>
          <w:rFonts w:ascii="Verdana" w:hAnsi="Verdana" w:cs="Arial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PeopleSafe - </w:t>
      </w:r>
      <w:r w:rsidR="003F2957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Replace a </w:t>
      </w:r>
      <w:r w:rsidR="00135A16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>Check</w:t>
      </w:r>
      <w:r w:rsidR="003F2957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 That</w:t>
      </w:r>
      <w:r w:rsidR="00135A16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 Has Not Been Cashed or Deposited (</w:t>
      </w:r>
      <w:r w:rsidR="003A2BE6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Considered </w:t>
      </w:r>
      <w:r w:rsidR="00135A16"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Lost or Stolen) </w:t>
      </w:r>
    </w:p>
    <w:p w14:paraId="33BA38F0" w14:textId="259E532F" w:rsidR="00882D64" w:rsidRPr="00882D64" w:rsidRDefault="00135A16" w:rsidP="00B339E0">
      <w:pPr>
        <w:spacing w:before="120" w:after="120"/>
        <w:outlineLvl w:val="0"/>
        <w:rPr>
          <w:rFonts w:ascii="Verdana" w:hAnsi="Verdana" w:cs="Arial"/>
          <w:b/>
          <w:bCs/>
          <w:color w:val="000000" w:themeColor="text1"/>
          <w:sz w:val="36"/>
          <w:szCs w:val="36"/>
        </w:rPr>
      </w:pPr>
      <w:r w:rsidRPr="2BAD3D1D">
        <w:rPr>
          <w:rFonts w:ascii="Verdana" w:hAnsi="Verdana" w:cs="Arial"/>
          <w:b/>
          <w:bCs/>
          <w:color w:val="000000" w:themeColor="text1"/>
          <w:sz w:val="36"/>
          <w:szCs w:val="36"/>
        </w:rPr>
        <w:t xml:space="preserve"> </w:t>
      </w:r>
    </w:p>
    <w:p w14:paraId="56FFBD2B" w14:textId="46EA8A41" w:rsidR="0091602E" w:rsidRPr="0091602E" w:rsidRDefault="003B70EE" w:rsidP="00B339E0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602E">
        <w:fldChar w:fldCharType="begin"/>
      </w:r>
      <w:r w:rsidRPr="0091602E">
        <w:instrText xml:space="preserve"> TOC \o "2-2" \n \p " " \h \z \u </w:instrText>
      </w:r>
      <w:r w:rsidRPr="0091602E">
        <w:fldChar w:fldCharType="separate"/>
      </w:r>
      <w:hyperlink w:anchor="_Toc99354145" w:history="1">
        <w:r w:rsidR="0091602E" w:rsidRPr="0091602E">
          <w:rPr>
            <w:rStyle w:val="Hyperlink"/>
            <w:rFonts w:ascii="Verdana" w:hAnsi="Verdana"/>
            <w:noProof/>
          </w:rPr>
          <w:t>Process</w:t>
        </w:r>
      </w:hyperlink>
    </w:p>
    <w:p w14:paraId="2C09035F" w14:textId="1AE1D080" w:rsidR="0091602E" w:rsidRPr="0091602E" w:rsidRDefault="00951859" w:rsidP="00B339E0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354146" w:history="1">
        <w:r w:rsidR="0091602E" w:rsidRPr="0091602E">
          <w:rPr>
            <w:rStyle w:val="Hyperlink"/>
            <w:rFonts w:ascii="Verdana" w:hAnsi="Verdana"/>
            <w:noProof/>
          </w:rPr>
          <w:t>Related Documents</w:t>
        </w:r>
      </w:hyperlink>
    </w:p>
    <w:p w14:paraId="24C85EB6" w14:textId="70D32ACD" w:rsidR="00882D64" w:rsidRPr="00882D64" w:rsidRDefault="003B70EE" w:rsidP="00B339E0">
      <w:pPr>
        <w:pStyle w:val="TOC2"/>
        <w:spacing w:before="120" w:after="120"/>
        <w:rPr>
          <w:rFonts w:ascii="Verdana" w:hAnsi="Verdana"/>
          <w:color w:val="000000"/>
          <w:sz w:val="22"/>
          <w:szCs w:val="22"/>
        </w:rPr>
      </w:pPr>
      <w:r w:rsidRPr="0091602E">
        <w:fldChar w:fldCharType="end"/>
      </w:r>
      <w:r w:rsidR="00782FD0">
        <w:t xml:space="preserve"> </w:t>
      </w:r>
      <w:bookmarkStart w:id="1" w:name="_Overview"/>
      <w:bookmarkEnd w:id="1"/>
    </w:p>
    <w:p w14:paraId="39A420EB" w14:textId="1998645A" w:rsidR="008B3752" w:rsidRPr="00B339E0" w:rsidRDefault="00B339E0" w:rsidP="00B339E0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044C54E0" wp14:editId="21A16836">
            <wp:extent cx="238125" cy="238125"/>
            <wp:effectExtent l="0" t="0" r="9525" b="9525"/>
            <wp:docPr id="835532852" name="Picture 1" descr="image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A024EB" w:rsidRPr="0091602E">
        <w:rPr>
          <w:rFonts w:ascii="Verdana" w:hAnsi="Verdana"/>
          <w:b/>
          <w:bCs/>
        </w:rPr>
        <w:t>Description:</w:t>
      </w:r>
      <w:r w:rsidR="00A024EB">
        <w:rPr>
          <w:rFonts w:ascii="Verdana" w:hAnsi="Verdana"/>
        </w:rPr>
        <w:t xml:space="preserve">  </w:t>
      </w:r>
      <w:bookmarkStart w:id="2" w:name="OLE_LINK1"/>
      <w:r w:rsidR="008B4C26" w:rsidRPr="00F713E1">
        <w:rPr>
          <w:rFonts w:ascii="Verdana" w:hAnsi="Verdana"/>
        </w:rPr>
        <w:t>Pr</w:t>
      </w:r>
      <w:r w:rsidR="000929B8" w:rsidRPr="00B339E0">
        <w:rPr>
          <w:rFonts w:ascii="Verdana" w:hAnsi="Verdana"/>
        </w:rPr>
        <w:t>ocedure</w:t>
      </w:r>
      <w:r w:rsidR="008B4C26" w:rsidRPr="00B339E0">
        <w:rPr>
          <w:rFonts w:ascii="Verdana" w:hAnsi="Verdana"/>
        </w:rPr>
        <w:t>s</w:t>
      </w:r>
      <w:r w:rsidR="000929B8" w:rsidRPr="00B339E0">
        <w:rPr>
          <w:rFonts w:ascii="Verdana" w:hAnsi="Verdana"/>
        </w:rPr>
        <w:t xml:space="preserve"> for replacing a check that is considered lost or stolen and has not been cashed or deposited. Details include stop payment requests, reissue timelines, and steps to initiate the process in PeopleSafe.</w:t>
      </w:r>
    </w:p>
    <w:p w14:paraId="5B3CA7A6" w14:textId="77777777" w:rsidR="00A34A1A" w:rsidRPr="000929B8" w:rsidRDefault="00A34A1A" w:rsidP="00B339E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882D64" w14:paraId="07CE2985" w14:textId="77777777" w:rsidTr="00B339E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90886B" w14:textId="77777777" w:rsidR="00882D64" w:rsidRPr="00882D64" w:rsidRDefault="00782FD0" w:rsidP="009160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99354145"/>
            <w:bookmarkEnd w:id="2"/>
            <w:r>
              <w:rPr>
                <w:rFonts w:ascii="Verdana" w:hAnsi="Verdana"/>
                <w:i w:val="0"/>
              </w:rPr>
              <w:t>Process</w:t>
            </w:r>
            <w:bookmarkEnd w:id="3"/>
            <w:r w:rsidR="00634A53">
              <w:rPr>
                <w:rFonts w:ascii="Verdana" w:hAnsi="Verdana"/>
                <w:i w:val="0"/>
              </w:rPr>
              <w:t xml:space="preserve"> </w:t>
            </w:r>
            <w:r w:rsidR="003F2957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10935E4" w14:textId="77777777" w:rsidR="00B339E0" w:rsidRPr="00B339E0" w:rsidRDefault="001F55B3" w:rsidP="00B339E0">
      <w:pPr>
        <w:pStyle w:val="ListParagraph"/>
        <w:numPr>
          <w:ilvl w:val="0"/>
          <w:numId w:val="36"/>
        </w:numPr>
        <w:spacing w:before="120" w:after="120" w:line="360" w:lineRule="auto"/>
        <w:rPr>
          <w:rFonts w:ascii="Verdana" w:hAnsi="Verdana" w:cs="Arial"/>
          <w:color w:val="000000"/>
        </w:rPr>
      </w:pPr>
      <w:r w:rsidRPr="00B339E0">
        <w:rPr>
          <w:rFonts w:ascii="Verdana" w:hAnsi="Verdana" w:cs="Arial"/>
          <w:color w:val="000000"/>
        </w:rPr>
        <w:t xml:space="preserve">A Stop Payment can be requested </w:t>
      </w:r>
      <w:r w:rsidR="00617785" w:rsidRPr="00B339E0">
        <w:rPr>
          <w:rFonts w:ascii="Verdana" w:hAnsi="Verdana" w:cs="Arial"/>
          <w:color w:val="000000"/>
        </w:rPr>
        <w:t xml:space="preserve">after </w:t>
      </w:r>
      <w:r w:rsidRPr="00B339E0">
        <w:rPr>
          <w:rFonts w:ascii="Verdana" w:hAnsi="Verdana" w:cs="Arial"/>
          <w:color w:val="000000"/>
        </w:rPr>
        <w:t>30 days from the issue date.</w:t>
      </w:r>
      <w:r w:rsidR="00C84069" w:rsidRPr="00B339E0">
        <w:rPr>
          <w:rFonts w:ascii="Verdana" w:hAnsi="Verdana" w:cs="Arial"/>
          <w:color w:val="000000"/>
        </w:rPr>
        <w:t xml:space="preserve"> </w:t>
      </w:r>
    </w:p>
    <w:p w14:paraId="7814B11A" w14:textId="0CBBD2B0" w:rsidR="00B339E0" w:rsidRPr="00B339E0" w:rsidRDefault="001F55B3" w:rsidP="00B339E0">
      <w:pPr>
        <w:pStyle w:val="ListParagraph"/>
        <w:numPr>
          <w:ilvl w:val="0"/>
          <w:numId w:val="36"/>
        </w:numPr>
        <w:spacing w:before="120" w:after="120" w:line="360" w:lineRule="auto"/>
        <w:rPr>
          <w:rFonts w:ascii="Verdana" w:hAnsi="Verdana" w:cs="Arial"/>
          <w:color w:val="000000"/>
        </w:rPr>
      </w:pPr>
      <w:r w:rsidRPr="00B339E0">
        <w:rPr>
          <w:rFonts w:ascii="Verdana" w:hAnsi="Verdana" w:cs="Arial"/>
          <w:color w:val="000000"/>
        </w:rPr>
        <w:t xml:space="preserve">The reissue </w:t>
      </w:r>
      <w:r w:rsidR="00AE3D9B" w:rsidRPr="00B339E0">
        <w:rPr>
          <w:rFonts w:ascii="Verdana" w:hAnsi="Verdana" w:cs="Arial"/>
          <w:color w:val="000000"/>
        </w:rPr>
        <w:t xml:space="preserve">process </w:t>
      </w:r>
      <w:r w:rsidRPr="00B339E0">
        <w:rPr>
          <w:rFonts w:ascii="Verdana" w:hAnsi="Verdana" w:cs="Arial"/>
          <w:color w:val="000000"/>
        </w:rPr>
        <w:t>can take up to 30 days</w:t>
      </w:r>
      <w:r w:rsidR="00AE3D9B" w:rsidRPr="00B339E0">
        <w:rPr>
          <w:rFonts w:ascii="Verdana" w:hAnsi="Verdana" w:cs="Arial"/>
          <w:color w:val="000000"/>
        </w:rPr>
        <w:t xml:space="preserve"> to complete</w:t>
      </w:r>
      <w:r w:rsidR="00B339E0" w:rsidRPr="00B339E0">
        <w:rPr>
          <w:rFonts w:ascii="Verdana" w:hAnsi="Verdana" w:cs="Arial"/>
          <w:color w:val="000000"/>
        </w:rPr>
        <w:t xml:space="preserve">. </w:t>
      </w:r>
    </w:p>
    <w:p w14:paraId="168D2884" w14:textId="1C8E6D13" w:rsidR="00B339E0" w:rsidRPr="00B339E0" w:rsidRDefault="00617785" w:rsidP="00B339E0">
      <w:pPr>
        <w:pStyle w:val="ListParagraph"/>
        <w:numPr>
          <w:ilvl w:val="0"/>
          <w:numId w:val="36"/>
        </w:numPr>
        <w:spacing w:before="120" w:after="120" w:line="360" w:lineRule="auto"/>
        <w:rPr>
          <w:rFonts w:ascii="Verdana" w:hAnsi="Verdana" w:cs="Arial"/>
          <w:color w:val="000000"/>
        </w:rPr>
      </w:pPr>
      <w:r w:rsidRPr="00B339E0">
        <w:rPr>
          <w:rFonts w:ascii="Verdana" w:hAnsi="Verdana" w:cs="Arial"/>
          <w:color w:val="000000"/>
        </w:rPr>
        <w:t xml:space="preserve">The average processing time is </w:t>
      </w:r>
      <w:r w:rsidRPr="00B339E0">
        <w:rPr>
          <w:rFonts w:ascii="Verdana" w:hAnsi="Verdana" w:cs="Arial"/>
          <w:b/>
          <w:color w:val="000000"/>
        </w:rPr>
        <w:t>3 business days</w:t>
      </w:r>
      <w:r w:rsidRPr="00B339E0">
        <w:rPr>
          <w:rFonts w:ascii="Verdana" w:hAnsi="Verdana" w:cs="Arial"/>
          <w:color w:val="000000"/>
        </w:rPr>
        <w:t xml:space="preserve"> for each task</w:t>
      </w:r>
      <w:r w:rsidR="00B339E0" w:rsidRPr="00B339E0">
        <w:rPr>
          <w:rFonts w:ascii="Verdana" w:hAnsi="Verdana" w:cs="Arial"/>
          <w:color w:val="000000"/>
        </w:rPr>
        <w:t xml:space="preserve">. </w:t>
      </w:r>
    </w:p>
    <w:p w14:paraId="0B1B9315" w14:textId="644DC50B" w:rsidR="00617785" w:rsidRPr="00B339E0" w:rsidRDefault="00617785" w:rsidP="00B339E0">
      <w:pPr>
        <w:pStyle w:val="ListParagraph"/>
        <w:numPr>
          <w:ilvl w:val="0"/>
          <w:numId w:val="36"/>
        </w:numPr>
        <w:spacing w:before="120" w:after="120" w:line="360" w:lineRule="auto"/>
        <w:rPr>
          <w:rFonts w:ascii="Verdana" w:hAnsi="Verdana"/>
          <w:color w:val="000000"/>
        </w:rPr>
      </w:pPr>
      <w:r w:rsidRPr="00B339E0">
        <w:rPr>
          <w:rFonts w:ascii="Verdana" w:hAnsi="Verdana"/>
          <w:color w:val="000000"/>
        </w:rPr>
        <w:t xml:space="preserve">If no further information is needed from the member, </w:t>
      </w:r>
      <w:r w:rsidR="0091602E" w:rsidRPr="00B339E0">
        <w:rPr>
          <w:rFonts w:ascii="Verdana" w:hAnsi="Verdana"/>
          <w:color w:val="000000"/>
        </w:rPr>
        <w:t>they</w:t>
      </w:r>
      <w:r w:rsidR="00CB5229" w:rsidRPr="00B339E0">
        <w:rPr>
          <w:rFonts w:ascii="Verdana" w:hAnsi="Verdana"/>
          <w:color w:val="000000"/>
        </w:rPr>
        <w:t xml:space="preserve"> </w:t>
      </w:r>
      <w:r w:rsidRPr="00B339E0">
        <w:rPr>
          <w:rFonts w:ascii="Verdana" w:hAnsi="Verdana"/>
          <w:color w:val="000000"/>
        </w:rPr>
        <w:t>should receive the reissued check within 8 weeks of task completion.</w:t>
      </w:r>
    </w:p>
    <w:p w14:paraId="3BE65636" w14:textId="77777777" w:rsidR="00ED1549" w:rsidRDefault="00ED1549" w:rsidP="0091602E">
      <w:pPr>
        <w:spacing w:before="120" w:after="120"/>
        <w:rPr>
          <w:rFonts w:ascii="Verdana" w:hAnsi="Verdana" w:cs="Arial"/>
          <w:color w:val="000000"/>
        </w:rPr>
      </w:pPr>
    </w:p>
    <w:p w14:paraId="79771096" w14:textId="28259A40" w:rsidR="00B339E0" w:rsidRPr="00B339E0" w:rsidRDefault="00ED1549" w:rsidP="0091602E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3B3583">
        <w:rPr>
          <w:rFonts w:ascii="Verdana" w:hAnsi="Verdana"/>
          <w:b/>
          <w:color w:val="000000" w:themeColor="text1"/>
        </w:rPr>
        <w:t xml:space="preserve">Note: </w:t>
      </w:r>
      <w:r>
        <w:rPr>
          <w:rFonts w:ascii="Verdana" w:hAnsi="Verdana"/>
          <w:color w:val="000000" w:themeColor="text1"/>
        </w:rPr>
        <w:t xml:space="preserve"> The check </w:t>
      </w:r>
      <w:r w:rsidR="00DF6247">
        <w:rPr>
          <w:rFonts w:ascii="Verdana" w:hAnsi="Verdana"/>
          <w:color w:val="000000" w:themeColor="text1"/>
        </w:rPr>
        <w:t>is</w:t>
      </w:r>
      <w:r>
        <w:rPr>
          <w:rFonts w:ascii="Verdana" w:hAnsi="Verdana"/>
          <w:color w:val="000000" w:themeColor="text1"/>
        </w:rPr>
        <w:t xml:space="preserve"> reissued to the cardholder’s name. If the caller asks to escalate, </w:t>
      </w:r>
      <w:r w:rsidR="0091602E">
        <w:rPr>
          <w:rFonts w:ascii="Verdana" w:hAnsi="Verdana"/>
          <w:color w:val="000000" w:themeColor="text1"/>
        </w:rPr>
        <w:t>warm transfer</w:t>
      </w:r>
      <w:r>
        <w:rPr>
          <w:rFonts w:ascii="Verdana" w:hAnsi="Verdana"/>
          <w:color w:val="000000" w:themeColor="text1"/>
        </w:rPr>
        <w:t xml:space="preserve"> to </w:t>
      </w:r>
      <w:r w:rsidR="00634A53">
        <w:rPr>
          <w:rFonts w:ascii="Verdana" w:hAnsi="Verdana"/>
          <w:color w:val="000000" w:themeColor="text1"/>
        </w:rPr>
        <w:t xml:space="preserve">the Senior Team </w:t>
      </w:r>
      <w:r w:rsidR="00634A53" w:rsidRPr="00634A53">
        <w:rPr>
          <w:rFonts w:ascii="Verdana" w:hAnsi="Verdana" w:cs="Verdana"/>
          <w:bCs/>
          <w:color w:val="000000"/>
        </w:rPr>
        <w:t>(</w:t>
      </w:r>
      <w:hyperlink r:id="rId12" w:anchor="!/view?docid=9eef064d-c7d7-42f7-9026-1497496b4d51" w:history="1">
        <w:r w:rsidR="00957E76">
          <w:rPr>
            <w:rStyle w:val="Hyperlink"/>
            <w:rFonts w:ascii="Verdana" w:hAnsi="Verdana" w:cs="Verdana"/>
            <w:bCs/>
          </w:rPr>
          <w:t>Com</w:t>
        </w:r>
        <w:r w:rsidR="00957E76">
          <w:rPr>
            <w:rStyle w:val="Hyperlink"/>
            <w:rFonts w:ascii="Verdana" w:hAnsi="Verdana" w:cs="Verdana"/>
            <w:bCs/>
          </w:rPr>
          <w:t>m</w:t>
        </w:r>
        <w:r w:rsidR="00957E76">
          <w:rPr>
            <w:rStyle w:val="Hyperlink"/>
            <w:rFonts w:ascii="Verdana" w:hAnsi="Verdana" w:cs="Verdana"/>
            <w:bCs/>
          </w:rPr>
          <w:t>ercial (16311)</w:t>
        </w:r>
      </w:hyperlink>
      <w:r w:rsidR="00634A53" w:rsidRPr="00634A53">
        <w:rPr>
          <w:rFonts w:ascii="Verdana" w:hAnsi="Verdana" w:cs="Verdana"/>
          <w:bCs/>
          <w:color w:val="000000"/>
        </w:rPr>
        <w:t xml:space="preserve"> or </w:t>
      </w:r>
      <w:hyperlink r:id="rId13" w:anchor="!/view?docid=d3ca13af-f894-45b7-b16a-f2cb777adf77" w:history="1">
        <w:r w:rsidR="00957E76">
          <w:rPr>
            <w:rStyle w:val="Hyperlink"/>
            <w:rFonts w:ascii="Verdana" w:hAnsi="Verdana" w:cs="Verdana"/>
            <w:bCs/>
          </w:rPr>
          <w:t>M</w:t>
        </w:r>
        <w:r w:rsidR="00957E76">
          <w:rPr>
            <w:rStyle w:val="Hyperlink"/>
            <w:rFonts w:ascii="Verdana" w:hAnsi="Verdana" w:cs="Verdana"/>
            <w:bCs/>
          </w:rPr>
          <w:t>E</w:t>
        </w:r>
        <w:r w:rsidR="00957E76">
          <w:rPr>
            <w:rStyle w:val="Hyperlink"/>
            <w:rFonts w:ascii="Verdana" w:hAnsi="Verdana" w:cs="Verdana"/>
            <w:bCs/>
          </w:rPr>
          <w:t>D D (18060)</w:t>
        </w:r>
      </w:hyperlink>
      <w:r w:rsidR="00B339E0" w:rsidRPr="00B339E0">
        <w:rPr>
          <w:rFonts w:ascii="Verdana" w:hAnsi="Verdana"/>
          <w:color w:val="000000"/>
        </w:rPr>
        <w:t>).</w:t>
      </w:r>
    </w:p>
    <w:p w14:paraId="4939D6D2" w14:textId="77777777" w:rsidR="00882D64" w:rsidRPr="00882D64" w:rsidRDefault="00882D64" w:rsidP="0091602E">
      <w:pPr>
        <w:spacing w:before="120" w:after="120"/>
        <w:rPr>
          <w:rFonts w:ascii="Verdana" w:hAnsi="Verdana"/>
          <w:color w:val="000000"/>
        </w:rPr>
      </w:pPr>
    </w:p>
    <w:p w14:paraId="6751AF98" w14:textId="77777777" w:rsidR="007A78B1" w:rsidRPr="007A78B1" w:rsidRDefault="007A78B1" w:rsidP="0091602E">
      <w:pPr>
        <w:spacing w:before="120" w:after="120"/>
        <w:rPr>
          <w:rFonts w:ascii="Verdana" w:hAnsi="Verdana"/>
          <w:color w:val="000000"/>
        </w:rPr>
      </w:pPr>
      <w:r w:rsidRPr="007A78B1">
        <w:rPr>
          <w:rFonts w:ascii="Verdana" w:hAnsi="Verdana"/>
          <w:color w:val="000000"/>
        </w:rPr>
        <w:t>Complete the steps below: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2106"/>
      </w:tblGrid>
      <w:tr w:rsidR="00B339E0" w14:paraId="312C08F0" w14:textId="77777777" w:rsidTr="00B339E0">
        <w:tc>
          <w:tcPr>
            <w:tcW w:w="326" w:type="pct"/>
            <w:shd w:val="clear" w:color="auto" w:fill="D9D9D9" w:themeFill="background1" w:themeFillShade="D9"/>
          </w:tcPr>
          <w:p w14:paraId="43CA3B67" w14:textId="77777777" w:rsidR="003F2957" w:rsidRPr="003F2957" w:rsidRDefault="003F2957" w:rsidP="0091602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3F2957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74" w:type="pct"/>
            <w:shd w:val="clear" w:color="auto" w:fill="D9D9D9" w:themeFill="background1" w:themeFillShade="D9"/>
          </w:tcPr>
          <w:p w14:paraId="4055A873" w14:textId="77777777" w:rsidR="003F2957" w:rsidRPr="003F2957" w:rsidRDefault="003F2957" w:rsidP="0091602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3F2957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B339E0" w14:paraId="2867DDC4" w14:textId="77777777" w:rsidTr="00B339E0">
        <w:tc>
          <w:tcPr>
            <w:tcW w:w="326" w:type="pct"/>
          </w:tcPr>
          <w:p w14:paraId="015FABC5" w14:textId="77777777" w:rsidR="003F2957" w:rsidRPr="003F2957" w:rsidRDefault="003F2957" w:rsidP="0091602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74" w:type="pct"/>
          </w:tcPr>
          <w:p w14:paraId="4E4D4A1B" w14:textId="459B590C" w:rsidR="003F2957" w:rsidRPr="005B6120" w:rsidRDefault="003F2957" w:rsidP="0091602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Access PeopleSafe and c</w:t>
            </w:r>
            <w:r w:rsidRPr="004F7EC6">
              <w:rPr>
                <w:rFonts w:ascii="Verdana" w:hAnsi="Verdana"/>
                <w:color w:val="000000"/>
              </w:rPr>
              <w:t xml:space="preserve">reate </w:t>
            </w:r>
            <w:r w:rsidR="00B339E0" w:rsidRPr="004F7EC6">
              <w:rPr>
                <w:rFonts w:ascii="Verdana" w:hAnsi="Verdana"/>
                <w:color w:val="000000"/>
              </w:rPr>
              <w:t>a</w:t>
            </w:r>
            <w:r w:rsidRPr="004F7EC6">
              <w:rPr>
                <w:rFonts w:ascii="Verdana" w:hAnsi="Verdana"/>
                <w:color w:val="000000"/>
              </w:rPr>
              <w:t xml:space="preserve"> </w:t>
            </w:r>
            <w:r w:rsidR="00B339E0">
              <w:rPr>
                <w:rFonts w:ascii="Verdana" w:hAnsi="Verdana"/>
                <w:color w:val="000000"/>
              </w:rPr>
              <w:t>Resolution Manager (</w:t>
            </w:r>
            <w:r w:rsidRPr="004F7EC6">
              <w:rPr>
                <w:rFonts w:ascii="Verdana" w:hAnsi="Verdana"/>
                <w:color w:val="000000"/>
              </w:rPr>
              <w:t>RM</w:t>
            </w:r>
            <w:r w:rsidR="00B339E0">
              <w:rPr>
                <w:rFonts w:ascii="Verdana" w:hAnsi="Verdana"/>
                <w:color w:val="000000"/>
              </w:rPr>
              <w:t>)</w:t>
            </w:r>
            <w:r w:rsidRPr="004F7EC6">
              <w:rPr>
                <w:rFonts w:ascii="Verdana" w:hAnsi="Verdana"/>
                <w:color w:val="000000"/>
              </w:rPr>
              <w:t xml:space="preserve"> </w:t>
            </w:r>
            <w:r w:rsidRPr="005B6120">
              <w:rPr>
                <w:rFonts w:ascii="Verdana" w:hAnsi="Verdana"/>
                <w:color w:val="000000"/>
              </w:rPr>
              <w:t>Task</w:t>
            </w:r>
            <w:r>
              <w:rPr>
                <w:rFonts w:ascii="Verdana" w:hAnsi="Verdana"/>
                <w:color w:val="000000"/>
              </w:rPr>
              <w:t xml:space="preserve"> as follows</w:t>
            </w:r>
            <w:r w:rsidRPr="005B6120">
              <w:rPr>
                <w:rFonts w:ascii="Verdana" w:hAnsi="Verdana"/>
                <w:color w:val="000000"/>
              </w:rPr>
              <w:t>:</w:t>
            </w:r>
          </w:p>
          <w:p w14:paraId="0620C7BA" w14:textId="77777777" w:rsidR="003F2957" w:rsidRPr="005B6120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28608E">
              <w:rPr>
                <w:rFonts w:ascii="Verdana" w:hAnsi="Verdana"/>
                <w:b/>
                <w:color w:val="000000"/>
              </w:rPr>
              <w:t>Task Category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>:</w:t>
            </w:r>
            <w:r w:rsidRPr="005B6120">
              <w:rPr>
                <w:rFonts w:ascii="Verdana" w:hAnsi="Verdana"/>
                <w:color w:val="000000"/>
              </w:rPr>
              <w:t xml:space="preserve">  Retail</w:t>
            </w:r>
          </w:p>
          <w:p w14:paraId="329AE850" w14:textId="77777777" w:rsidR="003F2957" w:rsidRPr="005B6120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28608E">
              <w:rPr>
                <w:rFonts w:ascii="Verdana" w:hAnsi="Verdana"/>
                <w:b/>
                <w:color w:val="000000"/>
              </w:rPr>
              <w:t>Task Type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>:</w:t>
            </w:r>
            <w:r w:rsidRPr="005B6120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</w:rPr>
              <w:t xml:space="preserve">Research/Reissue/Stop Payment   </w:t>
            </w:r>
          </w:p>
          <w:p w14:paraId="51FE6B51" w14:textId="1B25D77F" w:rsidR="003F2957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28608E">
              <w:rPr>
                <w:rFonts w:ascii="Verdana" w:hAnsi="Verdana"/>
                <w:b/>
                <w:color w:val="000000"/>
              </w:rPr>
              <w:t>Queue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5B6120">
              <w:rPr>
                <w:rFonts w:ascii="Verdana" w:hAnsi="Verdana"/>
                <w:color w:val="000000"/>
              </w:rPr>
              <w:t xml:space="preserve"> Member Payment</w:t>
            </w:r>
          </w:p>
        </w:tc>
      </w:tr>
      <w:tr w:rsidR="00B339E0" w14:paraId="1AAD7D31" w14:textId="77777777" w:rsidTr="00B339E0">
        <w:tc>
          <w:tcPr>
            <w:tcW w:w="326" w:type="pct"/>
          </w:tcPr>
          <w:p w14:paraId="33B36BCA" w14:textId="77777777" w:rsidR="003F2957" w:rsidRDefault="003F2957" w:rsidP="0091602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74" w:type="pct"/>
          </w:tcPr>
          <w:p w14:paraId="053AF815" w14:textId="77777777" w:rsidR="003F2957" w:rsidRPr="004F7EC6" w:rsidRDefault="003F2957" w:rsidP="0091602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4F7EC6">
              <w:rPr>
                <w:rFonts w:ascii="Verdana" w:hAnsi="Verdana"/>
                <w:color w:val="000000"/>
              </w:rPr>
              <w:t xml:space="preserve">Create a </w:t>
            </w:r>
            <w:r>
              <w:rPr>
                <w:rFonts w:ascii="Verdana" w:hAnsi="Verdana"/>
                <w:color w:val="000000"/>
              </w:rPr>
              <w:t>C</w:t>
            </w:r>
            <w:r w:rsidRPr="004F7EC6">
              <w:rPr>
                <w:rFonts w:ascii="Verdana" w:hAnsi="Verdana"/>
                <w:color w:val="000000"/>
              </w:rPr>
              <w:t>allback task</w:t>
            </w:r>
            <w:r>
              <w:rPr>
                <w:rFonts w:ascii="Verdana" w:hAnsi="Verdana"/>
                <w:color w:val="000000"/>
              </w:rPr>
              <w:t xml:space="preserve"> as follows</w:t>
            </w:r>
            <w:r w:rsidRPr="004F7EC6">
              <w:rPr>
                <w:rFonts w:ascii="Verdana" w:hAnsi="Verdana"/>
                <w:color w:val="000000"/>
              </w:rPr>
              <w:t>:</w:t>
            </w:r>
          </w:p>
          <w:p w14:paraId="424BECFC" w14:textId="77777777" w:rsidR="003F2957" w:rsidRPr="004F7EC6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28608E">
              <w:rPr>
                <w:rFonts w:ascii="Verdana" w:hAnsi="Verdana"/>
                <w:b/>
                <w:color w:val="000000"/>
              </w:rPr>
              <w:t>Task Category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4F7EC6">
              <w:rPr>
                <w:rFonts w:ascii="Verdana" w:hAnsi="Verdana"/>
                <w:color w:val="000000"/>
              </w:rPr>
              <w:t xml:space="preserve"> Customer Care Internal Process</w:t>
            </w:r>
          </w:p>
          <w:p w14:paraId="75CF5197" w14:textId="77777777" w:rsidR="003F2957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634A53">
              <w:rPr>
                <w:rFonts w:ascii="Verdana" w:hAnsi="Verdana"/>
                <w:b/>
                <w:color w:val="000000"/>
              </w:rPr>
              <w:t>Task Type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>:</w:t>
            </w:r>
            <w:r w:rsidRPr="00634A53">
              <w:rPr>
                <w:rFonts w:ascii="Verdana" w:hAnsi="Verdana"/>
                <w:color w:val="000000"/>
              </w:rPr>
              <w:t xml:space="preserve">  Participant Callback Request</w:t>
            </w:r>
          </w:p>
          <w:p w14:paraId="3DE1CE20" w14:textId="15C8EB12" w:rsidR="003F2957" w:rsidRPr="004F7EC6" w:rsidRDefault="003F2957" w:rsidP="00B339E0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634A53">
              <w:rPr>
                <w:rFonts w:ascii="Verdana" w:hAnsi="Verdana"/>
                <w:b/>
                <w:color w:val="000000"/>
              </w:rPr>
              <w:t>Queue</w:t>
            </w:r>
            <w:r w:rsidRPr="00B339E0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634A53">
              <w:rPr>
                <w:rFonts w:ascii="Verdana" w:hAnsi="Verdana"/>
                <w:color w:val="000000"/>
              </w:rPr>
              <w:t xml:space="preserve"> CC Internal Research/Richardson</w:t>
            </w:r>
          </w:p>
        </w:tc>
      </w:tr>
      <w:tr w:rsidR="00B339E0" w14:paraId="01D09D56" w14:textId="77777777" w:rsidTr="00B339E0">
        <w:tc>
          <w:tcPr>
            <w:tcW w:w="326" w:type="pct"/>
          </w:tcPr>
          <w:p w14:paraId="46A1B4D4" w14:textId="60483ED9" w:rsidR="0066397B" w:rsidRDefault="0066397B" w:rsidP="0091602E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74" w:type="pct"/>
          </w:tcPr>
          <w:p w14:paraId="2F57A166" w14:textId="0D6F5890" w:rsidR="003750B1" w:rsidRDefault="00B339E0" w:rsidP="003750B1">
            <w:pPr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1FD4094A" wp14:editId="6B62DD27">
                  <wp:extent cx="238125" cy="238125"/>
                  <wp:effectExtent l="0" t="0" r="9525" b="9525"/>
                  <wp:docPr id="263094640" name="Picture 3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750B1">
              <w:rPr>
                <w:noProof/>
              </w:rPr>
              <w:drawing>
                <wp:inline distT="0" distB="0" distL="0" distR="0" wp14:anchorId="59FBF6DA" wp14:editId="2FABE4EC">
                  <wp:extent cx="238125" cy="219075"/>
                  <wp:effectExtent l="0" t="0" r="9525" b="9525"/>
                  <wp:docPr id="911935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50B1">
              <w:rPr>
                <w:rFonts w:ascii="Verdana" w:hAnsi="Verdana"/>
                <w:color w:val="000000"/>
              </w:rPr>
              <w:t xml:space="preserve"> </w:t>
            </w:r>
            <w:r w:rsidR="003750B1" w:rsidRPr="535CC2D9">
              <w:rPr>
                <w:rFonts w:ascii="Verdana" w:eastAsia="Verdana" w:hAnsi="Verdana" w:cs="Verdana"/>
              </w:rPr>
              <w:t>When we reissue this check,</w:t>
            </w:r>
            <w:r w:rsidR="00443ADA">
              <w:rPr>
                <w:rFonts w:ascii="Verdana" w:eastAsia="Verdana" w:hAnsi="Verdana" w:cs="Verdana"/>
              </w:rPr>
              <w:t xml:space="preserve"> if there are any</w:t>
            </w:r>
            <w:r w:rsidR="003750B1" w:rsidRPr="535CC2D9">
              <w:rPr>
                <w:rFonts w:ascii="Verdana" w:eastAsia="Verdana" w:hAnsi="Verdana" w:cs="Verdana"/>
              </w:rPr>
              <w:t xml:space="preserve"> additional outstanding checks, we</w:t>
            </w:r>
            <w:r w:rsidR="003750B1">
              <w:rPr>
                <w:rFonts w:ascii="Verdana" w:eastAsia="Verdana" w:hAnsi="Verdana" w:cs="Verdana"/>
              </w:rPr>
              <w:t xml:space="preserve"> </w:t>
            </w:r>
            <w:r w:rsidR="003750B1" w:rsidRPr="535CC2D9">
              <w:rPr>
                <w:rFonts w:ascii="Verdana" w:eastAsia="Verdana" w:hAnsi="Verdana" w:cs="Verdana"/>
              </w:rPr>
              <w:t>will reissue those at the same time.</w:t>
            </w:r>
            <w:r w:rsidR="00443ADA">
              <w:rPr>
                <w:rFonts w:ascii="Verdana" w:eastAsia="Verdana" w:hAnsi="Verdana" w:cs="Verdana"/>
              </w:rPr>
              <w:t xml:space="preserve"> </w:t>
            </w:r>
            <w:r w:rsidR="003750B1" w:rsidRPr="535CC2D9">
              <w:rPr>
                <w:rFonts w:ascii="Verdana" w:eastAsia="Verdana" w:hAnsi="Verdana" w:cs="Verdana"/>
              </w:rPr>
              <w:t>If you locate any checks from us</w:t>
            </w:r>
            <w:r w:rsidR="000C28CE">
              <w:rPr>
                <w:rFonts w:ascii="Verdana" w:eastAsia="Verdana" w:hAnsi="Verdana" w:cs="Verdana"/>
              </w:rPr>
              <w:t xml:space="preserve"> that have not been cashed or deposited</w:t>
            </w:r>
            <w:r w:rsidR="003750B1" w:rsidRPr="535CC2D9">
              <w:rPr>
                <w:rFonts w:ascii="Verdana" w:eastAsia="Verdana" w:hAnsi="Verdana" w:cs="Verdana"/>
              </w:rPr>
              <w:t xml:space="preserve">, please do not deposit or cash those checks. Cashing or depositing the outstanding checks for reimbursements </w:t>
            </w:r>
            <w:r w:rsidR="00A81991">
              <w:rPr>
                <w:rFonts w:ascii="Verdana" w:eastAsia="Verdana" w:hAnsi="Verdana" w:cs="Verdana"/>
              </w:rPr>
              <w:t>may</w:t>
            </w:r>
            <w:r w:rsidR="003750B1" w:rsidRPr="535CC2D9">
              <w:rPr>
                <w:rFonts w:ascii="Verdana" w:eastAsia="Verdana" w:hAnsi="Verdana" w:cs="Verdana"/>
              </w:rPr>
              <w:t xml:space="preserve"> be returned and cause unnecessary fees from your financial institution. </w:t>
            </w:r>
          </w:p>
          <w:p w14:paraId="44A30E18" w14:textId="4FD79A20" w:rsidR="0066397B" w:rsidRPr="004F7EC6" w:rsidRDefault="0066397B" w:rsidP="0091602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06F5D197" w14:textId="143F7474" w:rsidR="00306AFB" w:rsidRDefault="00306AFB" w:rsidP="00B339E0">
      <w:pPr>
        <w:spacing w:before="120" w:after="120"/>
        <w:rPr>
          <w:rFonts w:ascii="Verdana" w:hAnsi="Verdana"/>
          <w:color w:val="000000"/>
        </w:rPr>
      </w:pPr>
    </w:p>
    <w:p w14:paraId="3AA865E7" w14:textId="4156A774" w:rsidR="00B339E0" w:rsidRPr="00B339E0" w:rsidRDefault="00B339E0" w:rsidP="00B339E0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B339E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992FEA" w14:paraId="19B4A906" w14:textId="77777777" w:rsidTr="00B339E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765557" w14:textId="77777777" w:rsidR="00882D64" w:rsidRPr="00992FEA" w:rsidRDefault="001F55B3" w:rsidP="0091602E">
            <w:pPr>
              <w:spacing w:before="120" w:after="12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4" w:name="_Toc531936775"/>
            <w:bookmarkStart w:id="5" w:name="_Toc99354146"/>
            <w:r>
              <w:rPr>
                <w:rFonts w:ascii="Verdana" w:hAnsi="Verdana"/>
                <w:b/>
                <w:bCs/>
                <w:sz w:val="28"/>
                <w:szCs w:val="28"/>
              </w:rPr>
              <w:t>Related</w:t>
            </w:r>
            <w:r w:rsidR="00882D64" w:rsidRPr="00992FEA">
              <w:rPr>
                <w:rFonts w:ascii="Verdana" w:hAnsi="Verdana"/>
                <w:b/>
                <w:bCs/>
                <w:sz w:val="28"/>
                <w:szCs w:val="28"/>
              </w:rPr>
              <w:t xml:space="preserve"> Documents</w:t>
            </w:r>
            <w:bookmarkEnd w:id="4"/>
            <w:bookmarkEnd w:id="5"/>
          </w:p>
        </w:tc>
      </w:tr>
    </w:tbl>
    <w:p w14:paraId="75E26D3D" w14:textId="1E29E9E9" w:rsidR="0091602E" w:rsidRDefault="00951859" w:rsidP="00B339E0">
      <w:pPr>
        <w:spacing w:before="120" w:after="120"/>
        <w:rPr>
          <w:rFonts w:ascii="Verdana" w:hAnsi="Verdana"/>
          <w:b/>
          <w:color w:val="000000" w:themeColor="text1"/>
        </w:rPr>
      </w:pPr>
      <w:hyperlink r:id="rId15" w:anchor="!/view?docid=c1f1028b-e42c-4b4f-a4cf-cc0b42c91606" w:history="1">
        <w:r w:rsidR="007317AA">
          <w:rPr>
            <w:rStyle w:val="Hyperlink"/>
            <w:rFonts w:ascii="Verdana" w:hAnsi="Verdana"/>
            <w:color w:val="003399"/>
          </w:rPr>
          <w:t>Customer Care Abbreviations and Definitions and</w:t>
        </w:r>
        <w:r w:rsidR="007317AA">
          <w:rPr>
            <w:rStyle w:val="Hyperlink"/>
            <w:rFonts w:ascii="Verdana" w:hAnsi="Verdana"/>
            <w:color w:val="003399"/>
          </w:rPr>
          <w:t xml:space="preserve"> </w:t>
        </w:r>
        <w:r w:rsidR="007317AA">
          <w:rPr>
            <w:rStyle w:val="Hyperlink"/>
            <w:rFonts w:ascii="Verdana" w:hAnsi="Verdana"/>
            <w:color w:val="003399"/>
          </w:rPr>
          <w:t>Terms</w:t>
        </w:r>
        <w:r w:rsidR="00E53BA8">
          <w:rPr>
            <w:rStyle w:val="Hyperlink"/>
            <w:rFonts w:ascii="Verdana" w:hAnsi="Verdana"/>
            <w:color w:val="003399"/>
          </w:rPr>
          <w:t xml:space="preserve"> Index</w:t>
        </w:r>
        <w:r w:rsidR="007317AA">
          <w:rPr>
            <w:rStyle w:val="Hyperlink"/>
            <w:rFonts w:ascii="Verdana" w:hAnsi="Verdana"/>
            <w:color w:val="003399"/>
          </w:rPr>
          <w:t xml:space="preserve"> (17428)</w:t>
        </w:r>
      </w:hyperlink>
    </w:p>
    <w:p w14:paraId="0A85A444" w14:textId="7116D764" w:rsidR="0091602E" w:rsidRDefault="00951859" w:rsidP="00B339E0">
      <w:pPr>
        <w:spacing w:before="120" w:after="120"/>
        <w:rPr>
          <w:rStyle w:val="Hyperlink"/>
        </w:rPr>
      </w:pPr>
      <w:hyperlink r:id="rId16" w:anchor="!/view?docid=bdac0c67-5fee-47ba-a3aa-aab84900cf78" w:history="1">
        <w:r w:rsidR="007317AA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</w:t>
        </w:r>
        <w:r w:rsidR="007317AA">
          <w:rPr>
            <w:rStyle w:val="Hyperlink"/>
            <w:rFonts w:ascii="Verdana" w:hAnsi="Verdana" w:cs="Helvetica"/>
            <w:bCs/>
            <w:shd w:val="clear" w:color="auto" w:fill="FFFFFF"/>
          </w:rPr>
          <w:t xml:space="preserve"> </w:t>
        </w:r>
        <w:r w:rsidR="007317AA">
          <w:rPr>
            <w:rStyle w:val="Hyperlink"/>
            <w:rFonts w:ascii="Verdana" w:hAnsi="Verdana" w:cs="Helvetica"/>
            <w:bCs/>
            <w:shd w:val="clear" w:color="auto" w:fill="FFFFFF"/>
          </w:rPr>
          <w:t>(5164)</w:t>
        </w:r>
      </w:hyperlink>
    </w:p>
    <w:p w14:paraId="2138F2C8" w14:textId="4D6C3611" w:rsidR="0091602E" w:rsidRDefault="00951859" w:rsidP="00B339E0">
      <w:pPr>
        <w:spacing w:before="120" w:after="120"/>
        <w:rPr>
          <w:rStyle w:val="Hyperlink"/>
          <w:rFonts w:ascii="Verdana" w:hAnsi="Verdana"/>
        </w:rPr>
      </w:pPr>
      <w:hyperlink r:id="rId17" w:anchor="!/view?docid=b529fcee-1566-4001-a703-ce8b63186cb2" w:history="1">
        <w:r w:rsidR="007317AA">
          <w:rPr>
            <w:rStyle w:val="Hyperlink"/>
            <w:rFonts w:ascii="Verdana" w:hAnsi="Verdana"/>
          </w:rPr>
          <w:t>Refund Stop Payment Check Reissu</w:t>
        </w:r>
        <w:r w:rsidR="007317AA">
          <w:rPr>
            <w:rStyle w:val="Hyperlink"/>
            <w:rFonts w:ascii="Verdana" w:hAnsi="Verdana"/>
          </w:rPr>
          <w:t>e</w:t>
        </w:r>
        <w:r w:rsidR="007317AA">
          <w:rPr>
            <w:rStyle w:val="Hyperlink"/>
            <w:rFonts w:ascii="Verdana" w:hAnsi="Verdana"/>
          </w:rPr>
          <w:t xml:space="preserve"> (4580)</w:t>
        </w:r>
      </w:hyperlink>
    </w:p>
    <w:p w14:paraId="411F51EE" w14:textId="77777777" w:rsidR="00B339E0" w:rsidRDefault="00B339E0" w:rsidP="00B339E0">
      <w:pPr>
        <w:spacing w:before="120" w:after="120"/>
        <w:rPr>
          <w:rFonts w:ascii="Verdana" w:hAnsi="Verdana"/>
          <w:b/>
          <w:color w:val="000000" w:themeColor="text1"/>
        </w:rPr>
      </w:pPr>
    </w:p>
    <w:p w14:paraId="5601C69B" w14:textId="77777777" w:rsidR="00B339E0" w:rsidRDefault="0028608E" w:rsidP="00B339E0">
      <w:pPr>
        <w:spacing w:before="120" w:after="120"/>
        <w:rPr>
          <w:rFonts w:ascii="Verdana" w:hAnsi="Verdana"/>
          <w:b/>
          <w:color w:val="000000" w:themeColor="text1"/>
        </w:rPr>
      </w:pPr>
      <w:r w:rsidRPr="001F55B3">
        <w:rPr>
          <w:rFonts w:ascii="Verdana" w:hAnsi="Verdana"/>
          <w:b/>
          <w:color w:val="000000" w:themeColor="text1"/>
        </w:rPr>
        <w:t>Parent Documents:</w:t>
      </w:r>
      <w:r>
        <w:rPr>
          <w:rFonts w:ascii="Verdana" w:hAnsi="Verdana"/>
          <w:b/>
          <w:color w:val="000000" w:themeColor="text1"/>
        </w:rPr>
        <w:t xml:space="preserve">  </w:t>
      </w:r>
    </w:p>
    <w:p w14:paraId="0716346F" w14:textId="265B3650" w:rsidR="00B339E0" w:rsidRDefault="00951859" w:rsidP="00B339E0">
      <w:pPr>
        <w:spacing w:before="120" w:after="120"/>
        <w:rPr>
          <w:rFonts w:ascii="Verdana" w:hAnsi="Verdana"/>
          <w:color w:val="0000FF"/>
        </w:rPr>
      </w:pPr>
      <w:hyperlink r:id="rId18" w:tgtFrame="_blank" w:history="1">
        <w:r w:rsidR="0028608E" w:rsidRPr="00882D64">
          <w:rPr>
            <w:rFonts w:ascii="Verdana" w:hAnsi="Verdana"/>
            <w:color w:val="0000FF"/>
            <w:u w:val="single"/>
          </w:rPr>
          <w:t xml:space="preserve">CALL 0049 Customer Care </w:t>
        </w:r>
        <w:r w:rsidR="0028608E" w:rsidRPr="00882D64">
          <w:rPr>
            <w:rFonts w:ascii="Verdana" w:hAnsi="Verdana"/>
            <w:color w:val="0000FF"/>
            <w:u w:val="single"/>
          </w:rPr>
          <w:t>I</w:t>
        </w:r>
        <w:r w:rsidR="0028608E" w:rsidRPr="00882D64">
          <w:rPr>
            <w:rFonts w:ascii="Verdana" w:hAnsi="Verdana"/>
            <w:color w:val="0000FF"/>
            <w:u w:val="single"/>
          </w:rPr>
          <w:t>nternal and External Call Handling</w:t>
        </w:r>
      </w:hyperlink>
    </w:p>
    <w:p w14:paraId="7113A720" w14:textId="1CAF2B20" w:rsidR="00882D64" w:rsidRDefault="00951859" w:rsidP="00B339E0">
      <w:pPr>
        <w:spacing w:before="120" w:after="120"/>
        <w:rPr>
          <w:rFonts w:ascii="Verdana" w:hAnsi="Verdana"/>
          <w:color w:val="0000FF"/>
          <w:u w:val="single"/>
        </w:rPr>
      </w:pPr>
      <w:hyperlink r:id="rId19" w:tgtFrame="_blank" w:history="1">
        <w:r w:rsidR="0028608E" w:rsidRPr="00882D64">
          <w:rPr>
            <w:rFonts w:ascii="Verdana" w:hAnsi="Verdana"/>
            <w:color w:val="0000FF"/>
            <w:u w:val="single"/>
          </w:rPr>
          <w:t>CALL-0011 – Authentica</w:t>
        </w:r>
        <w:r w:rsidR="0028608E" w:rsidRPr="00882D64">
          <w:rPr>
            <w:rFonts w:ascii="Verdana" w:hAnsi="Verdana"/>
            <w:color w:val="0000FF"/>
            <w:u w:val="single"/>
          </w:rPr>
          <w:t>t</w:t>
        </w:r>
        <w:r w:rsidR="0028608E" w:rsidRPr="00882D64">
          <w:rPr>
            <w:rFonts w:ascii="Verdana" w:hAnsi="Verdana"/>
            <w:color w:val="0000FF"/>
            <w:u w:val="single"/>
          </w:rPr>
          <w:t>ing Callers</w:t>
        </w:r>
      </w:hyperlink>
    </w:p>
    <w:p w14:paraId="5672F67C" w14:textId="77777777" w:rsidR="00951859" w:rsidRDefault="00951859" w:rsidP="00B339E0">
      <w:pPr>
        <w:spacing w:before="120" w:after="120"/>
        <w:rPr>
          <w:rFonts w:ascii="Verdana" w:hAnsi="Verdana"/>
          <w:color w:val="0000FF"/>
          <w:u w:val="single"/>
        </w:rPr>
      </w:pPr>
    </w:p>
    <w:p w14:paraId="6CA3518B" w14:textId="10C28B50" w:rsidR="00951859" w:rsidRPr="00951859" w:rsidRDefault="00951859" w:rsidP="00951859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951859">
          <w:rPr>
            <w:rStyle w:val="Hyperlink"/>
            <w:rFonts w:ascii="Verdana" w:hAnsi="Verdana"/>
          </w:rPr>
          <w:t>Top of the Document</w:t>
        </w:r>
      </w:hyperlink>
    </w:p>
    <w:p w14:paraId="76E64720" w14:textId="77777777" w:rsidR="00882D64" w:rsidRPr="00882D64" w:rsidRDefault="00882D64" w:rsidP="00B339E0">
      <w:pPr>
        <w:spacing w:before="120" w:after="120"/>
        <w:jc w:val="right"/>
        <w:rPr>
          <w:rFonts w:ascii="Verdana" w:hAnsi="Verdana"/>
          <w:color w:val="000000"/>
          <w:sz w:val="22"/>
          <w:szCs w:val="22"/>
        </w:rPr>
      </w:pPr>
    </w:p>
    <w:p w14:paraId="7B4380B8" w14:textId="77777777" w:rsidR="00882D64" w:rsidRPr="00882D64" w:rsidRDefault="00882D64" w:rsidP="00B339E0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bookmarkStart w:id="6" w:name="_FAQs_1"/>
      <w:bookmarkEnd w:id="6"/>
      <w:r w:rsidRPr="00882D6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67AE1AD6" w14:textId="77777777" w:rsidR="00882D64" w:rsidRPr="00882D64" w:rsidRDefault="00882D64" w:rsidP="00B339E0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882D6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1D4877A9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A6B6" w14:textId="77777777" w:rsidR="00123E7B" w:rsidRDefault="00123E7B">
      <w:r>
        <w:separator/>
      </w:r>
    </w:p>
  </w:endnote>
  <w:endnote w:type="continuationSeparator" w:id="0">
    <w:p w14:paraId="6563EDE3" w14:textId="77777777" w:rsidR="00123E7B" w:rsidRDefault="00123E7B">
      <w:r>
        <w:continuationSeparator/>
      </w:r>
    </w:p>
  </w:endnote>
  <w:endnote w:type="continuationNotice" w:id="1">
    <w:p w14:paraId="4F912E49" w14:textId="77777777" w:rsidR="00C92AB1" w:rsidRDefault="00C92A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0BCD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4787F2" w14:textId="77777777" w:rsidR="00882D64" w:rsidRDefault="00882D6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68D1" w14:textId="77777777" w:rsidR="00882D64" w:rsidRPr="00245D49" w:rsidRDefault="00882D6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3974" w14:textId="77777777" w:rsidR="00882D64" w:rsidRPr="00CD2229" w:rsidRDefault="00882D6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FC2C" w14:textId="77777777" w:rsidR="00123E7B" w:rsidRDefault="00123E7B">
      <w:r>
        <w:separator/>
      </w:r>
    </w:p>
  </w:footnote>
  <w:footnote w:type="continuationSeparator" w:id="0">
    <w:p w14:paraId="11D8B067" w14:textId="77777777" w:rsidR="00123E7B" w:rsidRDefault="00123E7B">
      <w:r>
        <w:continuationSeparator/>
      </w:r>
    </w:p>
  </w:footnote>
  <w:footnote w:type="continuationNotice" w:id="1">
    <w:p w14:paraId="4E9EDFE2" w14:textId="77777777" w:rsidR="00C92AB1" w:rsidRDefault="00C92A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90C4" w14:textId="77777777" w:rsidR="00882D64" w:rsidRDefault="00882D6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 - Important Information" style="width:18.75pt;height:16.5pt;visibility:visible" o:bullet="t">
        <v:imagedata r:id="rId1" o:title="Icon - Important Information"/>
      </v:shape>
    </w:pict>
  </w:numPicBullet>
  <w:abstractNum w:abstractNumId="0" w15:restartNumberingAfterBreak="0">
    <w:nsid w:val="00D643D3"/>
    <w:multiLevelType w:val="hybridMultilevel"/>
    <w:tmpl w:val="18C2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6EA"/>
    <w:multiLevelType w:val="hybridMultilevel"/>
    <w:tmpl w:val="185E0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20916"/>
    <w:multiLevelType w:val="hybridMultilevel"/>
    <w:tmpl w:val="AA32BC9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6C31D34"/>
    <w:multiLevelType w:val="hybridMultilevel"/>
    <w:tmpl w:val="6BF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2444F"/>
    <w:multiLevelType w:val="hybridMultilevel"/>
    <w:tmpl w:val="317E2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A17CF"/>
    <w:multiLevelType w:val="hybridMultilevel"/>
    <w:tmpl w:val="383CCE62"/>
    <w:lvl w:ilvl="0" w:tplc="FD42830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04A5"/>
    <w:multiLevelType w:val="hybridMultilevel"/>
    <w:tmpl w:val="B798D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B0BAB"/>
    <w:multiLevelType w:val="hybridMultilevel"/>
    <w:tmpl w:val="A3126C52"/>
    <w:lvl w:ilvl="0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B4F80"/>
    <w:multiLevelType w:val="hybridMultilevel"/>
    <w:tmpl w:val="EC20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4F29AC"/>
    <w:multiLevelType w:val="hybridMultilevel"/>
    <w:tmpl w:val="DC32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655C"/>
    <w:multiLevelType w:val="hybridMultilevel"/>
    <w:tmpl w:val="7FF2F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0165C"/>
    <w:multiLevelType w:val="hybridMultilevel"/>
    <w:tmpl w:val="1BF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C29BD"/>
    <w:multiLevelType w:val="hybridMultilevel"/>
    <w:tmpl w:val="ED6CC76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3" w15:restartNumberingAfterBreak="0">
    <w:nsid w:val="342C273B"/>
    <w:multiLevelType w:val="hybridMultilevel"/>
    <w:tmpl w:val="6CEAB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62EEC"/>
    <w:multiLevelType w:val="hybridMultilevel"/>
    <w:tmpl w:val="B6BC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A3481"/>
    <w:multiLevelType w:val="hybridMultilevel"/>
    <w:tmpl w:val="06E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E259B"/>
    <w:multiLevelType w:val="hybridMultilevel"/>
    <w:tmpl w:val="A75CF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264C9E"/>
    <w:multiLevelType w:val="hybridMultilevel"/>
    <w:tmpl w:val="DA20B8D4"/>
    <w:lvl w:ilvl="0" w:tplc="A6DA6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142C0"/>
    <w:multiLevelType w:val="hybridMultilevel"/>
    <w:tmpl w:val="7D7A47F4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661F"/>
    <w:multiLevelType w:val="hybridMultilevel"/>
    <w:tmpl w:val="F55A079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0" w15:restartNumberingAfterBreak="0">
    <w:nsid w:val="47F305B6"/>
    <w:multiLevelType w:val="hybridMultilevel"/>
    <w:tmpl w:val="8B246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A6C3E"/>
    <w:multiLevelType w:val="hybridMultilevel"/>
    <w:tmpl w:val="B4548D74"/>
    <w:lvl w:ilvl="0" w:tplc="DA0EE9B0">
      <w:start w:val="3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B7294"/>
    <w:multiLevelType w:val="hybridMultilevel"/>
    <w:tmpl w:val="E1D8D630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430"/>
    <w:multiLevelType w:val="hybridMultilevel"/>
    <w:tmpl w:val="966AC3C0"/>
    <w:lvl w:ilvl="0" w:tplc="04090019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4" w15:restartNumberingAfterBreak="0">
    <w:nsid w:val="538963D8"/>
    <w:multiLevelType w:val="hybridMultilevel"/>
    <w:tmpl w:val="4A12EACE"/>
    <w:lvl w:ilvl="0" w:tplc="CE0C26C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564FF"/>
    <w:multiLevelType w:val="hybridMultilevel"/>
    <w:tmpl w:val="A5E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193902"/>
    <w:multiLevelType w:val="hybridMultilevel"/>
    <w:tmpl w:val="A38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A5CCF"/>
    <w:multiLevelType w:val="hybridMultilevel"/>
    <w:tmpl w:val="E9DC3C24"/>
    <w:lvl w:ilvl="0" w:tplc="F81CDA0E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1E1024"/>
    <w:multiLevelType w:val="hybridMultilevel"/>
    <w:tmpl w:val="735A9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964AC"/>
    <w:multiLevelType w:val="hybridMultilevel"/>
    <w:tmpl w:val="39E0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F6510"/>
    <w:multiLevelType w:val="hybridMultilevel"/>
    <w:tmpl w:val="BFCEE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1E5D3C"/>
    <w:multiLevelType w:val="hybridMultilevel"/>
    <w:tmpl w:val="4342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04609"/>
    <w:multiLevelType w:val="hybridMultilevel"/>
    <w:tmpl w:val="1D90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D0811"/>
    <w:multiLevelType w:val="hybridMultilevel"/>
    <w:tmpl w:val="494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70250"/>
    <w:multiLevelType w:val="hybridMultilevel"/>
    <w:tmpl w:val="0A3634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956924"/>
    <w:multiLevelType w:val="hybridMultilevel"/>
    <w:tmpl w:val="A670A1BE"/>
    <w:lvl w:ilvl="0" w:tplc="4534381C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1483">
    <w:abstractNumId w:val="3"/>
  </w:num>
  <w:num w:numId="2" w16cid:durableId="195240989">
    <w:abstractNumId w:val="27"/>
  </w:num>
  <w:num w:numId="3" w16cid:durableId="127206963">
    <w:abstractNumId w:val="11"/>
  </w:num>
  <w:num w:numId="4" w16cid:durableId="417292898">
    <w:abstractNumId w:val="32"/>
  </w:num>
  <w:num w:numId="5" w16cid:durableId="2011523956">
    <w:abstractNumId w:val="33"/>
  </w:num>
  <w:num w:numId="6" w16cid:durableId="1125394729">
    <w:abstractNumId w:val="16"/>
  </w:num>
  <w:num w:numId="7" w16cid:durableId="1942033559">
    <w:abstractNumId w:val="7"/>
  </w:num>
  <w:num w:numId="8" w16cid:durableId="1357149512">
    <w:abstractNumId w:val="20"/>
  </w:num>
  <w:num w:numId="9" w16cid:durableId="268853712">
    <w:abstractNumId w:val="1"/>
  </w:num>
  <w:num w:numId="10" w16cid:durableId="1753820208">
    <w:abstractNumId w:val="34"/>
  </w:num>
  <w:num w:numId="11" w16cid:durableId="45378565">
    <w:abstractNumId w:val="4"/>
  </w:num>
  <w:num w:numId="12" w16cid:durableId="777532000">
    <w:abstractNumId w:val="8"/>
  </w:num>
  <w:num w:numId="13" w16cid:durableId="795635743">
    <w:abstractNumId w:val="17"/>
  </w:num>
  <w:num w:numId="14" w16cid:durableId="860901053">
    <w:abstractNumId w:val="18"/>
  </w:num>
  <w:num w:numId="15" w16cid:durableId="1530030014">
    <w:abstractNumId w:val="5"/>
  </w:num>
  <w:num w:numId="16" w16cid:durableId="20132628">
    <w:abstractNumId w:val="31"/>
  </w:num>
  <w:num w:numId="17" w16cid:durableId="859898022">
    <w:abstractNumId w:val="30"/>
  </w:num>
  <w:num w:numId="18" w16cid:durableId="623582201">
    <w:abstractNumId w:val="2"/>
  </w:num>
  <w:num w:numId="19" w16cid:durableId="1701708748">
    <w:abstractNumId w:val="0"/>
  </w:num>
  <w:num w:numId="20" w16cid:durableId="998079753">
    <w:abstractNumId w:val="13"/>
  </w:num>
  <w:num w:numId="21" w16cid:durableId="75710620">
    <w:abstractNumId w:val="6"/>
  </w:num>
  <w:num w:numId="22" w16cid:durableId="455834755">
    <w:abstractNumId w:val="28"/>
  </w:num>
  <w:num w:numId="23" w16cid:durableId="1820611560">
    <w:abstractNumId w:val="23"/>
  </w:num>
  <w:num w:numId="24" w16cid:durableId="1965456805">
    <w:abstractNumId w:val="12"/>
  </w:num>
  <w:num w:numId="25" w16cid:durableId="560412123">
    <w:abstractNumId w:val="10"/>
  </w:num>
  <w:num w:numId="26" w16cid:durableId="2090997037">
    <w:abstractNumId w:val="19"/>
  </w:num>
  <w:num w:numId="27" w16cid:durableId="1050304376">
    <w:abstractNumId w:val="24"/>
  </w:num>
  <w:num w:numId="28" w16cid:durableId="1292857794">
    <w:abstractNumId w:val="22"/>
  </w:num>
  <w:num w:numId="29" w16cid:durableId="1690401322">
    <w:abstractNumId w:val="21"/>
  </w:num>
  <w:num w:numId="30" w16cid:durableId="805005066">
    <w:abstractNumId w:val="35"/>
  </w:num>
  <w:num w:numId="31" w16cid:durableId="1570311854">
    <w:abstractNumId w:val="9"/>
  </w:num>
  <w:num w:numId="32" w16cid:durableId="1935286234">
    <w:abstractNumId w:val="25"/>
  </w:num>
  <w:num w:numId="33" w16cid:durableId="1025668517">
    <w:abstractNumId w:val="26"/>
  </w:num>
  <w:num w:numId="34" w16cid:durableId="563956713">
    <w:abstractNumId w:val="15"/>
  </w:num>
  <w:num w:numId="35" w16cid:durableId="1777213905">
    <w:abstractNumId w:val="29"/>
  </w:num>
  <w:num w:numId="36" w16cid:durableId="156324836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5F7"/>
    <w:rsid w:val="00015A2E"/>
    <w:rsid w:val="00035BED"/>
    <w:rsid w:val="00044013"/>
    <w:rsid w:val="00061AD2"/>
    <w:rsid w:val="0008665F"/>
    <w:rsid w:val="000929B8"/>
    <w:rsid w:val="00095AB5"/>
    <w:rsid w:val="000A0521"/>
    <w:rsid w:val="000A6B88"/>
    <w:rsid w:val="000B3C4C"/>
    <w:rsid w:val="000B656F"/>
    <w:rsid w:val="000B72DF"/>
    <w:rsid w:val="000C28CE"/>
    <w:rsid w:val="000D1870"/>
    <w:rsid w:val="000D3371"/>
    <w:rsid w:val="000D6714"/>
    <w:rsid w:val="000F0D1B"/>
    <w:rsid w:val="000F4459"/>
    <w:rsid w:val="00115944"/>
    <w:rsid w:val="0012373E"/>
    <w:rsid w:val="00123E7B"/>
    <w:rsid w:val="00135A16"/>
    <w:rsid w:val="001360A5"/>
    <w:rsid w:val="001560C4"/>
    <w:rsid w:val="0016273A"/>
    <w:rsid w:val="00170AB8"/>
    <w:rsid w:val="00176400"/>
    <w:rsid w:val="00192D50"/>
    <w:rsid w:val="001B3879"/>
    <w:rsid w:val="001C7CC2"/>
    <w:rsid w:val="001E0D12"/>
    <w:rsid w:val="001F1218"/>
    <w:rsid w:val="001F55B3"/>
    <w:rsid w:val="002016B4"/>
    <w:rsid w:val="002055CF"/>
    <w:rsid w:val="00243EBB"/>
    <w:rsid w:val="00245B90"/>
    <w:rsid w:val="00245D49"/>
    <w:rsid w:val="00255C01"/>
    <w:rsid w:val="00255C6B"/>
    <w:rsid w:val="00262D95"/>
    <w:rsid w:val="00265D86"/>
    <w:rsid w:val="0027736C"/>
    <w:rsid w:val="0028215B"/>
    <w:rsid w:val="0028608E"/>
    <w:rsid w:val="0028648E"/>
    <w:rsid w:val="00291CE8"/>
    <w:rsid w:val="00296127"/>
    <w:rsid w:val="00296765"/>
    <w:rsid w:val="002978E7"/>
    <w:rsid w:val="002A085E"/>
    <w:rsid w:val="002B593E"/>
    <w:rsid w:val="002C282A"/>
    <w:rsid w:val="002D4FE0"/>
    <w:rsid w:val="002E58AD"/>
    <w:rsid w:val="002F1F92"/>
    <w:rsid w:val="00306AFB"/>
    <w:rsid w:val="00307CA7"/>
    <w:rsid w:val="00312690"/>
    <w:rsid w:val="003221F2"/>
    <w:rsid w:val="0033143E"/>
    <w:rsid w:val="003725A1"/>
    <w:rsid w:val="003750B1"/>
    <w:rsid w:val="003868A2"/>
    <w:rsid w:val="00392A5B"/>
    <w:rsid w:val="003A2BE6"/>
    <w:rsid w:val="003A6D70"/>
    <w:rsid w:val="003B1F86"/>
    <w:rsid w:val="003B70EE"/>
    <w:rsid w:val="003C4627"/>
    <w:rsid w:val="003C53DA"/>
    <w:rsid w:val="003E6C1A"/>
    <w:rsid w:val="003F2957"/>
    <w:rsid w:val="003F504E"/>
    <w:rsid w:val="00400D03"/>
    <w:rsid w:val="00401FA9"/>
    <w:rsid w:val="0040640A"/>
    <w:rsid w:val="00406DB5"/>
    <w:rsid w:val="00417AEC"/>
    <w:rsid w:val="0042336D"/>
    <w:rsid w:val="00430E7B"/>
    <w:rsid w:val="00443ADA"/>
    <w:rsid w:val="00443F8C"/>
    <w:rsid w:val="00450209"/>
    <w:rsid w:val="0045692F"/>
    <w:rsid w:val="00457EAE"/>
    <w:rsid w:val="0046239E"/>
    <w:rsid w:val="004768BE"/>
    <w:rsid w:val="00477F73"/>
    <w:rsid w:val="0048355A"/>
    <w:rsid w:val="004B1DCC"/>
    <w:rsid w:val="004B719C"/>
    <w:rsid w:val="004C5FC2"/>
    <w:rsid w:val="004D3C53"/>
    <w:rsid w:val="004D6052"/>
    <w:rsid w:val="00512486"/>
    <w:rsid w:val="00522549"/>
    <w:rsid w:val="0052465B"/>
    <w:rsid w:val="00524CDD"/>
    <w:rsid w:val="005316F2"/>
    <w:rsid w:val="00577C22"/>
    <w:rsid w:val="00582E85"/>
    <w:rsid w:val="005910B5"/>
    <w:rsid w:val="005A6118"/>
    <w:rsid w:val="005A64DA"/>
    <w:rsid w:val="005B4E1E"/>
    <w:rsid w:val="005B6C42"/>
    <w:rsid w:val="005C1D83"/>
    <w:rsid w:val="005C574B"/>
    <w:rsid w:val="005E650E"/>
    <w:rsid w:val="0060436C"/>
    <w:rsid w:val="00617785"/>
    <w:rsid w:val="00622D77"/>
    <w:rsid w:val="00625170"/>
    <w:rsid w:val="00627F34"/>
    <w:rsid w:val="00634A53"/>
    <w:rsid w:val="00636B18"/>
    <w:rsid w:val="00637CA1"/>
    <w:rsid w:val="0064267B"/>
    <w:rsid w:val="00656754"/>
    <w:rsid w:val="00656AD7"/>
    <w:rsid w:val="0066397B"/>
    <w:rsid w:val="00673CA0"/>
    <w:rsid w:val="00674A16"/>
    <w:rsid w:val="00691B56"/>
    <w:rsid w:val="00691E10"/>
    <w:rsid w:val="00692075"/>
    <w:rsid w:val="006A0481"/>
    <w:rsid w:val="006C653F"/>
    <w:rsid w:val="006D0A7B"/>
    <w:rsid w:val="006D78B9"/>
    <w:rsid w:val="006E5B0A"/>
    <w:rsid w:val="006F12A5"/>
    <w:rsid w:val="006F565C"/>
    <w:rsid w:val="006F7DFC"/>
    <w:rsid w:val="00704AF2"/>
    <w:rsid w:val="00710E68"/>
    <w:rsid w:val="00714BA0"/>
    <w:rsid w:val="00720CC2"/>
    <w:rsid w:val="0072378C"/>
    <w:rsid w:val="007269B6"/>
    <w:rsid w:val="00726E7A"/>
    <w:rsid w:val="007317AA"/>
    <w:rsid w:val="0073267C"/>
    <w:rsid w:val="0073294A"/>
    <w:rsid w:val="00732E52"/>
    <w:rsid w:val="00737982"/>
    <w:rsid w:val="007448D4"/>
    <w:rsid w:val="00745690"/>
    <w:rsid w:val="00752801"/>
    <w:rsid w:val="007617FC"/>
    <w:rsid w:val="007642AE"/>
    <w:rsid w:val="00765D11"/>
    <w:rsid w:val="007747B8"/>
    <w:rsid w:val="00782FD0"/>
    <w:rsid w:val="00785118"/>
    <w:rsid w:val="00786BEB"/>
    <w:rsid w:val="007A1B21"/>
    <w:rsid w:val="007A78B1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2D64"/>
    <w:rsid w:val="00897D46"/>
    <w:rsid w:val="008A03B7"/>
    <w:rsid w:val="008A28D0"/>
    <w:rsid w:val="008A3B29"/>
    <w:rsid w:val="008B3752"/>
    <w:rsid w:val="008B4C26"/>
    <w:rsid w:val="008B69C1"/>
    <w:rsid w:val="008C2197"/>
    <w:rsid w:val="008C3493"/>
    <w:rsid w:val="008D11A6"/>
    <w:rsid w:val="008D1F7B"/>
    <w:rsid w:val="008D2D64"/>
    <w:rsid w:val="008D57D7"/>
    <w:rsid w:val="008E01B4"/>
    <w:rsid w:val="008E1F9E"/>
    <w:rsid w:val="008F023A"/>
    <w:rsid w:val="008F13E5"/>
    <w:rsid w:val="008F1C1A"/>
    <w:rsid w:val="008F6686"/>
    <w:rsid w:val="00902E07"/>
    <w:rsid w:val="00915690"/>
    <w:rsid w:val="0091602E"/>
    <w:rsid w:val="00947783"/>
    <w:rsid w:val="00951859"/>
    <w:rsid w:val="00954FE8"/>
    <w:rsid w:val="00957E76"/>
    <w:rsid w:val="00966950"/>
    <w:rsid w:val="009726E0"/>
    <w:rsid w:val="00972E10"/>
    <w:rsid w:val="00975003"/>
    <w:rsid w:val="00990822"/>
    <w:rsid w:val="00992E77"/>
    <w:rsid w:val="00992FEA"/>
    <w:rsid w:val="0099415F"/>
    <w:rsid w:val="009B712C"/>
    <w:rsid w:val="009C4A31"/>
    <w:rsid w:val="009D39A3"/>
    <w:rsid w:val="009D5AF2"/>
    <w:rsid w:val="009F64F1"/>
    <w:rsid w:val="009F6FD2"/>
    <w:rsid w:val="009F78D3"/>
    <w:rsid w:val="00A0036A"/>
    <w:rsid w:val="00A024EB"/>
    <w:rsid w:val="00A07BB2"/>
    <w:rsid w:val="00A34A1A"/>
    <w:rsid w:val="00A4732A"/>
    <w:rsid w:val="00A7166B"/>
    <w:rsid w:val="00A81991"/>
    <w:rsid w:val="00A83BA0"/>
    <w:rsid w:val="00A84F18"/>
    <w:rsid w:val="00A85045"/>
    <w:rsid w:val="00A91209"/>
    <w:rsid w:val="00A95738"/>
    <w:rsid w:val="00A97B7D"/>
    <w:rsid w:val="00AA4825"/>
    <w:rsid w:val="00AB33E1"/>
    <w:rsid w:val="00AB7716"/>
    <w:rsid w:val="00AD1646"/>
    <w:rsid w:val="00AE3D9B"/>
    <w:rsid w:val="00AF038B"/>
    <w:rsid w:val="00B13B31"/>
    <w:rsid w:val="00B26045"/>
    <w:rsid w:val="00B339E0"/>
    <w:rsid w:val="00B44C55"/>
    <w:rsid w:val="00B461C3"/>
    <w:rsid w:val="00B46A95"/>
    <w:rsid w:val="00B544C2"/>
    <w:rsid w:val="00B5566F"/>
    <w:rsid w:val="00B64BE7"/>
    <w:rsid w:val="00B70CC4"/>
    <w:rsid w:val="00BB02DE"/>
    <w:rsid w:val="00BB371A"/>
    <w:rsid w:val="00BD2C52"/>
    <w:rsid w:val="00BD7B25"/>
    <w:rsid w:val="00BE1AFF"/>
    <w:rsid w:val="00BE2916"/>
    <w:rsid w:val="00BF073C"/>
    <w:rsid w:val="00BF74E9"/>
    <w:rsid w:val="00C0030C"/>
    <w:rsid w:val="00C015B5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84069"/>
    <w:rsid w:val="00C92AB1"/>
    <w:rsid w:val="00CB0C1D"/>
    <w:rsid w:val="00CB5229"/>
    <w:rsid w:val="00CC349D"/>
    <w:rsid w:val="00CC5AA2"/>
    <w:rsid w:val="00CC721A"/>
    <w:rsid w:val="00CD0963"/>
    <w:rsid w:val="00CE3D42"/>
    <w:rsid w:val="00CE53E6"/>
    <w:rsid w:val="00CF3986"/>
    <w:rsid w:val="00CF5CC0"/>
    <w:rsid w:val="00CF6131"/>
    <w:rsid w:val="00D06EAA"/>
    <w:rsid w:val="00D36733"/>
    <w:rsid w:val="00D471B5"/>
    <w:rsid w:val="00D571DB"/>
    <w:rsid w:val="00D6774D"/>
    <w:rsid w:val="00D742CD"/>
    <w:rsid w:val="00D75191"/>
    <w:rsid w:val="00D80929"/>
    <w:rsid w:val="00D81710"/>
    <w:rsid w:val="00D81C4A"/>
    <w:rsid w:val="00D85254"/>
    <w:rsid w:val="00DC4FFC"/>
    <w:rsid w:val="00DF6247"/>
    <w:rsid w:val="00DF6BE4"/>
    <w:rsid w:val="00E157BC"/>
    <w:rsid w:val="00E177E8"/>
    <w:rsid w:val="00E427EA"/>
    <w:rsid w:val="00E50E4A"/>
    <w:rsid w:val="00E53BA8"/>
    <w:rsid w:val="00E90DE6"/>
    <w:rsid w:val="00E91F5F"/>
    <w:rsid w:val="00E969EB"/>
    <w:rsid w:val="00EA6F59"/>
    <w:rsid w:val="00EB12DD"/>
    <w:rsid w:val="00EB153E"/>
    <w:rsid w:val="00EB57EB"/>
    <w:rsid w:val="00ED1549"/>
    <w:rsid w:val="00ED50CF"/>
    <w:rsid w:val="00EE7819"/>
    <w:rsid w:val="00EF7618"/>
    <w:rsid w:val="00F1152F"/>
    <w:rsid w:val="00F207B3"/>
    <w:rsid w:val="00F511E2"/>
    <w:rsid w:val="00F5486B"/>
    <w:rsid w:val="00F658E0"/>
    <w:rsid w:val="00F713E1"/>
    <w:rsid w:val="00F859B7"/>
    <w:rsid w:val="00FC1C44"/>
    <w:rsid w:val="00FF0B95"/>
    <w:rsid w:val="12DD7B76"/>
    <w:rsid w:val="2BAD3D1D"/>
    <w:rsid w:val="3644CFD9"/>
    <w:rsid w:val="535CC2D9"/>
    <w:rsid w:val="5DF57774"/>
    <w:rsid w:val="6420A0C9"/>
    <w:rsid w:val="6BF2404C"/>
    <w:rsid w:val="7545AAED"/>
    <w:rsid w:val="755FFB4C"/>
    <w:rsid w:val="761610A1"/>
    <w:rsid w:val="7937C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2D1E6"/>
  <w15:chartTrackingRefBased/>
  <w15:docId w15:val="{C39BE4FD-C7A5-4219-B6FE-BE615CC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B70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82D64"/>
    <w:pPr>
      <w:ind w:left="720"/>
      <w:contextualSpacing/>
    </w:pPr>
  </w:style>
  <w:style w:type="paragraph" w:styleId="Revision">
    <w:name w:val="Revision"/>
    <w:hidden/>
    <w:uiPriority w:val="99"/>
    <w:semiHidden/>
    <w:rsid w:val="00882D64"/>
    <w:rPr>
      <w:sz w:val="24"/>
      <w:szCs w:val="24"/>
    </w:rPr>
  </w:style>
  <w:style w:type="paragraph" w:styleId="BalloonText">
    <w:name w:val="Balloon Text"/>
    <w:basedOn w:val="Normal"/>
    <w:link w:val="BalloonTextChar"/>
    <w:rsid w:val="0088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2D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817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17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171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81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81710"/>
    <w:rPr>
      <w:b/>
      <w:bCs/>
    </w:rPr>
  </w:style>
  <w:style w:type="character" w:styleId="Mention">
    <w:name w:val="Mention"/>
    <w:basedOn w:val="DefaultParagraphFont"/>
    <w:uiPriority w:val="99"/>
    <w:unhideWhenUsed/>
    <w:rsid w:val="00D81710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7391141C-4B1E-401C-91CE-DF9E4D4F60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5758C-B689-47F0-B43F-970FE34E2F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75DF96-7D42-40A2-8827-9E92717B8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C8C573-5DC0-48AF-9507-11E79984BCF6}">
  <ds:schemaRefs>
    <ds:schemaRef ds:uri="http://purl.org/dc/terms/"/>
    <ds:schemaRef ds:uri="fad01eb7-d870-475a-9d28-789bb88fcc63"/>
    <ds:schemaRef ds:uri="http://schemas.microsoft.com/office/2006/documentManagement/types"/>
    <ds:schemaRef ds:uri="1e718eae-16bc-49f1-9e0a-85226ba39ba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314</Words>
  <Characters>2711</Characters>
  <Application>Microsoft Office Word</Application>
  <DocSecurity>6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2</cp:revision>
  <cp:lastPrinted>2007-01-03T18:56:00Z</cp:lastPrinted>
  <dcterms:created xsi:type="dcterms:W3CDTF">2024-10-23T14:20:00Z</dcterms:created>
  <dcterms:modified xsi:type="dcterms:W3CDTF">2024-10-23T14:20:00Z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2022-03-07T21:15:02Z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007b992d-a38f-4e84-b54e-020724b75737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